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B0E4" w14:textId="77777777" w:rsidR="00122E11" w:rsidRDefault="00000000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6F49E382" w14:textId="77777777" w:rsidR="00122E11" w:rsidRDefault="00000000">
      <w:pPr>
        <w:spacing w:after="600"/>
        <w:jc w:val="center"/>
      </w:pPr>
      <w:r>
        <w:rPr>
          <w:color w:val="595959"/>
        </w:rPr>
        <w:t>Licitación Pública BDP – S.A.M. Nº 04/2023</w:t>
      </w:r>
    </w:p>
    <w:p w14:paraId="00A9D36A" w14:textId="77777777" w:rsidR="00122E11" w:rsidRDefault="00000000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CUARTA ENTREGA</w:t>
      </w:r>
    </w:p>
    <w:p w14:paraId="0E202D41" w14:textId="77777777" w:rsidR="00122E11" w:rsidRDefault="00000000">
      <w:pPr>
        <w:spacing w:before="60" w:after="60"/>
        <w:jc w:val="center"/>
      </w:pPr>
      <w:r>
        <w:rPr>
          <w:color w:val="595959"/>
        </w:rPr>
        <w:t>Funcionalidades Completas · Reportes · Guía de Usuario</w:t>
      </w:r>
    </w:p>
    <w:p w14:paraId="0374BC62" w14:textId="77777777" w:rsidR="00122E11" w:rsidRDefault="00000000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122E11" w14:paraId="0DF74F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BA932" w14:textId="77777777" w:rsidR="00122E11" w:rsidRDefault="00000000">
            <w:r>
              <w:rPr>
                <w:b/>
                <w:bCs/>
                <w:color w:val="1F3864"/>
                <w:sz w:val="20"/>
                <w:szCs w:val="20"/>
              </w:rPr>
              <w:t>Entrega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46BE17" w14:textId="77777777" w:rsidR="00122E11" w:rsidRDefault="00000000">
            <w:r>
              <w:rPr>
                <w:sz w:val="20"/>
                <w:szCs w:val="20"/>
              </w:rPr>
              <w:t>Cuarta Entrega (hasta 200 días hábiles)</w:t>
            </w:r>
          </w:p>
        </w:tc>
      </w:tr>
      <w:tr w:rsidR="00122E11" w14:paraId="25DC36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A4AF12" w14:textId="77777777" w:rsidR="00122E11" w:rsidRDefault="00000000">
            <w:r>
              <w:rPr>
                <w:b/>
                <w:bCs/>
                <w:color w:val="1F3864"/>
                <w:sz w:val="20"/>
                <w:szCs w:val="20"/>
              </w:rPr>
              <w:t>Productos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D3F8F" w14:textId="77777777" w:rsidR="00122E11" w:rsidRDefault="00000000">
            <w:r>
              <w:rPr>
                <w:sz w:val="20"/>
                <w:szCs w:val="20"/>
              </w:rPr>
              <w:t>Funcionalidades completas · Reportes · Guía 100%</w:t>
            </w:r>
          </w:p>
        </w:tc>
      </w:tr>
      <w:tr w:rsidR="00122E11" w14:paraId="509A70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FE503" w14:textId="77777777" w:rsidR="00122E11" w:rsidRDefault="00000000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A16487" w14:textId="77777777" w:rsidR="00122E11" w:rsidRDefault="00000000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122E11" w14:paraId="7999AD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ECE9CE" w14:textId="77777777" w:rsidR="00122E11" w:rsidRDefault="00000000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D26C83" w14:textId="77777777" w:rsidR="00122E11" w:rsidRDefault="00000000">
            <w:r>
              <w:rPr>
                <w:sz w:val="20"/>
                <w:szCs w:val="20"/>
              </w:rPr>
              <w:t>SG-BDP</w:t>
            </w:r>
          </w:p>
        </w:tc>
      </w:tr>
      <w:tr w:rsidR="00122E11" w14:paraId="024CD6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B1B90F" w14:textId="77777777" w:rsidR="00122E11" w:rsidRDefault="00000000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154034" w14:textId="77777777" w:rsidR="00122E11" w:rsidRDefault="00000000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122E11" w14:paraId="5C5AEC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BE388" w14:textId="77777777" w:rsidR="00122E11" w:rsidRDefault="00000000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B4ACEE" w14:textId="77777777" w:rsidR="00122E11" w:rsidRDefault="00000000">
            <w:r>
              <w:rPr>
                <w:sz w:val="20"/>
                <w:szCs w:val="20"/>
              </w:rPr>
              <w:t>Pública Nº 04/2023</w:t>
            </w:r>
          </w:p>
        </w:tc>
      </w:tr>
      <w:tr w:rsidR="00122E11" w14:paraId="3AD9A0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91D66" w14:textId="77777777" w:rsidR="00122E11" w:rsidRDefault="00000000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29ACDE" w14:textId="77777777" w:rsidR="00122E11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49E2F541" w14:textId="77777777" w:rsidR="00122E11" w:rsidRDefault="00000000">
      <w:pPr>
        <w:spacing w:before="500"/>
        <w:jc w:val="center"/>
      </w:pPr>
      <w:r>
        <w:rPr>
          <w:color w:val="595959"/>
        </w:rPr>
        <w:t>La Paz – Bolivia</w:t>
      </w:r>
    </w:p>
    <w:p w14:paraId="22E791B6" w14:textId="77777777" w:rsidR="00122E11" w:rsidRDefault="00000000">
      <w:r>
        <w:br w:type="page"/>
      </w:r>
    </w:p>
    <w:p w14:paraId="28CDB774" w14:textId="77777777" w:rsidR="00122E11" w:rsidRDefault="00122E11">
      <w:pPr>
        <w:sectPr w:rsidR="00122E1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703A9CA" w14:textId="77777777" w:rsidR="00122E11" w:rsidRDefault="00000000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6295A39D" w14:textId="77777777" w:rsidR="00122E11" w:rsidRDefault="00122E11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-1883468373"/>
      </w:sdtPr>
      <w:sdtContent>
        <w:p w14:paraId="2200A01E" w14:textId="2D24208F" w:rsidR="00936BEA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6058" w:history="1">
            <w:r w:rsidR="00936BEA" w:rsidRPr="00A850D9">
              <w:rPr>
                <w:rStyle w:val="Hipervnculo"/>
                <w:noProof/>
              </w:rPr>
              <w:t>1. Introducción</w:t>
            </w:r>
            <w:r w:rsidR="00936BEA">
              <w:rPr>
                <w:noProof/>
              </w:rPr>
              <w:tab/>
            </w:r>
            <w:r w:rsidR="00936BEA">
              <w:rPr>
                <w:noProof/>
              </w:rPr>
              <w:fldChar w:fldCharType="begin"/>
            </w:r>
            <w:r w:rsidR="00936BEA">
              <w:rPr>
                <w:noProof/>
              </w:rPr>
              <w:instrText xml:space="preserve"> PAGEREF _Toc232276058 \h </w:instrText>
            </w:r>
            <w:r w:rsidR="00936BEA">
              <w:rPr>
                <w:noProof/>
              </w:rPr>
            </w:r>
            <w:r w:rsidR="00936BEA">
              <w:rPr>
                <w:noProof/>
              </w:rPr>
              <w:fldChar w:fldCharType="separate"/>
            </w:r>
            <w:r w:rsidR="00936BEA">
              <w:rPr>
                <w:noProof/>
              </w:rPr>
              <w:t>3</w:t>
            </w:r>
            <w:r w:rsidR="00936BEA">
              <w:rPr>
                <w:noProof/>
              </w:rPr>
              <w:fldChar w:fldCharType="end"/>
            </w:r>
          </w:hyperlink>
        </w:p>
        <w:p w14:paraId="0D0B554D" w14:textId="09C44675" w:rsidR="00936BEA" w:rsidRDefault="00936BE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59" w:history="1">
            <w:r w:rsidRPr="00A850D9">
              <w:rPr>
                <w:rStyle w:val="Hipervnculo"/>
                <w:noProof/>
              </w:rPr>
              <w:t>2. Funcionalidades Completas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D41982" w14:textId="3CA7EBA7" w:rsidR="00936BEA" w:rsidRDefault="00936BE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60" w:history="1">
            <w:r w:rsidRPr="00A850D9">
              <w:rPr>
                <w:rStyle w:val="Hipervnculo"/>
                <w:noProof/>
              </w:rPr>
              <w:t>3. Módulo de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E33BFD" w14:textId="030F0033" w:rsidR="00936BEA" w:rsidRDefault="00936BE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61" w:history="1">
            <w:r w:rsidRPr="00A850D9">
              <w:rPr>
                <w:rStyle w:val="Hipervnculo"/>
                <w:noProof/>
              </w:rPr>
              <w:t>3.1. Indicadores de gestión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810F62" w14:textId="6D8A8F97" w:rsidR="00936BEA" w:rsidRDefault="00936BE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62" w:history="1">
            <w:r w:rsidRPr="00A850D9">
              <w:rPr>
                <w:rStyle w:val="Hipervnculo"/>
                <w:noProof/>
              </w:rPr>
              <w:t>3.2. Reportes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37FE76" w14:textId="3E1EA263" w:rsidR="00936BEA" w:rsidRDefault="00936BE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63" w:history="1">
            <w:r w:rsidRPr="00A850D9">
              <w:rPr>
                <w:rStyle w:val="Hipervnculo"/>
                <w:noProof/>
              </w:rPr>
              <w:t>4. Generación de Reportes (Backend)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29E93C" w14:textId="52992CF9" w:rsidR="00936BEA" w:rsidRDefault="00936BE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64" w:history="1">
            <w:r w:rsidRPr="00A850D9">
              <w:rPr>
                <w:rStyle w:val="Hipervnculo"/>
                <w:noProof/>
              </w:rPr>
              <w:t>5. Guía de Usuario — Funcionalidades Completas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E559A5" w14:textId="31B78A02" w:rsidR="00936BEA" w:rsidRDefault="00936BE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65" w:history="1">
            <w:r w:rsidRPr="00A850D9">
              <w:rPr>
                <w:rStyle w:val="Hipervnculo"/>
                <w:noProof/>
              </w:rPr>
              <w:t>6.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7E8EC4" w14:textId="77777777" w:rsidR="00936BEA" w:rsidRDefault="00000000">
          <w:r>
            <w:fldChar w:fldCharType="end"/>
          </w:r>
        </w:p>
      </w:sdtContent>
    </w:sdt>
    <w:p w14:paraId="72512489" w14:textId="03EFA44B" w:rsidR="00122E11" w:rsidRDefault="00000000">
      <w:r>
        <w:br w:type="page"/>
      </w:r>
    </w:p>
    <w:p w14:paraId="2DF39BAC" w14:textId="77777777" w:rsidR="00122E11" w:rsidRDefault="00122E11">
      <w:pPr>
        <w:sectPr w:rsidR="00122E1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5A7F1B8" w14:textId="77777777" w:rsidR="00122E11" w:rsidRDefault="00000000">
      <w:pPr>
        <w:pStyle w:val="Ttulo1"/>
      </w:pPr>
      <w:bookmarkStart w:id="0" w:name="_Toc232276058"/>
      <w:r>
        <w:lastRenderedPageBreak/>
        <w:t>1. Introducción</w:t>
      </w:r>
      <w:bookmarkEnd w:id="0"/>
    </w:p>
    <w:p w14:paraId="46F110B0" w14:textId="77777777" w:rsidR="00122E11" w:rsidRDefault="00122E11">
      <w:pPr>
        <w:pBdr>
          <w:bottom w:val="single" w:sz="6" w:space="1" w:color="2E75B6"/>
        </w:pBdr>
        <w:spacing w:after="120"/>
      </w:pPr>
    </w:p>
    <w:p w14:paraId="2919F8B2" w14:textId="77777777" w:rsidR="00122E11" w:rsidRDefault="00000000">
      <w:pPr>
        <w:spacing w:after="120" w:line="276" w:lineRule="auto"/>
        <w:jc w:val="both"/>
      </w:pPr>
      <w:r>
        <w:t>El presente documento constituye la Cuarta Entrega de la consultoría, en el marco de la Licitación Pública Nº 04/2023. Conforme a los Términos de Referencia, comprende hasta los 200 días hábiles e incluye el desarrollo completo de las funcionalidades, la guía de usuario con el 100% de las funcionalidades, la plataforma responsiva y los reportes en base a todos los campos llenados.</w:t>
      </w:r>
    </w:p>
    <w:p w14:paraId="64668673" w14:textId="77777777" w:rsidR="00122E11" w:rsidRDefault="00000000">
      <w:pPr>
        <w:spacing w:after="120" w:line="276" w:lineRule="auto"/>
        <w:jc w:val="both"/>
      </w:pPr>
      <w:r>
        <w:t>Esta entrega consolida el sistema SG-BDP con la totalidad de los módulos operativos, incorporando el módulo de reportes y analytics.</w:t>
      </w:r>
    </w:p>
    <w:p w14:paraId="4C40D60C" w14:textId="77777777" w:rsidR="00122E11" w:rsidRDefault="00000000">
      <w:pPr>
        <w:pStyle w:val="Ttulo1"/>
      </w:pPr>
      <w:bookmarkStart w:id="1" w:name="_Toc232276059"/>
      <w:r>
        <w:t>2. Funcionalidades Completas</w:t>
      </w:r>
      <w:bookmarkEnd w:id="1"/>
    </w:p>
    <w:p w14:paraId="6E607641" w14:textId="77777777" w:rsidR="00122E11" w:rsidRDefault="00122E11">
      <w:pPr>
        <w:pBdr>
          <w:bottom w:val="single" w:sz="6" w:space="1" w:color="2E75B6"/>
        </w:pBdr>
        <w:spacing w:after="120"/>
      </w:pPr>
    </w:p>
    <w:p w14:paraId="05A58B09" w14:textId="77777777" w:rsidR="00122E11" w:rsidRDefault="00000000">
      <w:pPr>
        <w:spacing w:after="120" w:line="276" w:lineRule="auto"/>
        <w:jc w:val="both"/>
      </w:pPr>
      <w:r>
        <w:t>Se completó el desarrollo de la totalidad de las funcionalidades del sistema. El siguiente gráfico ilustra la cobertura funcional alcanzada.</w:t>
      </w:r>
    </w:p>
    <w:p w14:paraId="3AD38FA4" w14:textId="77777777" w:rsidR="00122E11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1E39486" wp14:editId="02C5A170">
            <wp:extent cx="3619500" cy="2895600"/>
            <wp:effectExtent l="0" t="0" r="0" b="0"/>
            <wp:docPr id="1" name="g_cobertura.png" descr="g_cobertura.png" title="g_cober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6955" w14:textId="77777777" w:rsidR="00122E1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1. Cobertura funcional del sistema (100%).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122E11" w14:paraId="5C4EFD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7CB28" w14:textId="77777777" w:rsidR="00122E11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Módulo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978E1" w14:textId="77777777" w:rsidR="00122E11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Estado</w:t>
            </w:r>
          </w:p>
        </w:tc>
      </w:tr>
      <w:tr w:rsidR="00122E11" w14:paraId="2B19B51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6C2FF6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Autenticación y MFA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78E5EF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122E11" w14:paraId="43E3FD7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447D09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Dashboard y analytics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7D81A9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122E11" w14:paraId="60670C4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80C775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Flujo del proceso (6 pasos)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09093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122E11" w14:paraId="7ACD2DD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4FC8F3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Registro de solicitudes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DD1075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122E11" w14:paraId="642EEAE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4B367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Evaluación financiera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433AAE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122E11" w14:paraId="5EE1184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F62A2E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Motor de scoring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D227E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122E11" w14:paraId="2C97970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6E750C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Gestión de garantías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D5235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122E11" w14:paraId="7A260A5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A4807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Documentos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FA15E0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122E11" w14:paraId="455A7B7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78EE3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Clientes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E167DE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122E11" w14:paraId="31A3FD2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FCA44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Reportes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3F6F78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122E11" w14:paraId="2328A8A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3286BE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Configuración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682A39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122E11" w14:paraId="79D2A20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DA96E8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Portal Cliente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DC41BD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</w:tbl>
    <w:p w14:paraId="6EA45CFF" w14:textId="77777777" w:rsidR="00122E11" w:rsidRDefault="00000000">
      <w:pPr>
        <w:pStyle w:val="Ttulo1"/>
      </w:pPr>
      <w:bookmarkStart w:id="2" w:name="_Toc232276060"/>
      <w:r>
        <w:t>3. Módulo de Reportes</w:t>
      </w:r>
      <w:bookmarkEnd w:id="2"/>
    </w:p>
    <w:p w14:paraId="3290888A" w14:textId="77777777" w:rsidR="00122E11" w:rsidRDefault="00122E11">
      <w:pPr>
        <w:pBdr>
          <w:bottom w:val="single" w:sz="6" w:space="1" w:color="2E75B6"/>
        </w:pBdr>
        <w:spacing w:after="120"/>
      </w:pPr>
    </w:p>
    <w:p w14:paraId="6DD2F12B" w14:textId="77777777" w:rsidR="00122E11" w:rsidRDefault="00000000">
      <w:pPr>
        <w:spacing w:after="120" w:line="276" w:lineRule="auto"/>
        <w:jc w:val="both"/>
      </w:pPr>
      <w:r>
        <w:t>El módulo de reportes genera análisis a partir de todos los campos capturados en el proceso crediticio, conforme al requerimiento del TDR. Presenta indicadores de gestión y reportes descargables.</w:t>
      </w:r>
    </w:p>
    <w:p w14:paraId="507AF30F" w14:textId="77777777" w:rsidR="00122E11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2CF0779" wp14:editId="0B5E993C">
            <wp:extent cx="5334000" cy="2266950"/>
            <wp:effectExtent l="0" t="0" r="0" b="0"/>
            <wp:docPr id="1650023402" name="image12.png" descr="image12.png" titl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6AC8" w14:textId="77777777" w:rsidR="00122E1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2. Módulo «Reportes» del prototipo.</w:t>
      </w:r>
    </w:p>
    <w:p w14:paraId="71CC3672" w14:textId="77777777" w:rsidR="00122E11" w:rsidRDefault="00000000">
      <w:pPr>
        <w:pStyle w:val="Ttulo2"/>
      </w:pPr>
      <w:bookmarkStart w:id="3" w:name="_Toc232276061"/>
      <w:r>
        <w:t>3.1. Indicadores de gestión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2E11" w14:paraId="1F5458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1B1AB" w14:textId="77777777" w:rsidR="00122E11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Indicador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9C982" w14:textId="77777777" w:rsidR="00122E11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122E11" w14:paraId="228952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D9724F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Tasa de Aprobación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02F54D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Porcentaje de solicitudes aprobadas.</w:t>
            </w:r>
          </w:p>
        </w:tc>
      </w:tr>
      <w:tr w:rsidR="00122E11" w14:paraId="36F95D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1EC893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Índice de Morosidad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153D0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Créditos en mora sobre la cartera.</w:t>
            </w:r>
          </w:p>
        </w:tc>
      </w:tr>
      <w:tr w:rsidR="00122E11" w14:paraId="5BDBE0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812897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Tiempo Promedio (TAT)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ED91C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Tiempo medio de aprobación.</w:t>
            </w:r>
          </w:p>
        </w:tc>
      </w:tr>
      <w:tr w:rsidR="00122E11" w14:paraId="5B2836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318351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ROE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87788B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Retorno sobre el patrimonio.</w:t>
            </w:r>
          </w:p>
        </w:tc>
      </w:tr>
    </w:tbl>
    <w:p w14:paraId="30B51EB8" w14:textId="77777777" w:rsidR="00122E11" w:rsidRDefault="00000000">
      <w:pPr>
        <w:pStyle w:val="Ttulo2"/>
      </w:pPr>
      <w:bookmarkStart w:id="4" w:name="_Toc232276062"/>
      <w:r>
        <w:t>3.2. Reportes disponibles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122E11" w14:paraId="2BDE0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855E8" w14:textId="77777777" w:rsidR="00122E11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Reporte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46FAF" w14:textId="77777777" w:rsidR="00122E11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Contenido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D7493" w14:textId="77777777" w:rsidR="00122E11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Frecuencia</w:t>
            </w:r>
          </w:p>
        </w:tc>
      </w:tr>
      <w:tr w:rsidR="00122E11" w14:paraId="692510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286571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Cartera Crediticia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C841FF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Análisis de créditos activos.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9891FB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Mensual</w:t>
            </w:r>
          </w:p>
        </w:tc>
      </w:tr>
      <w:tr w:rsidR="00122E11" w14:paraId="5C0DC3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03ECF5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Morosidad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A65F94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Seguimiento de créditos en mora.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D6BD0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Semanal</w:t>
            </w:r>
          </w:p>
        </w:tc>
      </w:tr>
      <w:tr w:rsidR="00122E11" w14:paraId="47FBAF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03CE83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Productividad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16454B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Evaluación de oficiales y tiempos.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D0F95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Mensual</w:t>
            </w:r>
          </w:p>
        </w:tc>
      </w:tr>
      <w:tr w:rsidR="00122E11" w14:paraId="2B2EC2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9A01E7" w14:textId="77777777" w:rsidR="00122E11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Riesgos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47C1BA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Concentración de riesgos y exposición.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DFC900" w14:textId="77777777" w:rsidR="00122E11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Trimestral</w:t>
            </w:r>
          </w:p>
        </w:tc>
      </w:tr>
    </w:tbl>
    <w:p w14:paraId="3BFA5FE3" w14:textId="77777777" w:rsidR="00122E11" w:rsidRDefault="00122E11">
      <w:pPr>
        <w:pageBreakBefore/>
      </w:pPr>
    </w:p>
    <w:p w14:paraId="0F3D5F5C" w14:textId="77777777" w:rsidR="00122E11" w:rsidRDefault="00000000">
      <w:pPr>
        <w:pStyle w:val="Ttulo1"/>
      </w:pPr>
      <w:bookmarkStart w:id="5" w:name="_Toc232276063"/>
      <w:r>
        <w:t>4. Generación de Reportes (Backend)</w:t>
      </w:r>
      <w:bookmarkEnd w:id="5"/>
    </w:p>
    <w:p w14:paraId="4080025F" w14:textId="77777777" w:rsidR="00122E11" w:rsidRDefault="00122E11">
      <w:pPr>
        <w:pBdr>
          <w:bottom w:val="single" w:sz="6" w:space="1" w:color="2E75B6"/>
        </w:pBdr>
        <w:spacing w:after="120"/>
      </w:pPr>
    </w:p>
    <w:p w14:paraId="09E7C7F6" w14:textId="77777777" w:rsidR="00122E11" w:rsidRDefault="00000000">
      <w:pPr>
        <w:spacing w:after="120" w:line="276" w:lineRule="auto"/>
        <w:jc w:val="both"/>
      </w:pPr>
      <w:r>
        <w:t>Los reportes se generan agregando los datos capturados. Ejemplo del endpoint de reporte de cartera: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2E11" w14:paraId="144329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BEEECDB" w14:textId="77777777" w:rsidR="00122E11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router.get("/reportes/cartera",</w:t>
            </w:r>
          </w:p>
          <w:p w14:paraId="380141C9" w14:textId="77777777" w:rsidR="00122E11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autenticar, autorizar("analista","administrador"), (req, res) =&gt; {</w:t>
            </w:r>
          </w:p>
          <w:p w14:paraId="234586A6" w14:textId="77777777" w:rsidR="00122E11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const cartera = db.creditos.aggregate([</w:t>
            </w:r>
          </w:p>
          <w:p w14:paraId="3D4B64D9" w14:textId="77777777" w:rsidR="00122E11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{ $group: { _id: "$estado", total: { $sum: "$monto" },</w:t>
            </w:r>
          </w:p>
          <w:p w14:paraId="1068AACF" w14:textId="77777777" w:rsidR="00122E11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           cantidad: { $sum: 1 } } }</w:t>
            </w:r>
          </w:p>
          <w:p w14:paraId="1A6D6FBD" w14:textId="77777777" w:rsidR="00122E11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]);</w:t>
            </w:r>
          </w:p>
          <w:p w14:paraId="73646366" w14:textId="77777777" w:rsidR="00122E11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res.json({</w:t>
            </w:r>
          </w:p>
          <w:p w14:paraId="6D4633AB" w14:textId="77777777" w:rsidR="00122E11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generadoEl: new Date().toISOString(),</w:t>
            </w:r>
          </w:p>
          <w:p w14:paraId="39390B73" w14:textId="77777777" w:rsidR="00122E11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moneda: "BOB",</w:t>
            </w:r>
          </w:p>
          <w:p w14:paraId="5C791D02" w14:textId="77777777" w:rsidR="00122E11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resumen: cartera,</w:t>
            </w:r>
          </w:p>
          <w:p w14:paraId="2D5AB496" w14:textId="77777777" w:rsidR="00122E11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});</w:t>
            </w:r>
          </w:p>
          <w:p w14:paraId="0BCEB6B0" w14:textId="77777777" w:rsidR="00122E11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});</w:t>
            </w:r>
          </w:p>
        </w:tc>
      </w:tr>
    </w:tbl>
    <w:p w14:paraId="6F97EF04" w14:textId="77777777" w:rsidR="00122E11" w:rsidRDefault="00000000">
      <w:pPr>
        <w:pStyle w:val="Ttulo1"/>
      </w:pPr>
      <w:bookmarkStart w:id="6" w:name="_Toc232276064"/>
      <w:r>
        <w:t>5. Guía de Usuario — Funcionalidades Completas</w:t>
      </w:r>
      <w:bookmarkEnd w:id="6"/>
    </w:p>
    <w:p w14:paraId="32B958CD" w14:textId="77777777" w:rsidR="00122E11" w:rsidRDefault="00122E11">
      <w:pPr>
        <w:pBdr>
          <w:bottom w:val="single" w:sz="6" w:space="1" w:color="2E75B6"/>
        </w:pBdr>
        <w:spacing w:after="120"/>
      </w:pPr>
    </w:p>
    <w:p w14:paraId="0B907D21" w14:textId="77777777" w:rsidR="00122E11" w:rsidRDefault="00000000">
      <w:pPr>
        <w:spacing w:after="120" w:line="276" w:lineRule="auto"/>
        <w:jc w:val="both"/>
      </w:pPr>
      <w:r>
        <w:t>La guía de usuario se actualizó para documentar el 100% de las funcionalidades, incluyendo los módulos de reportes, clientes, documentos y configuración. Cubre los flujos completos por rol:</w:t>
      </w:r>
    </w:p>
    <w:p w14:paraId="411D077F" w14:textId="77777777" w:rsidR="00122E11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Oficial de Crédito: </w:t>
      </w:r>
      <w:r>
        <w:t>acceso, dashboard, registro y evaluación de solicitudes.</w:t>
      </w:r>
    </w:p>
    <w:p w14:paraId="11B568EF" w14:textId="77777777" w:rsidR="00122E11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Analista de Riesgo: </w:t>
      </w:r>
      <w:r>
        <w:t>revisión de scoring, decisión y generación de reportes.</w:t>
      </w:r>
    </w:p>
    <w:p w14:paraId="77874B79" w14:textId="77777777" w:rsidR="00122E11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Administrador: </w:t>
      </w:r>
      <w:r>
        <w:t>gestión de usuarios, parámetros, reportes y configuración.</w:t>
      </w:r>
    </w:p>
    <w:p w14:paraId="1C675912" w14:textId="77777777" w:rsidR="00122E11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Cliente: </w:t>
      </w:r>
      <w:r>
        <w:t>consulta de solicitudes, créditos, cuotas y documentos.</w:t>
      </w:r>
    </w:p>
    <w:p w14:paraId="43D0C19C" w14:textId="77777777" w:rsidR="00122E11" w:rsidRDefault="00000000">
      <w:pPr>
        <w:pStyle w:val="Ttulo1"/>
      </w:pPr>
      <w:bookmarkStart w:id="7" w:name="_Toc232276065"/>
      <w:r>
        <w:t>6. Conclusiones</w:t>
      </w:r>
      <w:bookmarkEnd w:id="7"/>
    </w:p>
    <w:p w14:paraId="3AA04EBF" w14:textId="77777777" w:rsidR="00122E11" w:rsidRDefault="00122E11">
      <w:pPr>
        <w:pBdr>
          <w:bottom w:val="single" w:sz="6" w:space="1" w:color="2E75B6"/>
        </w:pBdr>
        <w:spacing w:after="120"/>
      </w:pPr>
    </w:p>
    <w:p w14:paraId="32F9BD65" w14:textId="77777777" w:rsidR="00122E11" w:rsidRDefault="00000000">
      <w:pPr>
        <w:spacing w:line="276" w:lineRule="auto"/>
        <w:jc w:val="both"/>
      </w:pPr>
      <w:r>
        <w:t>La Cuarta Entrega completa el desarrollo de las funcionalidades del sistema SG-BDP, incorporando el módulo de reportes basado en todos los campos capturados y la guía de usuario al 100%. El sistema queda funcionalmente completo y responsivo, listo para la fase final de pruebas y la prueba piloto.</w:t>
      </w:r>
    </w:p>
    <w:sectPr w:rsidR="00122E11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414DF" w14:textId="77777777" w:rsidR="00C04F39" w:rsidRDefault="00C04F39">
      <w:r>
        <w:separator/>
      </w:r>
    </w:p>
  </w:endnote>
  <w:endnote w:type="continuationSeparator" w:id="0">
    <w:p w14:paraId="56F9261A" w14:textId="77777777" w:rsidR="00C04F39" w:rsidRDefault="00C04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93CE4" w14:textId="77777777" w:rsidR="00122E11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Entrega 4 de 6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36BE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936BE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86302" w14:textId="77777777" w:rsidR="00C04F39" w:rsidRDefault="00C04F39">
      <w:r>
        <w:separator/>
      </w:r>
    </w:p>
  </w:footnote>
  <w:footnote w:type="continuationSeparator" w:id="0">
    <w:p w14:paraId="38E1FE6B" w14:textId="77777777" w:rsidR="00C04F39" w:rsidRDefault="00C04F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9F5F8" w14:textId="77777777" w:rsidR="00122E11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SG-BDP — Cuarta Entrega</w:t>
    </w:r>
    <w:r>
      <w:rPr>
        <w:color w:val="595959"/>
        <w:sz w:val="16"/>
        <w:szCs w:val="16"/>
      </w:rPr>
      <w:tab/>
      <w:t>BDP – S.A.M. · LP Nº 04/2023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3D17"/>
    <w:multiLevelType w:val="hybridMultilevel"/>
    <w:tmpl w:val="A06AA416"/>
    <w:lvl w:ilvl="0" w:tplc="7F44E81C">
      <w:start w:val="1"/>
      <w:numFmt w:val="bullet"/>
      <w:lvlText w:val="•"/>
      <w:lvlJc w:val="left"/>
      <w:pPr>
        <w:ind w:left="620" w:hanging="320"/>
      </w:pPr>
    </w:lvl>
    <w:lvl w:ilvl="1" w:tplc="1182EC98">
      <w:numFmt w:val="decimal"/>
      <w:lvlText w:val=""/>
      <w:lvlJc w:val="left"/>
    </w:lvl>
    <w:lvl w:ilvl="2" w:tplc="26F60636">
      <w:numFmt w:val="decimal"/>
      <w:lvlText w:val=""/>
      <w:lvlJc w:val="left"/>
    </w:lvl>
    <w:lvl w:ilvl="3" w:tplc="B8983FC2">
      <w:numFmt w:val="decimal"/>
      <w:lvlText w:val=""/>
      <w:lvlJc w:val="left"/>
    </w:lvl>
    <w:lvl w:ilvl="4" w:tplc="495803D8">
      <w:numFmt w:val="decimal"/>
      <w:lvlText w:val=""/>
      <w:lvlJc w:val="left"/>
    </w:lvl>
    <w:lvl w:ilvl="5" w:tplc="D2F24808">
      <w:numFmt w:val="decimal"/>
      <w:lvlText w:val=""/>
      <w:lvlJc w:val="left"/>
    </w:lvl>
    <w:lvl w:ilvl="6" w:tplc="D44279D4">
      <w:numFmt w:val="decimal"/>
      <w:lvlText w:val=""/>
      <w:lvlJc w:val="left"/>
    </w:lvl>
    <w:lvl w:ilvl="7" w:tplc="2DF6B02C">
      <w:numFmt w:val="decimal"/>
      <w:lvlText w:val=""/>
      <w:lvlJc w:val="left"/>
    </w:lvl>
    <w:lvl w:ilvl="8" w:tplc="3012AAF8">
      <w:numFmt w:val="decimal"/>
      <w:lvlText w:val=""/>
      <w:lvlJc w:val="left"/>
    </w:lvl>
  </w:abstractNum>
  <w:abstractNum w:abstractNumId="1" w15:restartNumberingAfterBreak="0">
    <w:nsid w:val="2AA7120C"/>
    <w:multiLevelType w:val="hybridMultilevel"/>
    <w:tmpl w:val="E026A3C6"/>
    <w:lvl w:ilvl="0" w:tplc="7C729C64">
      <w:start w:val="1"/>
      <w:numFmt w:val="bullet"/>
      <w:lvlText w:val="●"/>
      <w:lvlJc w:val="left"/>
      <w:pPr>
        <w:ind w:left="720" w:hanging="360"/>
      </w:pPr>
    </w:lvl>
    <w:lvl w:ilvl="1" w:tplc="19BC9FFA">
      <w:start w:val="1"/>
      <w:numFmt w:val="bullet"/>
      <w:lvlText w:val="○"/>
      <w:lvlJc w:val="left"/>
      <w:pPr>
        <w:ind w:left="1440" w:hanging="360"/>
      </w:pPr>
    </w:lvl>
    <w:lvl w:ilvl="2" w:tplc="DCD0D180">
      <w:start w:val="1"/>
      <w:numFmt w:val="bullet"/>
      <w:lvlText w:val="■"/>
      <w:lvlJc w:val="left"/>
      <w:pPr>
        <w:ind w:left="2160" w:hanging="360"/>
      </w:pPr>
    </w:lvl>
    <w:lvl w:ilvl="3" w:tplc="AF864D5E">
      <w:start w:val="1"/>
      <w:numFmt w:val="bullet"/>
      <w:lvlText w:val="●"/>
      <w:lvlJc w:val="left"/>
      <w:pPr>
        <w:ind w:left="2880" w:hanging="360"/>
      </w:pPr>
    </w:lvl>
    <w:lvl w:ilvl="4" w:tplc="A04E43B0">
      <w:start w:val="1"/>
      <w:numFmt w:val="bullet"/>
      <w:lvlText w:val="○"/>
      <w:lvlJc w:val="left"/>
      <w:pPr>
        <w:ind w:left="3600" w:hanging="360"/>
      </w:pPr>
    </w:lvl>
    <w:lvl w:ilvl="5" w:tplc="1422A9DC">
      <w:start w:val="1"/>
      <w:numFmt w:val="bullet"/>
      <w:lvlText w:val="■"/>
      <w:lvlJc w:val="left"/>
      <w:pPr>
        <w:ind w:left="4320" w:hanging="360"/>
      </w:pPr>
    </w:lvl>
    <w:lvl w:ilvl="6" w:tplc="C928A7F4">
      <w:start w:val="1"/>
      <w:numFmt w:val="bullet"/>
      <w:lvlText w:val="●"/>
      <w:lvlJc w:val="left"/>
      <w:pPr>
        <w:ind w:left="5040" w:hanging="360"/>
      </w:pPr>
    </w:lvl>
    <w:lvl w:ilvl="7" w:tplc="BB5AF280">
      <w:start w:val="1"/>
      <w:numFmt w:val="bullet"/>
      <w:lvlText w:val="●"/>
      <w:lvlJc w:val="left"/>
      <w:pPr>
        <w:ind w:left="5760" w:hanging="360"/>
      </w:pPr>
    </w:lvl>
    <w:lvl w:ilvl="8" w:tplc="BF548966">
      <w:start w:val="1"/>
      <w:numFmt w:val="bullet"/>
      <w:lvlText w:val="●"/>
      <w:lvlJc w:val="left"/>
      <w:pPr>
        <w:ind w:left="6480" w:hanging="360"/>
      </w:pPr>
    </w:lvl>
  </w:abstractNum>
  <w:num w:numId="1" w16cid:durableId="1223905286">
    <w:abstractNumId w:val="1"/>
    <w:lvlOverride w:ilvl="0">
      <w:startOverride w:val="1"/>
    </w:lvlOverride>
  </w:num>
  <w:num w:numId="2" w16cid:durableId="13063976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E11"/>
    <w:rsid w:val="00122E11"/>
    <w:rsid w:val="00936BEA"/>
    <w:rsid w:val="00C04F39"/>
    <w:rsid w:val="00E7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847F5"/>
  <w15:docId w15:val="{13FF3969-1F56-4121-BA86-A349562EE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36BE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36BE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704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ramirez mamani</cp:lastModifiedBy>
  <cp:revision>2</cp:revision>
  <dcterms:created xsi:type="dcterms:W3CDTF">2026-06-13T19:20:00Z</dcterms:created>
  <dcterms:modified xsi:type="dcterms:W3CDTF">2026-06-14T00:47:00Z</dcterms:modified>
</cp:coreProperties>
</file>