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B2B54" w14:textId="77777777" w:rsidR="006F5F2F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443A00F8" w14:textId="77777777" w:rsidR="006F5F2F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00440091" w14:textId="77777777" w:rsidR="006F5F2F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SEXTA ENTREGA</w:t>
      </w:r>
    </w:p>
    <w:p w14:paraId="4BD65F51" w14:textId="77777777" w:rsidR="006F5F2F" w:rsidRDefault="00000000">
      <w:pPr>
        <w:spacing w:before="60" w:after="60"/>
        <w:jc w:val="center"/>
      </w:pPr>
      <w:r>
        <w:rPr>
          <w:color w:val="595959"/>
        </w:rPr>
        <w:t>Transferencia de Tecnología · Informe Final</w:t>
      </w:r>
    </w:p>
    <w:p w14:paraId="7A137972" w14:textId="77777777" w:rsidR="006F5F2F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6F5F2F" w14:paraId="6581A5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26FC87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B2B975" w14:textId="77777777" w:rsidR="006F5F2F" w:rsidRDefault="00000000">
            <w:r>
              <w:rPr>
                <w:sz w:val="20"/>
                <w:szCs w:val="20"/>
              </w:rPr>
              <w:t>Sexta Entrega (hasta 260 días hábiles)</w:t>
            </w:r>
          </w:p>
        </w:tc>
      </w:tr>
      <w:tr w:rsidR="006F5F2F" w14:paraId="563886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16475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7B285" w14:textId="77777777" w:rsidR="006F5F2F" w:rsidRDefault="00000000">
            <w:r>
              <w:rPr>
                <w:sz w:val="20"/>
                <w:szCs w:val="20"/>
              </w:rPr>
              <w:t>Transferencia de tecnología · Capacitación · Informe final</w:t>
            </w:r>
          </w:p>
        </w:tc>
      </w:tr>
      <w:tr w:rsidR="006F5F2F" w14:paraId="0952A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82978B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FC90FB" w14:textId="77777777" w:rsidR="006F5F2F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6F5F2F" w14:paraId="7C97D7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9103F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10EF7" w14:textId="77777777" w:rsidR="006F5F2F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6F5F2F" w14:paraId="4347E1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4EA14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4E166" w14:textId="77777777" w:rsidR="006F5F2F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6F5F2F" w14:paraId="5F19B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A742E4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DEC29" w14:textId="77777777" w:rsidR="006F5F2F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6F5F2F" w14:paraId="009839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AA9523" w14:textId="77777777" w:rsidR="006F5F2F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286ADB" w14:textId="77777777" w:rsidR="006F5F2F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6AD89F4A" w14:textId="77777777" w:rsidR="006F5F2F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1363DAB0" w14:textId="77777777" w:rsidR="006F5F2F" w:rsidRDefault="00000000">
      <w:r>
        <w:br w:type="page"/>
      </w:r>
    </w:p>
    <w:p w14:paraId="78C95A3D" w14:textId="77777777" w:rsidR="006F5F2F" w:rsidRDefault="006F5F2F">
      <w:pPr>
        <w:sectPr w:rsidR="006F5F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97E13A" w14:textId="77777777" w:rsidR="006F5F2F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60A84CB4" w14:textId="77777777" w:rsidR="006F5F2F" w:rsidRDefault="006F5F2F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-1453939694"/>
      </w:sdtPr>
      <w:sdtContent>
        <w:p w14:paraId="35FF73E9" w14:textId="0D866F49" w:rsidR="00BC741B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6137" w:history="1">
            <w:r w:rsidR="00BC741B" w:rsidRPr="00320415">
              <w:rPr>
                <w:rStyle w:val="Hipervnculo"/>
                <w:noProof/>
              </w:rPr>
              <w:t>1. Introducción</w:t>
            </w:r>
            <w:r w:rsidR="00BC741B">
              <w:rPr>
                <w:noProof/>
              </w:rPr>
              <w:tab/>
            </w:r>
            <w:r w:rsidR="00BC741B">
              <w:rPr>
                <w:noProof/>
              </w:rPr>
              <w:fldChar w:fldCharType="begin"/>
            </w:r>
            <w:r w:rsidR="00BC741B">
              <w:rPr>
                <w:noProof/>
              </w:rPr>
              <w:instrText xml:space="preserve"> PAGEREF _Toc232276137 \h </w:instrText>
            </w:r>
            <w:r w:rsidR="00BC741B">
              <w:rPr>
                <w:noProof/>
              </w:rPr>
            </w:r>
            <w:r w:rsidR="00BC741B">
              <w:rPr>
                <w:noProof/>
              </w:rPr>
              <w:fldChar w:fldCharType="separate"/>
            </w:r>
            <w:r w:rsidR="00BC741B">
              <w:rPr>
                <w:noProof/>
              </w:rPr>
              <w:t>3</w:t>
            </w:r>
            <w:r w:rsidR="00BC741B">
              <w:rPr>
                <w:noProof/>
              </w:rPr>
              <w:fldChar w:fldCharType="end"/>
            </w:r>
          </w:hyperlink>
        </w:p>
        <w:p w14:paraId="240E84D1" w14:textId="235BF33E" w:rsidR="00BC741B" w:rsidRDefault="00BC741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38" w:history="1">
            <w:r w:rsidRPr="00320415">
              <w:rPr>
                <w:rStyle w:val="Hipervnculo"/>
                <w:noProof/>
              </w:rPr>
              <w:t>2. Conclusión de la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C0A113A" w14:textId="2C8FB20C" w:rsidR="00BC741B" w:rsidRDefault="00BC741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39" w:history="1">
            <w:r w:rsidRPr="00320415">
              <w:rPr>
                <w:rStyle w:val="Hipervnculo"/>
                <w:noProof/>
              </w:rPr>
              <w:t>3. Transferencia de Tecnología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43CCF8" w14:textId="7AF760D6" w:rsidR="00BC741B" w:rsidRDefault="00BC741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0" w:history="1">
            <w:r w:rsidRPr="00320415">
              <w:rPr>
                <w:rStyle w:val="Hipervnculo"/>
                <w:noProof/>
              </w:rPr>
              <w:t>3.1. Capacitación a nivel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1AF2FB" w14:textId="79DD1AE6" w:rsidR="00BC741B" w:rsidRDefault="00BC741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1" w:history="1">
            <w:r w:rsidRPr="00320415">
              <w:rPr>
                <w:rStyle w:val="Hipervnculo"/>
                <w:noProof/>
              </w:rPr>
              <w:t>3.2. Taller funcional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E83317" w14:textId="564B1B54" w:rsidR="00BC741B" w:rsidRDefault="00BC741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2" w:history="1">
            <w:r w:rsidRPr="00320415">
              <w:rPr>
                <w:rStyle w:val="Hipervnculo"/>
                <w:noProof/>
              </w:rPr>
              <w:t>4. Documentación Entregada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FCE422" w14:textId="1412E9E5" w:rsidR="00BC741B" w:rsidRDefault="00BC741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3" w:history="1">
            <w:r w:rsidRPr="00320415">
              <w:rPr>
                <w:rStyle w:val="Hipervnculo"/>
                <w:noProof/>
              </w:rPr>
              <w:t>5. Informe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C8999B" w14:textId="08881614" w:rsidR="00BC741B" w:rsidRDefault="00BC741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4" w:history="1">
            <w:r w:rsidRPr="00320415">
              <w:rPr>
                <w:rStyle w:val="Hipervnculo"/>
                <w:noProof/>
              </w:rPr>
              <w:t>5.1. Resultados de la capacitación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B9C46C" w14:textId="5849673D" w:rsidR="00BC741B" w:rsidRDefault="00BC741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5" w:history="1">
            <w:r w:rsidRPr="00320415">
              <w:rPr>
                <w:rStyle w:val="Hipervnculo"/>
                <w:noProof/>
              </w:rPr>
              <w:t>5.2. Resultados de la consultoría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B13979" w14:textId="13C3BBA5" w:rsidR="00BC741B" w:rsidRDefault="00BC741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6" w:history="1">
            <w:r w:rsidRPr="00320415">
              <w:rPr>
                <w:rStyle w:val="Hipervnculo"/>
                <w:noProof/>
              </w:rPr>
              <w:t>5.3. Resultados de la puesta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F6D9C9" w14:textId="13B6C2FB" w:rsidR="00BC741B" w:rsidRDefault="00BC741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6147" w:history="1">
            <w:r w:rsidRPr="00320415">
              <w:rPr>
                <w:rStyle w:val="Hipervnculo"/>
                <w:noProof/>
              </w:rPr>
              <w:t>6. Cierre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845FEF" w14:textId="77777777" w:rsidR="00BC741B" w:rsidRDefault="00000000">
          <w:r>
            <w:fldChar w:fldCharType="end"/>
          </w:r>
        </w:p>
      </w:sdtContent>
    </w:sdt>
    <w:p w14:paraId="65668A04" w14:textId="20D7166F" w:rsidR="006F5F2F" w:rsidRDefault="00000000">
      <w:r>
        <w:br w:type="page"/>
      </w:r>
    </w:p>
    <w:p w14:paraId="29C9B3B7" w14:textId="77777777" w:rsidR="006F5F2F" w:rsidRDefault="006F5F2F">
      <w:pPr>
        <w:sectPr w:rsidR="006F5F2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A003B6A" w14:textId="77777777" w:rsidR="006F5F2F" w:rsidRDefault="00000000">
      <w:pPr>
        <w:pStyle w:val="Ttulo1"/>
      </w:pPr>
      <w:bookmarkStart w:id="0" w:name="_Toc232276137"/>
      <w:r>
        <w:lastRenderedPageBreak/>
        <w:t>1. Introducción</w:t>
      </w:r>
      <w:bookmarkEnd w:id="0"/>
    </w:p>
    <w:p w14:paraId="35F4135F" w14:textId="77777777" w:rsidR="006F5F2F" w:rsidRDefault="006F5F2F">
      <w:pPr>
        <w:pBdr>
          <w:bottom w:val="single" w:sz="6" w:space="1" w:color="2E75B6"/>
        </w:pBdr>
        <w:spacing w:after="120"/>
      </w:pPr>
    </w:p>
    <w:p w14:paraId="6F97F063" w14:textId="77777777" w:rsidR="006F5F2F" w:rsidRDefault="00000000">
      <w:pPr>
        <w:spacing w:after="120" w:line="276" w:lineRule="auto"/>
        <w:jc w:val="both"/>
      </w:pPr>
      <w:r>
        <w:t>El presente documento constituye la Sexta y última Entrega de la consultoría, en el marco de la Licitación Pública Nº 04/2023. Conforme a los Términos de Referencia, comprende hasta los 260 días hábiles e incluye la conclusión de la plataforma, la transferencia de tecnología, la capacitación al equipo del BDP – S.A.M. y el informe final.</w:t>
      </w:r>
    </w:p>
    <w:p w14:paraId="32EDEDBE" w14:textId="77777777" w:rsidR="006F5F2F" w:rsidRDefault="00000000">
      <w:pPr>
        <w:spacing w:after="120" w:line="276" w:lineRule="auto"/>
        <w:jc w:val="both"/>
      </w:pPr>
      <w:r>
        <w:t>Esta entrega cierra el proyecto, dejando el sistema SG-BDP en producción y al equipo del banco capacitado para su operación y administración.</w:t>
      </w:r>
    </w:p>
    <w:p w14:paraId="6CC65B87" w14:textId="77777777" w:rsidR="006F5F2F" w:rsidRDefault="00000000">
      <w:pPr>
        <w:pStyle w:val="Ttulo1"/>
      </w:pPr>
      <w:bookmarkStart w:id="1" w:name="_Toc232276138"/>
      <w:r>
        <w:t>2. Conclusión de la Plataforma</w:t>
      </w:r>
      <w:bookmarkEnd w:id="1"/>
    </w:p>
    <w:p w14:paraId="10B22B27" w14:textId="77777777" w:rsidR="006F5F2F" w:rsidRDefault="006F5F2F">
      <w:pPr>
        <w:pBdr>
          <w:bottom w:val="single" w:sz="6" w:space="1" w:color="2E75B6"/>
        </w:pBdr>
        <w:spacing w:after="120"/>
      </w:pPr>
    </w:p>
    <w:p w14:paraId="1E2E3A3B" w14:textId="77777777" w:rsidR="006F5F2F" w:rsidRDefault="00000000">
      <w:pPr>
        <w:spacing w:after="120" w:line="276" w:lineRule="auto"/>
        <w:jc w:val="both"/>
      </w:pPr>
      <w:r>
        <w:t>La plataforma SG-BDP se entrega concluida según las características solicitadas, con la totalidad de los módulos operativos, responsiva y validada mediante pruebas y prueba piloto. La solución integra ambos portales (Administrativo y Cliente) bajo esquema de seguridad Zero Trust con MFA.</w:t>
      </w:r>
    </w:p>
    <w:p w14:paraId="6E7CB2B6" w14:textId="77777777" w:rsidR="006F5F2F" w:rsidRDefault="00000000">
      <w:pPr>
        <w:pStyle w:val="Ttulo1"/>
      </w:pPr>
      <w:bookmarkStart w:id="2" w:name="_Toc232276139"/>
      <w:r>
        <w:t>3. Transferencia de Tecnología</w:t>
      </w:r>
      <w:bookmarkEnd w:id="2"/>
    </w:p>
    <w:p w14:paraId="40E0E2AF" w14:textId="77777777" w:rsidR="006F5F2F" w:rsidRDefault="006F5F2F">
      <w:pPr>
        <w:pBdr>
          <w:bottom w:val="single" w:sz="6" w:space="1" w:color="2E75B6"/>
        </w:pBdr>
        <w:spacing w:after="120"/>
      </w:pPr>
    </w:p>
    <w:p w14:paraId="0E652314" w14:textId="77777777" w:rsidR="006F5F2F" w:rsidRDefault="00000000">
      <w:pPr>
        <w:spacing w:after="120" w:line="276" w:lineRule="auto"/>
        <w:jc w:val="both"/>
      </w:pPr>
      <w:r>
        <w:t>La transferencia de tecnología se ejecutó conforme al siguiente cronograma, incluyendo la capacitación a nivel administrador y el taller funcional al equipo del banco.</w:t>
      </w:r>
    </w:p>
    <w:p w14:paraId="58FF5F07" w14:textId="77777777" w:rsidR="006F5F2F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5A40379" wp14:editId="402624A1">
            <wp:extent cx="5524500" cy="2209800"/>
            <wp:effectExtent l="0" t="0" r="0" b="0"/>
            <wp:docPr id="1" name="g_transferencia.png" descr="g_transferencia.png" title="g_transfer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6230" w14:textId="77777777" w:rsidR="006F5F2F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Cronograma de transferencia de tecnología.</w:t>
      </w:r>
    </w:p>
    <w:p w14:paraId="48DCB2B0" w14:textId="77777777" w:rsidR="006F5F2F" w:rsidRDefault="00000000">
      <w:pPr>
        <w:pStyle w:val="Ttulo2"/>
      </w:pPr>
      <w:bookmarkStart w:id="3" w:name="_Toc232276140"/>
      <w:r>
        <w:t>3.1. Capacitación a nivel administrador</w:t>
      </w:r>
      <w:bookmarkEnd w:id="3"/>
    </w:p>
    <w:p w14:paraId="55BFEF51" w14:textId="77777777" w:rsidR="006F5F2F" w:rsidRDefault="00000000">
      <w:pPr>
        <w:spacing w:after="120" w:line="276" w:lineRule="auto"/>
        <w:jc w:val="both"/>
      </w:pPr>
      <w:r>
        <w:t>Dirigida al equipo técnico del BDP – S.A.M., abarcó la administración de la infraestructura, configuración del sistema, gestión de usuarios y mantenimiento.</w:t>
      </w:r>
    </w:p>
    <w:p w14:paraId="3F4CC70D" w14:textId="77777777" w:rsidR="006F5F2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Infraestructura: </w:t>
      </w:r>
      <w:r>
        <w:t>instalación, despliegue y configuración del sistema.</w:t>
      </w:r>
    </w:p>
    <w:p w14:paraId="7F7D0247" w14:textId="77777777" w:rsidR="006F5F2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t xml:space="preserve">Administración: </w:t>
      </w:r>
      <w:r>
        <w:t>gestión de usuarios, roles, parámetros y respaldos.</w:t>
      </w:r>
    </w:p>
    <w:p w14:paraId="79CD65B6" w14:textId="77777777" w:rsidR="006F5F2F" w:rsidRDefault="00000000">
      <w:pPr>
        <w:pStyle w:val="Prrafodelista"/>
        <w:numPr>
          <w:ilvl w:val="0"/>
          <w:numId w:val="2"/>
        </w:numPr>
        <w:spacing w:after="60" w:line="264" w:lineRule="auto"/>
        <w:jc w:val="both"/>
      </w:pPr>
      <w:r>
        <w:rPr>
          <w:b/>
          <w:bCs/>
          <w:color w:val="1F3864"/>
        </w:rPr>
        <w:lastRenderedPageBreak/>
        <w:t xml:space="preserve">Operación: </w:t>
      </w:r>
      <w:r>
        <w:t>monitoreo, pistas de auditoría y resolución de incidencias.</w:t>
      </w:r>
    </w:p>
    <w:p w14:paraId="57C3E423" w14:textId="77777777" w:rsidR="006F5F2F" w:rsidRDefault="00000000">
      <w:pPr>
        <w:pStyle w:val="Ttulo2"/>
      </w:pPr>
      <w:bookmarkStart w:id="4" w:name="_Toc232276141"/>
      <w:r>
        <w:t>3.2. Taller funcional</w:t>
      </w:r>
      <w:bookmarkEnd w:id="4"/>
    </w:p>
    <w:p w14:paraId="4610421E" w14:textId="4F615C31" w:rsidR="006F5F2F" w:rsidRDefault="00000000" w:rsidP="00BC741B">
      <w:pPr>
        <w:spacing w:after="120" w:line="276" w:lineRule="auto"/>
        <w:jc w:val="both"/>
      </w:pPr>
      <w:r>
        <w:t>Dirigido a los usuarios finales (oficiales y analistas), cubrió el uso completo de la plataforma a través de casos prácticos del proceso crediticio.</w:t>
      </w:r>
    </w:p>
    <w:p w14:paraId="78C5562E" w14:textId="77777777" w:rsidR="006F5F2F" w:rsidRDefault="00000000">
      <w:pPr>
        <w:pStyle w:val="Ttulo1"/>
      </w:pPr>
      <w:bookmarkStart w:id="5" w:name="_Toc232276142"/>
      <w:r>
        <w:t>4. Documentación Entregada</w:t>
      </w:r>
      <w:bookmarkEnd w:id="5"/>
    </w:p>
    <w:p w14:paraId="45882862" w14:textId="77777777" w:rsidR="006F5F2F" w:rsidRDefault="006F5F2F">
      <w:pPr>
        <w:pBdr>
          <w:bottom w:val="single" w:sz="6" w:space="1" w:color="2E75B6"/>
        </w:pBdr>
        <w:spacing w:after="120"/>
      </w:pPr>
    </w:p>
    <w:p w14:paraId="1382133E" w14:textId="77777777" w:rsidR="006F5F2F" w:rsidRDefault="00000000">
      <w:pPr>
        <w:spacing w:after="120" w:line="276" w:lineRule="auto"/>
        <w:jc w:val="both"/>
      </w:pPr>
      <w:r>
        <w:t>Como parte del entregable final, se entregó el conjunto completo de documentos técnicos y de gestión requeridos por el TDR: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  <w:gridCol w:w="2960"/>
      </w:tblGrid>
      <w:tr w:rsidR="006F5F2F" w14:paraId="50A25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28EA9F" w14:textId="77777777" w:rsidR="006F5F2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D98F9" w14:textId="77777777" w:rsidR="006F5F2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6F5F2F" w14:paraId="1C28FB00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3D4233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Plan de Gestión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21438B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4AB3B561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31E625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Manual de Usuario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570DA7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72EDC09B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231DD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Especificación de Casos de Uso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7FCD24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65CC8273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02F50B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Manual de Instalación y Configuración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7F6EDA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2E38AED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B56D23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Diseño de Interfaces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28BF1D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7175AB6A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98A993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Diseño Detallado de Software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E5813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3B29B302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DEB88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Fuentes (código)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19B25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521CAD8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52207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Scripts de Base de Datos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73944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326760A7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3B2835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Informe de Seguridad y Control de Calidad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24A40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700587BF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F3B39F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Documento de pruebas con usuarios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3EA325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  <w:tr w:rsidR="006F5F2F" w14:paraId="100BB174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5AB44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Acta de Conformidad Usuaria</w:t>
            </w:r>
          </w:p>
        </w:tc>
        <w:tc>
          <w:tcPr>
            <w:tcW w:w="2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F8135C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Entregado</w:t>
            </w:r>
          </w:p>
        </w:tc>
      </w:tr>
    </w:tbl>
    <w:p w14:paraId="34CEE74C" w14:textId="77777777" w:rsidR="006F5F2F" w:rsidRDefault="00000000">
      <w:pPr>
        <w:pStyle w:val="Ttulo1"/>
      </w:pPr>
      <w:bookmarkStart w:id="6" w:name="_Toc232276143"/>
      <w:r>
        <w:t>5. Informe Final</w:t>
      </w:r>
      <w:bookmarkEnd w:id="6"/>
    </w:p>
    <w:p w14:paraId="008C20F6" w14:textId="77777777" w:rsidR="006F5F2F" w:rsidRDefault="006F5F2F">
      <w:pPr>
        <w:pBdr>
          <w:bottom w:val="single" w:sz="6" w:space="1" w:color="2E75B6"/>
        </w:pBdr>
        <w:spacing w:after="120"/>
      </w:pPr>
    </w:p>
    <w:p w14:paraId="1AD92262" w14:textId="77777777" w:rsidR="006F5F2F" w:rsidRDefault="00000000">
      <w:pPr>
        <w:pStyle w:val="Ttulo2"/>
      </w:pPr>
      <w:bookmarkStart w:id="7" w:name="_Toc232276144"/>
      <w:r>
        <w:t>5.1. Resultados de la capacitación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6F5F2F" w14:paraId="71CCB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8D91B" w14:textId="77777777" w:rsidR="006F5F2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Aspecto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D9512" w14:textId="77777777" w:rsidR="006F5F2F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6F5F2F" w14:paraId="28DFC79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423714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Personal capacitado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47E317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Equipo técnico y usuarios finales.</w:t>
            </w:r>
          </w:p>
        </w:tc>
      </w:tr>
      <w:tr w:rsidR="006F5F2F" w14:paraId="6FD797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F9BF35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Talleres realizados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2920AF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Administrador + funcional.</w:t>
            </w:r>
          </w:p>
        </w:tc>
      </w:tr>
      <w:tr w:rsidR="006F5F2F" w14:paraId="170DC0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D6B4A" w14:textId="77777777" w:rsidR="006F5F2F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Nivel de adopción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69CDED" w14:textId="77777777" w:rsidR="006F5F2F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Alto.</w:t>
            </w:r>
          </w:p>
        </w:tc>
      </w:tr>
    </w:tbl>
    <w:p w14:paraId="05B14CC1" w14:textId="77777777" w:rsidR="006F5F2F" w:rsidRDefault="00000000">
      <w:pPr>
        <w:pStyle w:val="Ttulo2"/>
      </w:pPr>
      <w:bookmarkStart w:id="8" w:name="_Toc232276145"/>
      <w:r>
        <w:t>5.2. Resultados de la consultoría</w:t>
      </w:r>
      <w:bookmarkEnd w:id="8"/>
    </w:p>
    <w:p w14:paraId="7DDA4D58" w14:textId="77777777" w:rsidR="006F5F2F" w:rsidRDefault="00000000">
      <w:pPr>
        <w:spacing w:after="120" w:line="276" w:lineRule="auto"/>
        <w:jc w:val="both"/>
      </w:pPr>
      <w:r>
        <w:t>La consultoría cumplió con el objetivo de desarrollar una plataforma virtual para la digitalización del proceso crediticio PYME y Banca Empresa, optimizando el proceso mediante scoring automatizado, evaluación financiera y seguimiento en línea.</w:t>
      </w:r>
    </w:p>
    <w:p w14:paraId="3AD622E1" w14:textId="77777777" w:rsidR="006F5F2F" w:rsidRDefault="00000000">
      <w:pPr>
        <w:pStyle w:val="Ttulo2"/>
      </w:pPr>
      <w:bookmarkStart w:id="9" w:name="_Toc232276146"/>
      <w:r>
        <w:t>5.3. Resultados de la puesta en producción</w:t>
      </w:r>
      <w:bookmarkEnd w:id="9"/>
    </w:p>
    <w:p w14:paraId="4404D998" w14:textId="77777777" w:rsidR="006F5F2F" w:rsidRDefault="00000000">
      <w:pPr>
        <w:spacing w:after="120" w:line="276" w:lineRule="auto"/>
        <w:jc w:val="both"/>
      </w:pPr>
      <w:r>
        <w:lastRenderedPageBreak/>
        <w:t>El sistema SG-BDP fue puesto en producción e instalado satisfactoriamente, quedando operativo para la gestión de solicitudes de crédito del banco.</w:t>
      </w:r>
    </w:p>
    <w:p w14:paraId="091C7D7B" w14:textId="77777777" w:rsidR="006F5F2F" w:rsidRDefault="00000000">
      <w:pPr>
        <w:pStyle w:val="Ttulo1"/>
      </w:pPr>
      <w:bookmarkStart w:id="10" w:name="_Toc232276147"/>
      <w:r>
        <w:t>6. Cierre del Proyecto</w:t>
      </w:r>
      <w:bookmarkEnd w:id="10"/>
    </w:p>
    <w:p w14:paraId="25068252" w14:textId="77777777" w:rsidR="006F5F2F" w:rsidRDefault="006F5F2F">
      <w:pPr>
        <w:pBdr>
          <w:bottom w:val="single" w:sz="6" w:space="1" w:color="2E75B6"/>
        </w:pBdr>
        <w:spacing w:after="120"/>
      </w:pPr>
    </w:p>
    <w:p w14:paraId="05C244D5" w14:textId="77777777" w:rsidR="006F5F2F" w:rsidRDefault="00000000">
      <w:pPr>
        <w:spacing w:after="120" w:line="276" w:lineRule="auto"/>
        <w:jc w:val="both"/>
      </w:pPr>
      <w:r>
        <w:t>Con la entrega de la plataforma concluida, la transferencia de tecnología, la capacitación y el informe final, se da por cerrado el proyecto de digitalización del proceso crediticio PYME y Banca Empresa del BDP – S.A.M.</w:t>
      </w:r>
    </w:p>
    <w:p w14:paraId="08D745F8" w14:textId="77777777" w:rsidR="006F5F2F" w:rsidRDefault="00000000">
      <w:pPr>
        <w:spacing w:line="276" w:lineRule="auto"/>
        <w:jc w:val="both"/>
      </w:pPr>
      <w:r>
        <w:t>El sistema SG-BDP queda en producción, el equipo del banco capacitado y la documentación completa entregada, cumpliendo la totalidad de los productos comprometidos en los Términos de Referencia.</w:t>
      </w:r>
    </w:p>
    <w:sectPr w:rsidR="006F5F2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76389" w14:textId="77777777" w:rsidR="00E5617D" w:rsidRDefault="00E5617D">
      <w:r>
        <w:separator/>
      </w:r>
    </w:p>
  </w:endnote>
  <w:endnote w:type="continuationSeparator" w:id="0">
    <w:p w14:paraId="60139323" w14:textId="77777777" w:rsidR="00E5617D" w:rsidRDefault="00E56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1AA45" w14:textId="77777777" w:rsidR="006F5F2F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6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C741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BC741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602E1" w14:textId="77777777" w:rsidR="00E5617D" w:rsidRDefault="00E5617D">
      <w:r>
        <w:separator/>
      </w:r>
    </w:p>
  </w:footnote>
  <w:footnote w:type="continuationSeparator" w:id="0">
    <w:p w14:paraId="5ADB5F9A" w14:textId="77777777" w:rsidR="00E5617D" w:rsidRDefault="00E56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BA6E1" w14:textId="77777777" w:rsidR="006F5F2F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Sexta Entrega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47DED"/>
    <w:multiLevelType w:val="hybridMultilevel"/>
    <w:tmpl w:val="F13AFA06"/>
    <w:lvl w:ilvl="0" w:tplc="826CDCEC">
      <w:start w:val="1"/>
      <w:numFmt w:val="bullet"/>
      <w:lvlText w:val="●"/>
      <w:lvlJc w:val="left"/>
      <w:pPr>
        <w:ind w:left="720" w:hanging="360"/>
      </w:pPr>
    </w:lvl>
    <w:lvl w:ilvl="1" w:tplc="EB941C78">
      <w:start w:val="1"/>
      <w:numFmt w:val="bullet"/>
      <w:lvlText w:val="○"/>
      <w:lvlJc w:val="left"/>
      <w:pPr>
        <w:ind w:left="1440" w:hanging="360"/>
      </w:pPr>
    </w:lvl>
    <w:lvl w:ilvl="2" w:tplc="AC0CC44A">
      <w:start w:val="1"/>
      <w:numFmt w:val="bullet"/>
      <w:lvlText w:val="■"/>
      <w:lvlJc w:val="left"/>
      <w:pPr>
        <w:ind w:left="2160" w:hanging="360"/>
      </w:pPr>
    </w:lvl>
    <w:lvl w:ilvl="3" w:tplc="D0609C7C">
      <w:start w:val="1"/>
      <w:numFmt w:val="bullet"/>
      <w:lvlText w:val="●"/>
      <w:lvlJc w:val="left"/>
      <w:pPr>
        <w:ind w:left="2880" w:hanging="360"/>
      </w:pPr>
    </w:lvl>
    <w:lvl w:ilvl="4" w:tplc="D334FA8C">
      <w:start w:val="1"/>
      <w:numFmt w:val="bullet"/>
      <w:lvlText w:val="○"/>
      <w:lvlJc w:val="left"/>
      <w:pPr>
        <w:ind w:left="3600" w:hanging="360"/>
      </w:pPr>
    </w:lvl>
    <w:lvl w:ilvl="5" w:tplc="911A1142">
      <w:start w:val="1"/>
      <w:numFmt w:val="bullet"/>
      <w:lvlText w:val="■"/>
      <w:lvlJc w:val="left"/>
      <w:pPr>
        <w:ind w:left="4320" w:hanging="360"/>
      </w:pPr>
    </w:lvl>
    <w:lvl w:ilvl="6" w:tplc="6B087EE8">
      <w:start w:val="1"/>
      <w:numFmt w:val="bullet"/>
      <w:lvlText w:val="●"/>
      <w:lvlJc w:val="left"/>
      <w:pPr>
        <w:ind w:left="5040" w:hanging="360"/>
      </w:pPr>
    </w:lvl>
    <w:lvl w:ilvl="7" w:tplc="F7CCE6B8">
      <w:start w:val="1"/>
      <w:numFmt w:val="bullet"/>
      <w:lvlText w:val="●"/>
      <w:lvlJc w:val="left"/>
      <w:pPr>
        <w:ind w:left="5760" w:hanging="360"/>
      </w:pPr>
    </w:lvl>
    <w:lvl w:ilvl="8" w:tplc="A4C6C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C013A3"/>
    <w:multiLevelType w:val="hybridMultilevel"/>
    <w:tmpl w:val="2DDA878C"/>
    <w:lvl w:ilvl="0" w:tplc="9984FBE2">
      <w:start w:val="1"/>
      <w:numFmt w:val="bullet"/>
      <w:lvlText w:val="•"/>
      <w:lvlJc w:val="left"/>
      <w:pPr>
        <w:ind w:left="620" w:hanging="320"/>
      </w:pPr>
    </w:lvl>
    <w:lvl w:ilvl="1" w:tplc="BCD8649E">
      <w:numFmt w:val="decimal"/>
      <w:lvlText w:val=""/>
      <w:lvlJc w:val="left"/>
    </w:lvl>
    <w:lvl w:ilvl="2" w:tplc="72988E7E">
      <w:numFmt w:val="decimal"/>
      <w:lvlText w:val=""/>
      <w:lvlJc w:val="left"/>
    </w:lvl>
    <w:lvl w:ilvl="3" w:tplc="F5101942">
      <w:numFmt w:val="decimal"/>
      <w:lvlText w:val=""/>
      <w:lvlJc w:val="left"/>
    </w:lvl>
    <w:lvl w:ilvl="4" w:tplc="75C2F632">
      <w:numFmt w:val="decimal"/>
      <w:lvlText w:val=""/>
      <w:lvlJc w:val="left"/>
    </w:lvl>
    <w:lvl w:ilvl="5" w:tplc="879876BA">
      <w:numFmt w:val="decimal"/>
      <w:lvlText w:val=""/>
      <w:lvlJc w:val="left"/>
    </w:lvl>
    <w:lvl w:ilvl="6" w:tplc="3752A704">
      <w:numFmt w:val="decimal"/>
      <w:lvlText w:val=""/>
      <w:lvlJc w:val="left"/>
    </w:lvl>
    <w:lvl w:ilvl="7" w:tplc="CF127E9A">
      <w:numFmt w:val="decimal"/>
      <w:lvlText w:val=""/>
      <w:lvlJc w:val="left"/>
    </w:lvl>
    <w:lvl w:ilvl="8" w:tplc="6BAAE4B6">
      <w:numFmt w:val="decimal"/>
      <w:lvlText w:val=""/>
      <w:lvlJc w:val="left"/>
    </w:lvl>
  </w:abstractNum>
  <w:num w:numId="1" w16cid:durableId="1422024329">
    <w:abstractNumId w:val="0"/>
    <w:lvlOverride w:ilvl="0">
      <w:startOverride w:val="1"/>
    </w:lvlOverride>
  </w:num>
  <w:num w:numId="2" w16cid:durableId="1314487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F2F"/>
    <w:rsid w:val="006F5F2F"/>
    <w:rsid w:val="008C3DB8"/>
    <w:rsid w:val="00BC741B"/>
    <w:rsid w:val="00E5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421D7"/>
  <w15:docId w15:val="{3C1C3CED-EB3C-4CF8-B577-4773F484A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C74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741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764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2026-06-13T19:20:00Z</dcterms:created>
  <dcterms:modified xsi:type="dcterms:W3CDTF">2026-06-14T00:49:00Z</dcterms:modified>
</cp:coreProperties>
</file>