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178CE888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  <w:r w:rsidR="002157F3">
        <w:rPr>
          <w:b/>
          <w:bCs/>
          <w:sz w:val="32"/>
          <w:szCs w:val="32"/>
        </w:rPr>
        <w:t xml:space="preserve"> – </w:t>
      </w:r>
      <w:proofErr w:type="spellStart"/>
      <w:r w:rsidR="002157F3">
        <w:rPr>
          <w:b/>
          <w:bCs/>
          <w:sz w:val="32"/>
          <w:szCs w:val="32"/>
        </w:rPr>
        <w:t>DoseCerta</w:t>
      </w:r>
      <w:proofErr w:type="spellEnd"/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832938" w14:textId="3581812F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2157F3">
        <w:rPr>
          <w:rFonts w:ascii="Arial" w:hAnsi="Arial" w:cs="Arial"/>
          <w:b/>
          <w:bCs/>
          <w:sz w:val="28"/>
          <w:szCs w:val="28"/>
        </w:rPr>
        <w:t xml:space="preserve"> 14 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2157F3">
        <w:rPr>
          <w:rFonts w:ascii="Arial" w:hAnsi="Arial" w:cs="Arial"/>
          <w:b/>
          <w:bCs/>
          <w:sz w:val="28"/>
          <w:szCs w:val="28"/>
        </w:rPr>
        <w:t xml:space="preserve"> 03 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2157F3">
        <w:rPr>
          <w:rFonts w:ascii="Arial" w:hAnsi="Arial" w:cs="Arial"/>
          <w:b/>
          <w:bCs/>
          <w:sz w:val="28"/>
          <w:szCs w:val="28"/>
        </w:rPr>
        <w:t xml:space="preserve"> 2024</w:t>
      </w:r>
    </w:p>
    <w:p w14:paraId="1CA70FDE" w14:textId="7D1FADEF" w:rsidR="009E72BE" w:rsidRDefault="009E72BE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360A202" w14:textId="154343D8" w:rsidR="0047686A" w:rsidRDefault="0047686A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** </w:t>
      </w:r>
      <w:r w:rsidR="00B6308C">
        <w:rPr>
          <w:rFonts w:ascii="Arial" w:hAnsi="Arial" w:cs="Arial"/>
          <w:b/>
          <w:bCs/>
          <w:sz w:val="28"/>
          <w:szCs w:val="28"/>
        </w:rPr>
        <w:t xml:space="preserve">Alguns </w:t>
      </w:r>
      <w:r>
        <w:rPr>
          <w:rFonts w:ascii="Arial" w:hAnsi="Arial" w:cs="Arial"/>
          <w:b/>
          <w:bCs/>
          <w:sz w:val="28"/>
          <w:szCs w:val="28"/>
        </w:rPr>
        <w:t>Exemplos</w:t>
      </w: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6"/>
        <w:gridCol w:w="2364"/>
        <w:gridCol w:w="5551"/>
      </w:tblGrid>
      <w:tr w:rsidR="004C0200" w:rsidRPr="00B6308C" w14:paraId="01B43147" w14:textId="77777777" w:rsidTr="002157F3">
        <w:tc>
          <w:tcPr>
            <w:tcW w:w="1386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364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551" w:type="dxa"/>
          </w:tcPr>
          <w:p w14:paraId="0E58DA1D" w14:textId="5A2A0252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2157F3">
        <w:tc>
          <w:tcPr>
            <w:tcW w:w="1386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364" w:type="dxa"/>
          </w:tcPr>
          <w:p w14:paraId="569C22D1" w14:textId="187449C6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51" w:type="dxa"/>
          </w:tcPr>
          <w:p w14:paraId="3EF09E31" w14:textId="595183A6" w:rsidR="004C0200" w:rsidRPr="00B6308C" w:rsidRDefault="002157F3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157F3">
              <w:rPr>
                <w:rFonts w:ascii="Arial" w:hAnsi="Arial" w:cs="Arial"/>
                <w:sz w:val="28"/>
                <w:szCs w:val="28"/>
              </w:rPr>
              <w:t>A interface do usuário deve ser intuitiva e fácil de navegar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4C0200" w:rsidRPr="00B6308C" w14:paraId="25B4EEF6" w14:textId="77777777" w:rsidTr="002157F3">
        <w:tc>
          <w:tcPr>
            <w:tcW w:w="1386" w:type="dxa"/>
          </w:tcPr>
          <w:p w14:paraId="6256201E" w14:textId="092D94B6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364" w:type="dxa"/>
          </w:tcPr>
          <w:p w14:paraId="1D1B1A88" w14:textId="45C9877F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51" w:type="dxa"/>
          </w:tcPr>
          <w:p w14:paraId="33D5A202" w14:textId="494F7C02" w:rsidR="004C0200" w:rsidRPr="00B6308C" w:rsidRDefault="002157F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157F3">
              <w:rPr>
                <w:rFonts w:ascii="Arial" w:hAnsi="Arial" w:cs="Arial"/>
                <w:sz w:val="28"/>
                <w:szCs w:val="28"/>
              </w:rPr>
              <w:t xml:space="preserve">O acesso à aplicação deve ser protegido por autenticação </w:t>
            </w:r>
            <w:r>
              <w:rPr>
                <w:rFonts w:ascii="Arial" w:hAnsi="Arial" w:cs="Arial"/>
                <w:sz w:val="28"/>
                <w:szCs w:val="28"/>
              </w:rPr>
              <w:t>com</w:t>
            </w:r>
            <w:r w:rsidRPr="002157F3">
              <w:rPr>
                <w:rFonts w:ascii="Arial" w:hAnsi="Arial" w:cs="Arial"/>
                <w:sz w:val="28"/>
                <w:szCs w:val="28"/>
              </w:rPr>
              <w:t xml:space="preserve"> login e senha.</w:t>
            </w:r>
          </w:p>
        </w:tc>
      </w:tr>
      <w:tr w:rsidR="004C0200" w:rsidRPr="00B6308C" w14:paraId="1F8C3409" w14:textId="77777777" w:rsidTr="002157F3">
        <w:tc>
          <w:tcPr>
            <w:tcW w:w="1386" w:type="dxa"/>
          </w:tcPr>
          <w:p w14:paraId="5D42FCC5" w14:textId="40B0D795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364" w:type="dxa"/>
          </w:tcPr>
          <w:p w14:paraId="6DE7F8D1" w14:textId="438E9836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5551" w:type="dxa"/>
          </w:tcPr>
          <w:p w14:paraId="77414F4D" w14:textId="2ECAD3DD" w:rsidR="004C0200" w:rsidRPr="00B6308C" w:rsidRDefault="002157F3" w:rsidP="00CD58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157F3">
              <w:rPr>
                <w:rFonts w:ascii="Arial" w:hAnsi="Arial" w:cs="Arial"/>
                <w:sz w:val="28"/>
                <w:szCs w:val="28"/>
              </w:rPr>
              <w:t>O aplicativo deve ser capaz de processar rapidamente a configuração de alarmes e lembretes, garantindo tempos de resposta rápidos para evitar atrasos na entrega de notificações.</w:t>
            </w:r>
          </w:p>
        </w:tc>
      </w:tr>
      <w:tr w:rsidR="004C0200" w:rsidRPr="00B6308C" w14:paraId="386E6CA2" w14:textId="77777777" w:rsidTr="002157F3">
        <w:tc>
          <w:tcPr>
            <w:tcW w:w="1386" w:type="dxa"/>
          </w:tcPr>
          <w:p w14:paraId="1D3508A0" w14:textId="446B9031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364" w:type="dxa"/>
          </w:tcPr>
          <w:p w14:paraId="16989873" w14:textId="7B94308F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6308C">
              <w:rPr>
                <w:rFonts w:ascii="Arial" w:hAnsi="Arial" w:cs="Arial"/>
                <w:sz w:val="28"/>
                <w:szCs w:val="28"/>
              </w:rPr>
              <w:t>Dependabilidade</w:t>
            </w:r>
            <w:proofErr w:type="spellEnd"/>
          </w:p>
        </w:tc>
        <w:tc>
          <w:tcPr>
            <w:tcW w:w="5551" w:type="dxa"/>
          </w:tcPr>
          <w:p w14:paraId="771D41B3" w14:textId="41D2FADB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O sistema deve estar disponível em 24x7.</w:t>
            </w:r>
          </w:p>
        </w:tc>
      </w:tr>
      <w:tr w:rsidR="004C0200" w:rsidRPr="00B6308C" w14:paraId="158799D5" w14:textId="77777777" w:rsidTr="002157F3">
        <w:tc>
          <w:tcPr>
            <w:tcW w:w="1386" w:type="dxa"/>
          </w:tcPr>
          <w:p w14:paraId="13AF5A1A" w14:textId="3623F781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2364" w:type="dxa"/>
          </w:tcPr>
          <w:p w14:paraId="49204F44" w14:textId="7D969563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Legislativo</w:t>
            </w:r>
          </w:p>
        </w:tc>
        <w:tc>
          <w:tcPr>
            <w:tcW w:w="5551" w:type="dxa"/>
          </w:tcPr>
          <w:p w14:paraId="778DC9E7" w14:textId="2F0F0501" w:rsidR="004C0200" w:rsidRPr="00B6308C" w:rsidRDefault="002157F3" w:rsidP="00AE074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157F3">
              <w:rPr>
                <w:rFonts w:ascii="Arial" w:hAnsi="Arial" w:cs="Arial"/>
                <w:color w:val="000000"/>
                <w:sz w:val="28"/>
                <w:szCs w:val="28"/>
              </w:rPr>
              <w:t>A aplicação deve estar em conformidade com as leis e regulamentações relacionadas a medicamentos, como a rastreabilidade de lotes e datas de validade.</w:t>
            </w:r>
          </w:p>
        </w:tc>
      </w:tr>
      <w:tr w:rsidR="00B6308C" w:rsidRPr="00B6308C" w14:paraId="1F2C4CAD" w14:textId="77777777" w:rsidTr="002157F3">
        <w:tc>
          <w:tcPr>
            <w:tcW w:w="1386" w:type="dxa"/>
          </w:tcPr>
          <w:p w14:paraId="63FE957D" w14:textId="4A26D531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2364" w:type="dxa"/>
          </w:tcPr>
          <w:p w14:paraId="38B9BAAC" w14:textId="752663EF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5551" w:type="dxa"/>
          </w:tcPr>
          <w:p w14:paraId="483B1F4B" w14:textId="27A6FD8F" w:rsidR="00B6308C" w:rsidRPr="00B6308C" w:rsidRDefault="002157F3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157F3">
              <w:rPr>
                <w:rFonts w:ascii="Arial" w:hAnsi="Arial" w:cs="Arial"/>
                <w:color w:val="000000"/>
                <w:sz w:val="28"/>
                <w:szCs w:val="28"/>
              </w:rPr>
              <w:t>A aplicação deve ser escalável, suportando um grande número de registros de medicamentos e pacientes.</w:t>
            </w:r>
          </w:p>
        </w:tc>
      </w:tr>
      <w:tr w:rsidR="00B6308C" w:rsidRPr="00B6308C" w14:paraId="0413FB03" w14:textId="77777777" w:rsidTr="002157F3">
        <w:tc>
          <w:tcPr>
            <w:tcW w:w="1386" w:type="dxa"/>
          </w:tcPr>
          <w:p w14:paraId="6512D3F1" w14:textId="4FAF2985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2364" w:type="dxa"/>
          </w:tcPr>
          <w:p w14:paraId="1E59AF1A" w14:textId="3898BA32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6308C">
              <w:rPr>
                <w:rFonts w:ascii="Arial" w:hAnsi="Arial" w:cs="Arial"/>
                <w:sz w:val="28"/>
                <w:szCs w:val="28"/>
              </w:rPr>
              <w:t>Dependabilidade</w:t>
            </w:r>
            <w:proofErr w:type="spellEnd"/>
          </w:p>
        </w:tc>
        <w:tc>
          <w:tcPr>
            <w:tcW w:w="5551" w:type="dxa"/>
          </w:tcPr>
          <w:p w14:paraId="719F3728" w14:textId="24125B68" w:rsidR="00B6308C" w:rsidRPr="00B6308C" w:rsidRDefault="002157F3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157F3">
              <w:rPr>
                <w:rFonts w:ascii="Arial" w:hAnsi="Arial" w:cs="Arial"/>
                <w:color w:val="000000"/>
                <w:sz w:val="28"/>
                <w:szCs w:val="28"/>
              </w:rPr>
              <w:t>Deve haver backup regular dos dados para evitar perda de informações.</w:t>
            </w:r>
          </w:p>
        </w:tc>
      </w:tr>
      <w:tr w:rsidR="00AE0747" w:rsidRPr="00B6308C" w14:paraId="2E55FEA9" w14:textId="77777777" w:rsidTr="002157F3">
        <w:tc>
          <w:tcPr>
            <w:tcW w:w="1386" w:type="dxa"/>
          </w:tcPr>
          <w:p w14:paraId="06EDD07B" w14:textId="28EC8024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RN07</w:t>
            </w:r>
          </w:p>
        </w:tc>
        <w:tc>
          <w:tcPr>
            <w:tcW w:w="2364" w:type="dxa"/>
          </w:tcPr>
          <w:p w14:paraId="6C63BB73" w14:textId="6EF72C06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551" w:type="dxa"/>
          </w:tcPr>
          <w:p w14:paraId="491B1088" w14:textId="32359720" w:rsidR="00AE0747" w:rsidRPr="00B6308C" w:rsidRDefault="002157F3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157F3">
              <w:rPr>
                <w:rFonts w:ascii="Arial" w:hAnsi="Arial" w:cs="Arial"/>
                <w:color w:val="000000"/>
                <w:sz w:val="28"/>
                <w:szCs w:val="28"/>
              </w:rPr>
              <w:t>O código-fonte deve seguir boas práticas de programação para facilitar a manutenção e evolução da aplicação.</w:t>
            </w:r>
          </w:p>
        </w:tc>
      </w:tr>
      <w:tr w:rsidR="002157F3" w:rsidRPr="00B6308C" w14:paraId="5FE42F4F" w14:textId="77777777" w:rsidTr="002157F3">
        <w:tc>
          <w:tcPr>
            <w:tcW w:w="1386" w:type="dxa"/>
          </w:tcPr>
          <w:p w14:paraId="0C1C3933" w14:textId="758290B3" w:rsidR="002157F3" w:rsidRDefault="002157F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RN08</w:t>
            </w:r>
          </w:p>
        </w:tc>
        <w:tc>
          <w:tcPr>
            <w:tcW w:w="2364" w:type="dxa"/>
          </w:tcPr>
          <w:p w14:paraId="31CB1F10" w14:textId="5655933D" w:rsidR="002157F3" w:rsidRDefault="002157F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5551" w:type="dxa"/>
          </w:tcPr>
          <w:p w14:paraId="587371DE" w14:textId="238C52CF" w:rsidR="002157F3" w:rsidRPr="002157F3" w:rsidRDefault="002157F3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157F3">
              <w:rPr>
                <w:rFonts w:ascii="Arial" w:hAnsi="Arial" w:cs="Arial"/>
                <w:color w:val="000000"/>
                <w:sz w:val="28"/>
                <w:szCs w:val="28"/>
              </w:rPr>
              <w:t>O aplicativo deve ser facilmente instalável em dispositivos móveis Android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2D7320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C1DFD" w14:textId="77777777" w:rsidR="002D7320" w:rsidRDefault="002D7320">
      <w:r>
        <w:separator/>
      </w:r>
    </w:p>
  </w:endnote>
  <w:endnote w:type="continuationSeparator" w:id="0">
    <w:p w14:paraId="3B8BE6B1" w14:textId="77777777" w:rsidR="002D7320" w:rsidRDefault="002D7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F202B" w14:textId="77777777" w:rsidR="002D7320" w:rsidRDefault="002D7320">
      <w:r>
        <w:separator/>
      </w:r>
    </w:p>
  </w:footnote>
  <w:footnote w:type="continuationSeparator" w:id="0">
    <w:p w14:paraId="6FBDC19C" w14:textId="77777777" w:rsidR="002D7320" w:rsidRDefault="002D73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198348">
    <w:abstractNumId w:val="4"/>
  </w:num>
  <w:num w:numId="2" w16cid:durableId="1878080680">
    <w:abstractNumId w:val="1"/>
  </w:num>
  <w:num w:numId="3" w16cid:durableId="661198406">
    <w:abstractNumId w:val="2"/>
  </w:num>
  <w:num w:numId="4" w16cid:durableId="1503741472">
    <w:abstractNumId w:val="0"/>
  </w:num>
  <w:num w:numId="5" w16cid:durableId="2128768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157F3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2D7320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20396E-9164-4890-9C2D-05E03B38AC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179</Words>
  <Characters>971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Isabela Kinder</cp:lastModifiedBy>
  <cp:revision>2</cp:revision>
  <cp:lastPrinted>2004-02-18T23:29:00Z</cp:lastPrinted>
  <dcterms:created xsi:type="dcterms:W3CDTF">2024-03-14T23:24:00Z</dcterms:created>
  <dcterms:modified xsi:type="dcterms:W3CDTF">2024-03-14T23:24:00Z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