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78CE888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2157F3">
        <w:rPr>
          <w:b/>
          <w:bCs/>
          <w:sz w:val="32"/>
          <w:szCs w:val="32"/>
        </w:rPr>
        <w:t xml:space="preserve"> – </w:t>
      </w:r>
      <w:proofErr w:type="spellStart"/>
      <w:r w:rsidR="002157F3">
        <w:rPr>
          <w:b/>
          <w:bCs/>
          <w:sz w:val="32"/>
          <w:szCs w:val="32"/>
        </w:rPr>
        <w:t>DoseCerta</w:t>
      </w:r>
      <w:proofErr w:type="spellEnd"/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3581812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14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154343D8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** </w:t>
      </w:r>
      <w:r w:rsidR="00B6308C">
        <w:rPr>
          <w:rFonts w:ascii="Arial" w:hAnsi="Arial" w:cs="Arial"/>
          <w:b/>
          <w:bCs/>
          <w:sz w:val="28"/>
          <w:szCs w:val="28"/>
        </w:rPr>
        <w:t xml:space="preserve">Alguns </w:t>
      </w:r>
      <w:r>
        <w:rPr>
          <w:rFonts w:ascii="Arial" w:hAnsi="Arial" w:cs="Arial"/>
          <w:b/>
          <w:bCs/>
          <w:sz w:val="28"/>
          <w:szCs w:val="28"/>
        </w:rPr>
        <w:t>Exemplos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6"/>
        <w:gridCol w:w="2364"/>
        <w:gridCol w:w="5551"/>
      </w:tblGrid>
      <w:tr w:rsidR="004C0200" w:rsidRPr="00B6308C" w14:paraId="01B43147" w14:textId="77777777" w:rsidTr="002157F3">
        <w:tc>
          <w:tcPr>
            <w:tcW w:w="1386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1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2157F3">
        <w:tc>
          <w:tcPr>
            <w:tcW w:w="1386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1" w:type="dxa"/>
          </w:tcPr>
          <w:p w14:paraId="3EF09E31" w14:textId="595183A6" w:rsidR="004C0200" w:rsidRPr="00B6308C" w:rsidRDefault="002157F3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sz w:val="28"/>
                <w:szCs w:val="28"/>
              </w:rPr>
              <w:t>A interface do usuário deve ser intuitiva e fácil de navegar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002157F3">
        <w:tc>
          <w:tcPr>
            <w:tcW w:w="1386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1" w:type="dxa"/>
          </w:tcPr>
          <w:p w14:paraId="33D5A202" w14:textId="494F7C02" w:rsidR="004C0200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sz w:val="28"/>
                <w:szCs w:val="28"/>
              </w:rPr>
              <w:t xml:space="preserve">O acesso à aplicação deve ser protegido por autenticação </w:t>
            </w:r>
            <w:r>
              <w:rPr>
                <w:rFonts w:ascii="Arial" w:hAnsi="Arial" w:cs="Arial"/>
                <w:sz w:val="28"/>
                <w:szCs w:val="28"/>
              </w:rPr>
              <w:t>com</w:t>
            </w:r>
            <w:r w:rsidRPr="002157F3">
              <w:rPr>
                <w:rFonts w:ascii="Arial" w:hAnsi="Arial" w:cs="Arial"/>
                <w:sz w:val="28"/>
                <w:szCs w:val="28"/>
              </w:rPr>
              <w:t xml:space="preserve"> login e senha.</w:t>
            </w:r>
          </w:p>
        </w:tc>
      </w:tr>
      <w:tr w:rsidR="004C0200" w:rsidRPr="00B6308C" w14:paraId="1F8C3409" w14:textId="77777777" w:rsidTr="002157F3">
        <w:tc>
          <w:tcPr>
            <w:tcW w:w="1386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1" w:type="dxa"/>
          </w:tcPr>
          <w:p w14:paraId="77414F4D" w14:textId="2079D1AD" w:rsidR="004C0200" w:rsidRPr="00B6308C" w:rsidRDefault="00E42057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 w:rsidRPr="00E42057">
              <w:rPr>
                <w:rFonts w:ascii="Arial" w:hAnsi="Arial" w:cs="Arial"/>
                <w:sz w:val="28"/>
                <w:szCs w:val="28"/>
              </w:rPr>
              <w:t xml:space="preserve">empo de resposta </w:t>
            </w:r>
            <w:r>
              <w:rPr>
                <w:rFonts w:ascii="Arial" w:hAnsi="Arial" w:cs="Arial"/>
                <w:sz w:val="28"/>
                <w:szCs w:val="28"/>
              </w:rPr>
              <w:t xml:space="preserve">de até </w:t>
            </w:r>
            <w:r w:rsidRPr="00E42057">
              <w:rPr>
                <w:rFonts w:ascii="Arial" w:hAnsi="Arial" w:cs="Arial"/>
                <w:sz w:val="28"/>
                <w:szCs w:val="28"/>
              </w:rPr>
              <w:t>500 milissegundos (0,5 segundos), garantindo uma experiência do usuário fluida e evitando atrasos perceptíveis nas notificações.</w:t>
            </w:r>
          </w:p>
        </w:tc>
      </w:tr>
      <w:tr w:rsidR="004C0200" w:rsidRPr="00B6308C" w14:paraId="386E6CA2" w14:textId="77777777" w:rsidTr="002157F3">
        <w:tc>
          <w:tcPr>
            <w:tcW w:w="1386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1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2157F3">
        <w:tc>
          <w:tcPr>
            <w:tcW w:w="1386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1" w:type="dxa"/>
          </w:tcPr>
          <w:p w14:paraId="778DC9E7" w14:textId="0E93B377" w:rsidR="004C0200" w:rsidRPr="00B6308C" w:rsidRDefault="00E42057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E42057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sistema</w:t>
            </w:r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seguir a LGPD nos seguintes aspectos: LG</w:t>
            </w:r>
            <w:r w:rsidRPr="00E42057">
              <w:rPr>
                <w:rFonts w:ascii="Arial" w:hAnsi="Arial" w:cs="Arial"/>
                <w:color w:val="000000"/>
                <w:sz w:val="28"/>
                <w:szCs w:val="28"/>
              </w:rPr>
              <w:t>PD01 - Proteção de Dados Pessoais, LGPD02 - Consentimento do Usuário, LGPD03 - Transparência no Tratamento de Dados, LGPD04 - Segurança da Informação, LGPD05 - Armazenamento Seguro de Dados e LGPD06 - Acesso Restrito aos Dados</w:t>
            </w:r>
          </w:p>
        </w:tc>
      </w:tr>
      <w:tr w:rsidR="00B6308C" w:rsidRPr="00B6308C" w14:paraId="1F2C4CAD" w14:textId="77777777" w:rsidTr="002157F3">
        <w:tc>
          <w:tcPr>
            <w:tcW w:w="1386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1" w:type="dxa"/>
          </w:tcPr>
          <w:p w14:paraId="483B1F4B" w14:textId="27A6FD8F" w:rsidR="00B6308C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A aplicação deve ser escalável, suportando um grande número de registros de medicamentos e pacientes.</w:t>
            </w:r>
          </w:p>
        </w:tc>
      </w:tr>
      <w:tr w:rsidR="00B6308C" w:rsidRPr="00B6308C" w14:paraId="0413FB03" w14:textId="77777777" w:rsidTr="002157F3">
        <w:tc>
          <w:tcPr>
            <w:tcW w:w="1386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RNF07</w:t>
            </w:r>
          </w:p>
        </w:tc>
        <w:tc>
          <w:tcPr>
            <w:tcW w:w="2364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1" w:type="dxa"/>
          </w:tcPr>
          <w:p w14:paraId="719F3728" w14:textId="24125B68" w:rsidR="00B6308C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Deve haver backup regular dos dados para evitar perda de informações.</w:t>
            </w:r>
          </w:p>
        </w:tc>
      </w:tr>
      <w:tr w:rsidR="00AE0747" w:rsidRPr="00B6308C" w14:paraId="2E55FEA9" w14:textId="77777777" w:rsidTr="002157F3">
        <w:tc>
          <w:tcPr>
            <w:tcW w:w="1386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1" w:type="dxa"/>
          </w:tcPr>
          <w:p w14:paraId="491B1088" w14:textId="32359720" w:rsidR="00AE0747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O código-fonte deve seguir boas práticas de programação para facilitar a manutenção e evolução da aplicação.</w:t>
            </w:r>
          </w:p>
        </w:tc>
      </w:tr>
      <w:tr w:rsidR="002157F3" w:rsidRPr="00B6308C" w14:paraId="5FE42F4F" w14:textId="77777777" w:rsidTr="002157F3">
        <w:tc>
          <w:tcPr>
            <w:tcW w:w="1386" w:type="dxa"/>
          </w:tcPr>
          <w:p w14:paraId="0C1C3933" w14:textId="758290B3" w:rsid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RN08</w:t>
            </w:r>
          </w:p>
        </w:tc>
        <w:tc>
          <w:tcPr>
            <w:tcW w:w="2364" w:type="dxa"/>
          </w:tcPr>
          <w:p w14:paraId="31CB1F10" w14:textId="5655933D" w:rsid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1" w:type="dxa"/>
          </w:tcPr>
          <w:p w14:paraId="587371DE" w14:textId="238C52CF" w:rsidR="002157F3" w:rsidRP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O aplicativo deve ser facilmente instalável em dispositivos móveis Android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B01B7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9051" w14:textId="77777777" w:rsidR="000B01B7" w:rsidRDefault="000B01B7">
      <w:r>
        <w:separator/>
      </w:r>
    </w:p>
  </w:endnote>
  <w:endnote w:type="continuationSeparator" w:id="0">
    <w:p w14:paraId="48320B1A" w14:textId="77777777" w:rsidR="000B01B7" w:rsidRDefault="000B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B332" w14:textId="77777777" w:rsidR="000B01B7" w:rsidRDefault="000B01B7">
      <w:r>
        <w:separator/>
      </w:r>
    </w:p>
  </w:footnote>
  <w:footnote w:type="continuationSeparator" w:id="0">
    <w:p w14:paraId="2C78A0A8" w14:textId="77777777" w:rsidR="000B01B7" w:rsidRDefault="000B0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98348">
    <w:abstractNumId w:val="4"/>
  </w:num>
  <w:num w:numId="2" w16cid:durableId="1878080680">
    <w:abstractNumId w:val="1"/>
  </w:num>
  <w:num w:numId="3" w16cid:durableId="661198406">
    <w:abstractNumId w:val="2"/>
  </w:num>
  <w:num w:numId="4" w16cid:durableId="1503741472">
    <w:abstractNumId w:val="0"/>
  </w:num>
  <w:num w:numId="5" w16cid:durableId="2128768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01B7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57F3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D7320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31D0D"/>
    <w:rsid w:val="00E42057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1E7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Isabela Kinder</cp:lastModifiedBy>
  <cp:revision>2</cp:revision>
  <cp:lastPrinted>2004-02-18T23:29:00Z</cp:lastPrinted>
  <dcterms:created xsi:type="dcterms:W3CDTF">2024-04-03T15:27:00Z</dcterms:created>
  <dcterms:modified xsi:type="dcterms:W3CDTF">2024-04-03T15:27:00Z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