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D008D"/>
          <w:sz w:val="34"/>
          <w:szCs w:val="34"/>
        </w:rPr>
        <w:t xml:space="preserve">Pruebas de herramienta y decisión</w:t>
      </w:r>
    </w:p>
    <w:p>
      <w:pPr>
        <w:spacing w:after="60"/>
      </w:pPr>
      <w:r>
        <w:rPr>
          <w:rFonts w:ascii="Arial" w:cs="Arial" w:eastAsia="Arial" w:hAnsi="Arial"/>
          <w:sz w:val="24"/>
          <w:szCs w:val="24"/>
        </w:rPr>
        <w:t xml:space="preserve">Nada sin fuente — Semana 1 · Anexo del entregable 2</w:t>
      </w:r>
    </w:p>
    <w:p>
      <w:pPr>
        <w:spacing w:after="200" w:line="276"/>
        <w:jc w:val="left"/>
      </w:pPr>
      <w:r>
        <w:rPr>
          <w:rFonts w:ascii="Arial" w:cs="Arial" w:eastAsia="Arial" w:hAnsi="Arial"/>
          <w:sz w:val="19"/>
          <w:szCs w:val="19"/>
        </w:rPr>
        <w:t xml:space="preserve">Proyecto: Observatorio de Datos de Educación en Colombia · Equipo: Isabella Álvarez, Eduar Caicedo y Anderson González · Pruebas ejecutadas por Eduar Caicedo el 28 de septiembre de 2026</w:t>
      </w:r>
    </w:p>
    <w:p>
      <w:pPr>
        <w:pStyle w:val="Heading1"/>
        <w:spacing w:after="120" w:before="240"/>
      </w:pPr>
      <w:r>
        <w:rPr>
          <w:rFonts w:ascii="Arial" w:cs="Arial" w:eastAsia="Arial" w:hAnsi="Arial"/>
        </w:rPr>
        <w:t xml:space="preserve">1. Objetivo</w:t>
      </w:r>
    </w:p>
    <w:p>
      <w:pPr>
        <w:spacing w:after="120" w:line="276"/>
        <w:jc w:val="both"/>
      </w:pPr>
      <w:r>
        <w:rPr>
          <w:rFonts w:ascii="Arial" w:cs="Arial" w:eastAsia="Arial" w:hAnsi="Arial"/>
          <w:sz w:val="21"/>
          <w:szCs w:val="21"/>
        </w:rPr>
        <w:t xml:space="preserve">El enunciado exige elegir la herramienta de anclaje con base en una tabla de seis criterios, y que cada valoración de esa tabla tenga evidencia verificable. Tres de esos criterios no podían responderse con el experimento de la semana 1, porque miden el comportamiento de la herramienta y no la calidad de las referencias que devuelve. Este anexo documenta las cuatro pruebas realizadas para llenarlos.</w:t>
      </w:r>
    </w:p>
    <w:p>
      <w:pPr>
        <w:pStyle w:val="Heading1"/>
        <w:spacing w:after="120" w:before="240"/>
      </w:pPr>
      <w:r>
        <w:rPr>
          <w:rFonts w:ascii="Arial" w:cs="Arial" w:eastAsia="Arial" w:hAnsi="Arial"/>
        </w:rPr>
        <w:t xml:space="preserve">2. Regla de decisión</w:t>
      </w:r>
    </w:p>
    <w:p>
      <w:pPr>
        <w:spacing w:after="120" w:line="276"/>
        <w:jc w:val="both"/>
      </w:pPr>
      <w:r>
        <w:rPr>
          <w:rFonts w:ascii="Arial" w:cs="Arial" w:eastAsia="Arial" w:hAnsi="Arial"/>
          <w:sz w:val="21"/>
          <w:szCs w:val="21"/>
        </w:rPr>
        <w:t xml:space="preserve">Filtro eliminatorio: una alternativa queda descartada si no se limita a las fuentes cargadas, si no se abstiene cuando la respuesta no está en ellas, o si no entrega junto a cada respuesta el documento y una ubicación dentro de él. La razón es que sin esas tres condiciones no se puede responder de dónde sale una afirmación del anteproyecto, que es la pregunta que estructura la actividad. Entre las alternativas que pasen el filtro, se comparan los cuatro criterios restantes y se declara en cuál gana cada una.</w:t>
      </w:r>
    </w:p>
    <w:p>
      <w:pPr>
        <w:spacing w:after="120" w:line="276"/>
        <w:jc w:val="both"/>
      </w:pPr>
      <w:r>
        <w:rPr>
          <w:rFonts w:ascii="Arial" w:cs="Arial" w:eastAsia="Arial" w:hAnsi="Arial"/>
          <w:i/>
          <w:iCs/>
          <w:sz w:val="21"/>
          <w:szCs w:val="21"/>
        </w:rPr>
        <w:t xml:space="preserve">Nota de transparencia: esta regla se redactó el 28 de septiembre de 2026, después de ejecutar las pruebas 1 a 4. Lo hacemos explícito en lugar de presentarla como previa. Los criterios no los elegimos nosotros, vienen del enunciado, y el filtro eliminatorio se deriva de la pregunta central de la actividad; pero el orden correcto habría sido declarar la regla antes de medir, como sí hicimos con las reglas de clasificación del experimento.</w:t>
      </w:r>
    </w:p>
    <w:p>
      <w:pPr>
        <w:pStyle w:val="Heading1"/>
        <w:spacing w:after="120" w:before="240"/>
      </w:pPr>
      <w:r>
        <w:rPr>
          <w:rFonts w:ascii="Arial" w:cs="Arial" w:eastAsia="Arial" w:hAnsi="Arial"/>
        </w:rPr>
        <w:t xml:space="preserve">3. Pruebas ejecutadas</w:t>
      </w:r>
    </w:p>
    <w:p>
      <w:pPr>
        <w:pStyle w:val="Heading2"/>
        <w:spacing w:after="80" w:before="180"/>
      </w:pPr>
      <w:r>
        <w:rPr>
          <w:rFonts w:ascii="Arial" w:cs="Arial" w:eastAsia="Arial" w:hAnsi="Arial"/>
        </w:rPr>
        <w:t xml:space="preserve">3.1 Cita con localización</w:t>
      </w:r>
    </w:p>
    <w:p>
      <w:pPr>
        <w:spacing w:after="120" w:line="276"/>
        <w:jc w:val="both"/>
      </w:pPr>
      <w:r>
        <w:rPr>
          <w:rFonts w:ascii="Arial" w:cs="Arial" w:eastAsia="Arial" w:hAnsi="Arial"/>
          <w:sz w:val="21"/>
          <w:szCs w:val="21"/>
        </w:rPr>
        <w:t xml:space="preserve">Procedimiento. Se cargaron seis PDF del estado del arte en un cuaderno de NotebookLM y se formuló una pregunta cuya respuesta estaba previamente verificada a mano: la eficiencia promedio en cobertura reportada por Galvis-Aponte (2015).</w:t>
      </w:r>
    </w:p>
    <w:p>
      <w:pPr>
        <w:spacing w:after="120" w:line="276"/>
        <w:jc w:val="both"/>
      </w:pPr>
      <w:r>
        <w:rPr>
          <w:rFonts w:ascii="Arial" w:cs="Arial" w:eastAsia="Arial" w:hAnsi="Arial"/>
          <w:sz w:val="21"/>
          <w:szCs w:val="21"/>
        </w:rPr>
        <w:t xml:space="preserve">Resultado. La herramienta respondió 63,43 % y señaló, por iniciativa propia, que el resumen del mismo artículo consigna 62,3 %. Es la misma discrepancia que el equipo había detectado abriendo el PDF para la tabla de trazabilidad. Cada afirmación quedó marcada con un número de cita; al hacer clic, el panel de fuentes resalta el pasaje exacto dentro del documento y muestra la imagen de la página correspondiente. El número de página no aparece indicado en ninguna parte de la respuesta ni de la cita.</w:t>
      </w:r>
    </w:p>
    <w:p>
      <w:pPr>
        <w:spacing w:after="120" w:line="276"/>
        <w:jc w:val="both"/>
      </w:pPr>
      <w:r>
        <w:rPr>
          <w:rFonts w:ascii="Arial" w:cs="Arial" w:eastAsia="Arial" w:hAnsi="Arial"/>
          <w:sz w:val="21"/>
          <w:szCs w:val="21"/>
        </w:rPr>
        <w:t xml:space="preserve">Valoración. La herramienta entrega documento y pasaje señalado, pero no número de página. El enunciado admite como ubicación «página, sección o cita textual», de modo que la cita de NotebookLM cumple el criterio en su forma de cita textual y no en la de página. Es el punto en que esta alternativa es inferior a la vía propia, y se declara como tal. La página se registra igualmente en la tabla de trazabilidad, verificada a mano sobre el PDF por quien firma cada fila.</w:t>
      </w:r>
    </w:p>
    <w:p>
      <w:pPr>
        <w:pStyle w:val="Heading2"/>
        <w:spacing w:after="80" w:before="180"/>
      </w:pPr>
      <w:r>
        <w:rPr>
          <w:rFonts w:ascii="Arial" w:cs="Arial" w:eastAsia="Arial" w:hAnsi="Arial"/>
        </w:rPr>
        <w:t xml:space="preserve">3.2 Abstención</w:t>
      </w:r>
    </w:p>
    <w:p>
      <w:pPr>
        <w:spacing w:after="120" w:line="276"/>
        <w:jc w:val="both"/>
      </w:pPr>
      <w:r>
        <w:rPr>
          <w:rFonts w:ascii="Arial" w:cs="Arial" w:eastAsia="Arial" w:hAnsi="Arial"/>
          <w:sz w:val="21"/>
          <w:szCs w:val="21"/>
        </w:rPr>
        <w:t xml:space="preserve">Procedimiento. Se preguntó por el presupuesto de la Universidad Nacional en 2024, dato que no está en ninguno de los documentos cargados.</w:t>
      </w:r>
    </w:p>
    <w:p>
      <w:pPr>
        <w:spacing w:after="120" w:line="276"/>
        <w:jc w:val="both"/>
      </w:pPr>
      <w:r>
        <w:rPr>
          <w:rFonts w:ascii="Arial" w:cs="Arial" w:eastAsia="Arial" w:hAnsi="Arial"/>
          <w:sz w:val="21"/>
          <w:szCs w:val="21"/>
        </w:rPr>
        <w:t xml:space="preserve">Resultado. La herramienta respondió que las fuentes no contienen ese dato, explicó que los documentos cargados analizan periodos anteriores, ofreció el dato más cercano que sí aparece en ellos y propuso realizar una búsqueda en la web como acción separada. No inventó una cifra.</w:t>
      </w:r>
    </w:p>
    <w:p>
      <w:pPr>
        <w:spacing w:after="120" w:line="276"/>
        <w:jc w:val="both"/>
      </w:pPr>
      <w:r>
        <w:rPr>
          <w:rFonts w:ascii="Arial" w:cs="Arial" w:eastAsia="Arial" w:hAnsi="Arial"/>
          <w:sz w:val="21"/>
          <w:szCs w:val="21"/>
        </w:rPr>
        <w:t xml:space="preserve">Valoración. El contexto cerrado funciona: la herramienta distingue entre lo que está en las fuentes y lo que no, y lo declara en lugar de completar. Este comportamiento es el que el enunciado señala como condición de confiabilidad.</w:t>
      </w:r>
    </w:p>
    <w:p>
      <w:pPr>
        <w:pStyle w:val="Heading2"/>
        <w:spacing w:after="80" w:before="180"/>
      </w:pPr>
      <w:r>
        <w:rPr>
          <w:rFonts w:ascii="Arial" w:cs="Arial" w:eastAsia="Arial" w:hAnsi="Arial"/>
        </w:rPr>
        <w:t xml:space="preserve">3.3 Costo</w:t>
      </w:r>
    </w:p>
    <w:p>
      <w:pPr>
        <w:spacing w:after="120" w:line="276"/>
        <w:jc w:val="both"/>
      </w:pPr>
      <w:r>
        <w:rPr>
          <w:rFonts w:ascii="Arial" w:cs="Arial" w:eastAsia="Arial" w:hAnsi="Arial"/>
          <w:sz w:val="21"/>
          <w:szCs w:val="21"/>
        </w:rPr>
        <w:t xml:space="preserve">Procedimiento. Consulta del plan de la cuenta y del límite de fuentes por cuaderno, el 28 de septiembre de 2026.</w:t>
      </w:r>
    </w:p>
    <w:p>
      <w:pPr>
        <w:spacing w:after="120" w:line="276"/>
        <w:jc w:val="both"/>
      </w:pPr>
      <w:r>
        <w:rPr>
          <w:rFonts w:ascii="Arial" w:cs="Arial" w:eastAsia="Arial" w:hAnsi="Arial"/>
          <w:sz w:val="21"/>
          <w:szCs w:val="21"/>
        </w:rPr>
        <w:t xml:space="preserve">Resultado. El equipo usa el plan estándar, gratuito con cuenta de Gmail. Los límites documentados el 28 de septiembre de 2026 son 100 cuadernos por usuario, 50 fuentes por cuaderno y 50 consultas por día; la propia documentación advierte que están sujetos a cambios. El corpus previsto es de entre diez y catorce documentos, muy por debajo del límite de fuentes, y el volumen de consultas del banco de evaluación cabe en el límite diario.</w:t>
      </w:r>
    </w:p>
    <w:p>
      <w:pPr>
        <w:pStyle w:val="Heading2"/>
        <w:spacing w:after="80" w:before="180"/>
      </w:pPr>
      <w:r>
        <w:rPr>
          <w:rFonts w:ascii="Arial" w:cs="Arial" w:eastAsia="Arial" w:hAnsi="Arial"/>
        </w:rPr>
        <w:t xml:space="preserve">3.4 Cita con localización en la vía propia</w:t>
      </w:r>
    </w:p>
    <w:p>
      <w:pPr>
        <w:spacing w:after="120" w:line="276"/>
        <w:jc w:val="both"/>
      </w:pPr>
      <w:r>
        <w:rPr>
          <w:rFonts w:ascii="Arial" w:cs="Arial" w:eastAsia="Arial" w:hAnsi="Arial"/>
          <w:sz w:val="21"/>
          <w:szCs w:val="21"/>
        </w:rPr>
        <w:t xml:space="preserve">Procedimiento. Para comparar el mismo criterio del otro lado, se ejecutó el script propio de extracción sobre la carpeta del corpus: python extraer.py carpeta_con_pdfs fragmentos.jsonl.</w:t>
      </w:r>
    </w:p>
    <w:p>
      <w:pPr>
        <w:spacing w:after="120" w:line="276"/>
        <w:jc w:val="both"/>
      </w:pPr>
      <w:r>
        <w:rPr>
          <w:rFonts w:ascii="Arial" w:cs="Arial" w:eastAsia="Arial" w:hAnsi="Arial"/>
          <w:sz w:val="21"/>
          <w:szCs w:val="21"/>
        </w:rPr>
        <w:t xml:space="preserve">Resultado. Seis documentos procesados, 621 fragmentos generados. Todas las páginas con capa de texto salvo una del archivo melo-becerra-2017.pdf, que está en blanco. Cada fragmento almacena el nombre del documento y el número de página, como se verifica en el archivo de salida.</w:t>
      </w:r>
    </w:p>
    <w:p>
      <w:pPr>
        <w:spacing w:after="120" w:line="276"/>
        <w:jc w:val="both"/>
      </w:pPr>
      <w:r>
        <w:rPr>
          <w:rFonts w:ascii="Arial" w:cs="Arial" w:eastAsia="Arial" w:hAnsi="Arial"/>
          <w:sz w:val="21"/>
          <w:szCs w:val="21"/>
        </w:rPr>
        <w:t xml:space="preserve">Valoración. La vía propia garantiza la página por diseño. Con la salvedad de que esto demuestra que el índice puede citar la página, no que el sistema completo ya lo haga, porque falta la etapa de generación.</w:t>
      </w:r>
    </w:p>
    <w:p>
      <w:pPr>
        <w:pStyle w:val="Heading2"/>
        <w:spacing w:after="80" w:before="180"/>
      </w:pPr>
      <w:r>
        <w:rPr>
          <w:rFonts w:ascii="Arial" w:cs="Arial" w:eastAsia="Arial" w:hAnsi="Arial"/>
        </w:rPr>
        <w:t xml:space="preserve">3.5 Implementación y prueba de la vía propia</w:t>
      </w:r>
    </w:p>
    <w:p>
      <w:pPr>
        <w:spacing w:after="120" w:line="276"/>
        <w:jc w:val="both"/>
      </w:pPr>
      <w:r>
        <w:rPr>
          <w:rFonts w:ascii="Arial" w:cs="Arial" w:eastAsia="Arial" w:hAnsi="Arial"/>
          <w:sz w:val="21"/>
          <w:szCs w:val="21"/>
        </w:rPr>
        <w:t xml:space="preserve">Procedimiento. Después de tomar la decisión, y para verificar que la alternativa descartada era viable y no solo imposible de montar, se implementó la vía propia completa el 28 de septiembre de 2026: indexación de los 621 fragmentos en una base vectorial local con el modelo de embeddings bge-m3 (1.443 segundos en CPU), recuperación de los cinco fragmentos más cercanos a una consulta, y generación de la respuesta con llama3.2:3b restringida a esos fragmentos y con cita obligatoria de documento y página.</w:t>
      </w:r>
    </w:p>
    <w:p>
      <w:pPr>
        <w:spacing w:after="120" w:line="276"/>
        <w:jc w:val="both"/>
      </w:pPr>
      <w:r>
        <w:rPr>
          <w:rFonts w:ascii="Arial" w:cs="Arial" w:eastAsia="Arial" w:hAnsi="Arial"/>
          <w:sz w:val="21"/>
          <w:szCs w:val="21"/>
        </w:rPr>
        <w:t xml:space="preserve">Resultado de la recuperación. Correcto. Ante la consulta por la eficiencia promedio en cobertura, el fragmento devuelto en primer lugar, con la menor distancia (0,268), es exactamente el Cuadro 2 de Galvis-Aponte (2015), que contiene el dato buscado. Los cinco fragmentos recuperados pertenecen al documento pertinente.</w:t>
      </w:r>
    </w:p>
    <w:p>
      <w:pPr>
        <w:spacing w:after="120" w:line="276"/>
        <w:jc w:val="both"/>
      </w:pPr>
      <w:r>
        <w:rPr>
          <w:rFonts w:ascii="Arial" w:cs="Arial" w:eastAsia="Arial" w:hAnsi="Arial"/>
          <w:sz w:val="21"/>
          <w:szCs w:val="21"/>
        </w:rPr>
        <w:t xml:space="preserve">Resultado de la generación. Incorrecto. Con ese mismo fragmento entre los entregados, el modelo respondió que la eficiencia promedio en cobertura es del 90 %, cuando el cuadro reporta 63,43. La cita que acompañó la respuesta señalaba una página que sí estaba entre los fragmentos recuperados, de modo que una validación del tipo «la cita corresponde a un fragmento real» no habría detectado el error: el fallo no está en la cita sino en la fidelidad de la respuesta al fragmento.</w:t>
      </w:r>
    </w:p>
    <w:p>
      <w:pPr>
        <w:spacing w:after="120" w:line="276"/>
        <w:jc w:val="both"/>
      </w:pPr>
      <w:r>
        <w:rPr>
          <w:rFonts w:ascii="Arial" w:cs="Arial" w:eastAsia="Arial" w:hAnsi="Arial"/>
          <w:sz w:val="21"/>
          <w:szCs w:val="21"/>
        </w:rPr>
        <w:t xml:space="preserve">Resultado de la abstención. Correcto. Ante la consulta por el presupuesto de la Universidad Nacional en 2024, dato ausente del corpus, el sistema respondió «No está en las fuentes» sin ofrecer ninguna cifra.</w:t>
      </w:r>
    </w:p>
    <w:p>
      <w:pPr>
        <w:spacing w:after="120" w:line="276"/>
        <w:jc w:val="both"/>
      </w:pPr>
      <w:r>
        <w:rPr>
          <w:rFonts w:ascii="Arial" w:cs="Arial" w:eastAsia="Arial" w:hAnsi="Arial"/>
          <w:sz w:val="21"/>
          <w:szCs w:val="21"/>
        </w:rPr>
        <w:t xml:space="preserve">Hallazgo adicional sobre la paginación. El sistema cita la página secuencial del archivo PDF, no la del artículo impreso. En Galvis-Aponte (2015), que comienza en la página 75 de la revista, el Cuadro 2 aparece como «p. 15» del PDF y como página 89 en la publicación. El desfase es sistemático y corregible, pero mientras no se corrija las citas del sistema no coinciden con las de la tabla de trazabilidad. De paso, la coincidencia entre ambas numeraciones confirma de forma independiente la ubicación verificada a mano por el equipo.</w:t>
      </w:r>
    </w:p>
    <w:p>
      <w:pPr>
        <w:pStyle w:val="Heading1"/>
        <w:spacing w:after="120" w:before="240"/>
      </w:pPr>
      <w:r>
        <w:rPr>
          <w:rFonts w:ascii="Arial" w:cs="Arial" w:eastAsia="Arial" w:hAnsi="Arial"/>
        </w:rPr>
        <w:t xml:space="preserve">4. Tabla de decisión</w:t>
      </w:r>
    </w:p>
    <w:p>
      <w:pPr>
        <w:spacing w:after="80" w:line="276"/>
        <w:jc w:val="both"/>
      </w:pPr>
      <w:r>
        <w:rPr>
          <w:rFonts w:ascii="Arial" w:cs="Arial" w:eastAsia="Arial" w:hAnsi="Arial"/>
          <w:sz w:val="21"/>
          <w:szCs w:val="21"/>
        </w:rPr>
        <w:t xml:space="preserve">Versión completa, con la evidencia de cada celda, en la hoja Tabla_Decision del libro del experimento.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1950"/>
        <w:gridCol w:w="1900"/>
        <w:gridCol w:w="1810"/>
      </w:tblGrid>
      <w:tr>
        <w:trPr>
          <w:tblHeader/>
        </w:trPr>
        <w:tc>
          <w:tcPr>
            <w:tcW w:type="dxa" w:w="1750"/>
            <w:tcBorders>
              <w:top w:val="single" w:color="BFBFBF" w:sz="4"/>
              <w:left w:val="single" w:color="BFBFBF" w:sz="4"/>
              <w:bottom w:val="single" w:color="BFBFBF" w:sz="4"/>
              <w:right w:val="single" w:color="BFBFBF" w:sz="4"/>
            </w:tcBorders>
            <w:shd w:fill="3D008D" w:color="auto" w:val="clear"/>
            <w:tcMar>
              <w:top w:type="dxa" w:w="60"/>
              <w:left w:type="dxa" w:w="100"/>
              <w:bottom w:type="dxa" w:w="60"/>
              <w:right w:type="dxa" w:w="100"/>
            </w:tcMar>
          </w:tcPr>
          <w:p>
            <w:r>
              <w:rPr>
                <w:rFonts w:ascii="Arial" w:cs="Arial" w:eastAsia="Arial" w:hAnsi="Arial"/>
                <w:b/>
                <w:bCs/>
                <w:color w:val="FFFFFF"/>
                <w:sz w:val="18"/>
                <w:szCs w:val="18"/>
              </w:rPr>
              <w:t xml:space="preserve">Criterio</w:t>
            </w:r>
          </w:p>
        </w:tc>
        <w:tc>
          <w:tcPr>
            <w:tcW w:type="dxa" w:w="1950"/>
            <w:tcBorders>
              <w:top w:val="single" w:color="BFBFBF" w:sz="4"/>
              <w:left w:val="single" w:color="BFBFBF" w:sz="4"/>
              <w:bottom w:val="single" w:color="BFBFBF" w:sz="4"/>
              <w:right w:val="single" w:color="BFBFBF" w:sz="4"/>
            </w:tcBorders>
            <w:shd w:fill="3D008D" w:color="auto" w:val="clear"/>
            <w:tcMar>
              <w:top w:type="dxa" w:w="60"/>
              <w:left w:type="dxa" w:w="100"/>
              <w:bottom w:type="dxa" w:w="60"/>
              <w:right w:type="dxa" w:w="100"/>
            </w:tcMar>
          </w:tcPr>
          <w:p>
            <w:r>
              <w:rPr>
                <w:rFonts w:ascii="Arial" w:cs="Arial" w:eastAsia="Arial" w:hAnsi="Arial"/>
                <w:b/>
                <w:bCs/>
                <w:color w:val="FFFFFF"/>
                <w:sz w:val="18"/>
                <w:szCs w:val="18"/>
              </w:rPr>
              <w:t xml:space="preserve">NotebookLM (empaquetada)</w:t>
            </w:r>
          </w:p>
        </w:tc>
        <w:tc>
          <w:tcPr>
            <w:tcW w:type="dxa" w:w="1950"/>
            <w:tcBorders>
              <w:top w:val="single" w:color="BFBFBF" w:sz="4"/>
              <w:left w:val="single" w:color="BFBFBF" w:sz="4"/>
              <w:bottom w:val="single" w:color="BFBFBF" w:sz="4"/>
              <w:right w:val="single" w:color="BFBFBF" w:sz="4"/>
            </w:tcBorders>
            <w:shd w:fill="3D008D" w:color="auto" w:val="clear"/>
            <w:tcMar>
              <w:top w:type="dxa" w:w="60"/>
              <w:left w:type="dxa" w:w="100"/>
              <w:bottom w:type="dxa" w:w="60"/>
              <w:right w:type="dxa" w:w="100"/>
            </w:tcMar>
          </w:tcPr>
          <w:p>
            <w:r>
              <w:rPr>
                <w:rFonts w:ascii="Arial" w:cs="Arial" w:eastAsia="Arial" w:hAnsi="Arial"/>
                <w:b/>
                <w:bCs/>
                <w:color w:val="FFFFFF"/>
                <w:sz w:val="18"/>
                <w:szCs w:val="18"/>
              </w:rPr>
              <w:t xml:space="preserve">Proyecto con archivos (empaquetada)</w:t>
            </w:r>
          </w:p>
        </w:tc>
        <w:tc>
          <w:tcPr>
            <w:tcW w:type="dxa" w:w="1900"/>
            <w:tcBorders>
              <w:top w:val="single" w:color="BFBFBF" w:sz="4"/>
              <w:left w:val="single" w:color="BFBFBF" w:sz="4"/>
              <w:bottom w:val="single" w:color="BFBFBF" w:sz="4"/>
              <w:right w:val="single" w:color="BFBFBF" w:sz="4"/>
            </w:tcBorders>
            <w:shd w:fill="3D008D" w:color="auto" w:val="clear"/>
            <w:tcMar>
              <w:top w:type="dxa" w:w="60"/>
              <w:left w:type="dxa" w:w="100"/>
              <w:bottom w:type="dxa" w:w="60"/>
              <w:right w:type="dxa" w:w="100"/>
            </w:tcMar>
          </w:tcPr>
          <w:p>
            <w:r>
              <w:rPr>
                <w:rFonts w:ascii="Arial" w:cs="Arial" w:eastAsia="Arial" w:hAnsi="Arial"/>
                <w:b/>
                <w:bCs/>
                <w:color w:val="FFFFFF"/>
                <w:sz w:val="18"/>
                <w:szCs w:val="18"/>
              </w:rPr>
              <w:t xml:space="preserve">Búsqueda por API (gestionada)</w:t>
            </w:r>
          </w:p>
        </w:tc>
        <w:tc>
          <w:tcPr>
            <w:tcW w:type="dxa" w:w="1810"/>
            <w:tcBorders>
              <w:top w:val="single" w:color="BFBFBF" w:sz="4"/>
              <w:left w:val="single" w:color="BFBFBF" w:sz="4"/>
              <w:bottom w:val="single" w:color="BFBFBF" w:sz="4"/>
              <w:right w:val="single" w:color="BFBFBF" w:sz="4"/>
            </w:tcBorders>
            <w:shd w:fill="3D008D" w:color="auto" w:val="clear"/>
            <w:tcMar>
              <w:top w:type="dxa" w:w="60"/>
              <w:left w:type="dxa" w:w="100"/>
              <w:bottom w:type="dxa" w:w="60"/>
              <w:right w:type="dxa" w:w="100"/>
            </w:tcMar>
          </w:tcPr>
          <w:p>
            <w:r>
              <w:rPr>
                <w:rFonts w:ascii="Arial" w:cs="Arial" w:eastAsia="Arial" w:hAnsi="Arial"/>
                <w:b/>
                <w:bCs/>
                <w:color w:val="FFFFFF"/>
                <w:sz w:val="18"/>
                <w:szCs w:val="18"/>
              </w:rPr>
              <w:t xml:space="preserve">Vía propia</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Contexto cerrado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Sí. Verificado en prueba 3.2 y en el tratamiento C (0 de 15 «existe pero no dice eso»)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Sí, con riesgo de mezclar conocimiento propio. No medido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Sí por diseño. No medido</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No en su configuración actual: la generación no se limitó a los fragmentos (prueba 3.5). La abstención sí funcionó</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Cita con localización</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Documento y pasaje señalado, con imagen de la página; no indica número de página</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Nivel de archivo, sin ubicación interna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Nivel de fragmento; la página depende de la indexación</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Documento y página del PDF, pero con desfase frente a la paginación impresa (prueba 3.5)</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Privacidad</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Nube del proveedor</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Nube del proveedor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Nube del proveedor</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Local</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Costo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Plan estándar gratuito; 50 fuentes por cuaderno y 50 consultas diarias (verificado 28/09/2026)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Requiere plan de pago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Pago por uso</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Sin costo monetario; costo en tiempo de montaje</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Exportación a APA 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No exporta; lo resuelve Zotero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No exporta; lo resuelve Zotero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No exporta; lo resuelve Zotero</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No exporta; lo resuelve Zotero</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Reproducibilidad</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Baja: el índice no se reconstruye con un comando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Baja, por la misma razón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Media: el script queda en el repositorio</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Alta: índice reconstruible con un comando. Verificado 24/09</w:t>
            </w:r>
          </w:p>
        </w:tc>
      </w:tr>
      <w:tr>
        <w:trPr>
          <w:tblHeader w:val="false"/>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Veredicto</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ELEGIDA</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Descartada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Descartada</w:t>
            </w:r>
          </w:p>
        </w:tc>
        <w:tc>
          <w:tcPr>
            <w:tcW w:type="dxa" w:w="1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8"/>
                <w:szCs w:val="18"/>
              </w:rPr>
              <w:t xml:space="preserve">Descartada</w:t>
            </w:r>
          </w:p>
        </w:tc>
      </w:tr>
    </w:tbl>
    <w:p>
      <w:pPr>
        <w:spacing w:after="120" w:line="276"/>
        <w:jc w:val="both"/>
      </w:pPr>
      <w:r>
        <w:rPr>
          <w:rFonts w:ascii="Arial" w:cs="Arial" w:eastAsia="Arial" w:hAnsi="Arial"/>
          <w:i/>
          <w:iCs/>
          <w:sz w:val="17"/>
          <w:szCs w:val="17"/>
        </w:rPr>
        <w:t xml:space="preserve">Fuente de la fila de privacidad: enunciado de la actividad, tabla «Tres vías para el anclaje».</w:t>
      </w:r>
    </w:p>
    <w:p>
      <w:pPr>
        <w:pStyle w:val="Heading1"/>
        <w:spacing w:after="120" w:before="240"/>
      </w:pPr>
      <w:r>
        <w:rPr>
          <w:rFonts w:ascii="Arial" w:cs="Arial" w:eastAsia="Arial" w:hAnsi="Arial"/>
        </w:rPr>
        <w:t xml:space="preserve">5. Veredicto</w:t>
      </w:r>
    </w:p>
    <w:p>
      <w:pPr>
        <w:spacing w:after="120" w:line="276"/>
        <w:jc w:val="both"/>
      </w:pPr>
      <w:r>
        <w:rPr>
          <w:rFonts w:ascii="Arial" w:cs="Arial" w:eastAsia="Arial" w:hAnsi="Arial"/>
          <w:sz w:val="21"/>
          <w:szCs w:val="21"/>
        </w:rPr>
        <w:t xml:space="preserve">Solo dos alternativas fueron medidas: NotebookLM, en el tratamiento C del experimento y en las pruebas 3.1 y 3.2, y la vía propia, en las pruebas 3.4 y 3.5. Las otras dos se descartan sin medición propia y así se declara. Aplicado el filtro, NotebookLM lo pasa y la vía propia no: en su configuración actual la generación no se limitó a las fuentes recuperadas, que es la primera de las tres condiciones eliminatorias. La regla se había declarado antes de ejecutar esta prueba, de modo que su aplicación no se acomodó al resultado.</w:t>
      </w:r>
    </w:p>
    <w:p>
      <w:pPr>
        <w:spacing w:after="120" w:line="276"/>
        <w:jc w:val="both"/>
      </w:pPr>
      <w:r>
        <w:rPr>
          <w:rFonts w:ascii="Arial" w:cs="Arial" w:eastAsia="Arial" w:hAnsi="Arial"/>
          <w:sz w:val="21"/>
          <w:szCs w:val="21"/>
        </w:rPr>
        <w:t xml:space="preserve">Se elige NotebookLM. Pesaron dos criterios: es la única alternativa cuyo comportamiento completo medimos con datos propios, y en la prueba de cita señala el pasaje dentro del documento, que es lo que necesitamos para responder de dónde sale una frase del anteproyecto. La prueba de abstención confirmó además que distingue lo que está en las fuentes de lo que no. Su limitación conocida es que no indica el número de página: la ubicación que entrega es el pasaje señalado, no la página. Por eso la tabla de trazabilidad conserva la página verificada a mano, y el sistema no la reemplaza sino que la complementa.</w:t>
      </w:r>
    </w:p>
    <w:p>
      <w:pPr>
        <w:spacing w:after="120" w:line="276"/>
        <w:jc w:val="both"/>
      </w:pPr>
      <w:r>
        <w:rPr>
          <w:rFonts w:ascii="Arial" w:cs="Arial" w:eastAsia="Arial" w:hAnsi="Arial"/>
          <w:sz w:val="21"/>
          <w:szCs w:val="21"/>
        </w:rPr>
        <w:t xml:space="preserve">Los proyectos con archivos pierden en cita con localización: citan el archivo, no el lugar dentro del archivo, y no fueron medidos. La búsqueda en archivos por API pierde en costo y esfuerzo, sin aportar ventaja en privacidad, porque los documentos siguen quedando en la nube del proveedor.</w:t>
      </w:r>
    </w:p>
    <w:p>
      <w:pPr>
        <w:spacing w:after="120" w:line="276"/>
        <w:jc w:val="both"/>
      </w:pPr>
      <w:r>
        <w:rPr>
          <w:rFonts w:ascii="Arial" w:cs="Arial" w:eastAsia="Arial" w:hAnsi="Arial"/>
          <w:sz w:val="21"/>
          <w:szCs w:val="21"/>
        </w:rPr>
        <w:t xml:space="preserve">La vía propia se descarta por dos razones, y la segunda resultó más determinante que la primera. La primera es de alcance: el corpus está compuesto exclusivamente por documentos públicos, sin datos de contraparte, de modo que el criterio de privacidad no la exige, y con un volumen de entre diez y catorce documentos la reproducibilidad que aporta no compensa el tiempo de montaje. La segunda es de fidelidad medida: implementada y probada el 28 de septiembre, su recuperación funciona bien y su abstención es correcta, pero la generación produjo una cifra falsa teniendo el dato correcto entre los fragmentos entregados. Con el modelo pequeño que el equipo puede ejecutar en CPU, el sistema no cumple la condición de limitarse a las fuentes.</w:t>
      </w:r>
    </w:p>
    <w:p>
      <w:pPr>
        <w:spacing w:after="120" w:line="276"/>
        <w:jc w:val="both"/>
      </w:pPr>
      <w:r>
        <w:rPr>
          <w:rFonts w:ascii="Arial" w:cs="Arial" w:eastAsia="Arial" w:hAnsi="Arial"/>
          <w:sz w:val="21"/>
          <w:szCs w:val="21"/>
        </w:rPr>
        <w:t xml:space="preserve">Conviene declarar con precisión qué prueba y qué no prueba este resultado. No prueba que la vía propia sea inviable en general: la extracción, la indexación, la recuperación y la abstención funcionaron, y el fallo es atribuible a la capacidad del modelo de generación disponible en el equipo, no a la arquitectura. Sí muestra que, en las condiciones concretas de este proyecto, esa vía habría requerido un modelo mayor o una etapa de verificación adicional que el plazo no permitía. El caso queda documentado como caso de fallo del sistema, con su causa técnica, según lo exige la semana 3.</w:t>
      </w:r>
    </w:p>
    <w:p>
      <w:pPr>
        <w:pStyle w:val="Heading1"/>
        <w:spacing w:after="120" w:before="240"/>
      </w:pPr>
      <w:r>
        <w:rPr>
          <w:rFonts w:ascii="Arial" w:cs="Arial" w:eastAsia="Arial" w:hAnsi="Arial"/>
        </w:rPr>
        <w:t xml:space="preserve">6. Pendientes derivados de las pruebas</w:t>
      </w:r>
    </w:p>
    <w:p>
      <w:pPr>
        <w:pStyle w:val="ListParagraph"/>
        <w:numPr>
          <w:ilvl w:val="0"/>
          <w:numId w:val="2"/>
        </w:numPr>
        <w:spacing w:after="80" w:line="264"/>
      </w:pPr>
      <w:r>
        <w:rPr>
          <w:rFonts w:ascii="Arial" w:cs="Arial" w:eastAsia="Arial" w:hAnsi="Arial"/>
          <w:sz w:val="21"/>
          <w:szCs w:val="21"/>
        </w:rPr>
        <w:t xml:space="preserve">Completar el corpus: van seis documentos y el mínimo del enunciado son diez.</w:t>
      </w:r>
    </w:p>
    <w:p>
      <w:pPr>
        <w:pStyle w:val="ListParagraph"/>
        <w:numPr>
          <w:ilvl w:val="0"/>
          <w:numId w:val="2"/>
        </w:numPr>
        <w:spacing w:after="80" w:line="264"/>
      </w:pPr>
      <w:r>
        <w:rPr>
          <w:rFonts w:ascii="Arial" w:cs="Arial" w:eastAsia="Arial" w:hAnsi="Arial"/>
          <w:sz w:val="21"/>
          <w:szCs w:val="21"/>
        </w:rPr>
        <w:t xml:space="preserve">Registrar en el README de procedencia el límite de 50 fuentes por cuaderno, por si el corpus creciera en fases posteriores del proyecto.</w:t>
      </w:r>
    </w:p>
    <w:p>
      <w:pPr>
        <w:pStyle w:val="ListParagraph"/>
        <w:numPr>
          <w:ilvl w:val="0"/>
          <w:numId w:val="2"/>
        </w:numPr>
        <w:spacing w:after="80" w:line="264"/>
      </w:pPr>
      <w:r>
        <w:rPr>
          <w:rFonts w:ascii="Arial" w:cs="Arial" w:eastAsia="Arial" w:hAnsi="Arial"/>
          <w:sz w:val="21"/>
          <w:szCs w:val="21"/>
        </w:rPr>
        <w:t xml:space="preserve">Verificar y documentar el límite de fuentes del plan, con captura.</w:t>
      </w:r>
    </w:p>
    <w:p>
      <w:pPr>
        <w:pStyle w:val="ListParagraph"/>
        <w:numPr>
          <w:ilvl w:val="0"/>
          <w:numId w:val="2"/>
        </w:numPr>
        <w:spacing w:after="80" w:line="264"/>
      </w:pPr>
      <w:r>
        <w:rPr>
          <w:rFonts w:ascii="Arial" w:cs="Arial" w:eastAsia="Arial" w:hAnsi="Arial"/>
          <w:sz w:val="21"/>
          <w:szCs w:val="21"/>
        </w:rPr>
        <w:t xml:space="preserve">Corregir el desfase de paginación del extractor si la vía propia se retoma: el número de página del PDF debe convertirse a la paginación impresa de cada documento.</w:t>
      </w:r>
    </w:p>
    <w:p>
      <w:pPr>
        <w:pStyle w:val="ListParagraph"/>
        <w:numPr>
          <w:ilvl w:val="0"/>
          <w:numId w:val="2"/>
        </w:numPr>
        <w:spacing w:after="80" w:line="264"/>
      </w:pPr>
      <w:r>
        <w:rPr>
          <w:rFonts w:ascii="Arial" w:cs="Arial" w:eastAsia="Arial" w:hAnsi="Arial"/>
          <w:sz w:val="21"/>
          <w:szCs w:val="21"/>
        </w:rPr>
        <w:t xml:space="preserve">Usar la respuesta fallida del 28/09 como caso de fallo documentado del sistema, con su causa técnica identificada.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Visto bueno · Semana 1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3D008D"/>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01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2026-09-28T07:05:44.615Z</dcterms:created>
  <dcterms:modified xsi:type="dcterms:W3CDTF">2026-09-28T07:05:44.627Z</dcterms:modified>
</cp:coreProperties>
</file>

<file path=docProps/custom.xml><?xml version="1.0" encoding="utf-8"?>
<Properties xmlns="http://schemas.openxmlformats.org/officeDocument/2006/custom-properties" xmlns:vt="http://schemas.openxmlformats.org/officeDocument/2006/docPropsVTypes"/>
</file>