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D9B57" w14:textId="77777777" w:rsidR="00CD7ED6" w:rsidRPr="00263F73" w:rsidRDefault="092DED20">
      <w:pPr>
        <w:spacing w:after="40"/>
        <w:rPr>
          <w:color w:val="000000" w:themeColor="text1"/>
        </w:rPr>
      </w:pPr>
      <w:r w:rsidRPr="00263F73">
        <w:rPr>
          <w:b/>
          <w:bCs/>
          <w:color w:val="000000" w:themeColor="text1"/>
          <w:sz w:val="30"/>
          <w:szCs w:val="30"/>
        </w:rPr>
        <w:t>Memoria · Nada sin fuente</w:t>
      </w:r>
    </w:p>
    <w:p w14:paraId="39041DB6" w14:textId="77777777" w:rsidR="00CD7ED6" w:rsidRDefault="092DED20">
      <w:pPr>
        <w:spacing w:after="120" w:line="276" w:lineRule="auto"/>
      </w:pPr>
      <w:r w:rsidRPr="00037A5E">
        <w:rPr>
          <w:sz w:val="17"/>
          <w:szCs w:val="17"/>
        </w:rPr>
        <w:t>Observatorio de Datos de Educación en Colombia · Isabella Álvarez, Eduar Caicedo y Anderson González · Consultoría Estadística 2026-II · Docente: Javier Mauricio Sierra</w:t>
      </w:r>
    </w:p>
    <w:p w14:paraId="7B23DB4F" w14:textId="77777777" w:rsidR="00CD7ED6" w:rsidRPr="00263F73" w:rsidRDefault="092DED20">
      <w:pPr>
        <w:pStyle w:val="heading10"/>
        <w:rPr>
          <w:color w:val="000000" w:themeColor="text1"/>
        </w:rPr>
      </w:pPr>
      <w:r w:rsidRPr="00263F73">
        <w:rPr>
          <w:color w:val="000000" w:themeColor="text1"/>
        </w:rPr>
        <w:t>1. Diagnóstico</w:t>
      </w:r>
    </w:p>
    <w:p w14:paraId="0DD87A72" w14:textId="77777777" w:rsidR="00CD7ED6" w:rsidRDefault="092DED20">
      <w:pPr>
        <w:spacing w:after="120" w:line="276" w:lineRule="auto"/>
        <w:jc w:val="both"/>
      </w:pPr>
      <w:r w:rsidRPr="00037A5E">
        <w:rPr>
          <w:sz w:val="20"/>
          <w:szCs w:val="20"/>
        </w:rPr>
        <w:t>Los inventarios individuales registran fallos de herramientas de IA ocurridos durante el proyecto. Ninguno era una invención grosera: todos eran plausibles, bien redactados y presentados con seguridad. La mayoría fueron fallos de anclaje: el documento existía, pero la herramienta afirmó sobre él algo que no dice. Es el error más costoso, porque comprobar que una referencia existe no basta para detectarlo. Una herramienta atribuyó a Melo-Becerra et al. (2017) el uso de DEA, cuando el artículo usa frontera estocástica; otra entregó como cita textual de Visbal-Cadavid et al. (2017) una frase en español, cuando el artículo está en inglés; un modelo local definió el DEA como «</w:t>
      </w:r>
      <w:proofErr w:type="spellStart"/>
      <w:r w:rsidRPr="00037A5E">
        <w:rPr>
          <w:sz w:val="20"/>
          <w:szCs w:val="20"/>
        </w:rPr>
        <w:t>Evolving</w:t>
      </w:r>
      <w:proofErr w:type="spellEnd"/>
      <w:r w:rsidRPr="00037A5E">
        <w:rPr>
          <w:sz w:val="20"/>
          <w:szCs w:val="20"/>
        </w:rPr>
        <w:t xml:space="preserve"> Data </w:t>
      </w:r>
      <w:proofErr w:type="spellStart"/>
      <w:r w:rsidRPr="00037A5E">
        <w:rPr>
          <w:sz w:val="20"/>
          <w:szCs w:val="20"/>
        </w:rPr>
        <w:t>Analysis</w:t>
      </w:r>
      <w:proofErr w:type="spellEnd"/>
      <w:r w:rsidRPr="00037A5E">
        <w:rPr>
          <w:sz w:val="20"/>
          <w:szCs w:val="20"/>
        </w:rPr>
        <w:t>». Parte de los errores detectados al verificar sí llegaron al anteproyecto entregado (apartado 5). Al correr el banco, el control sin fuentes repitió exactamente el error sobre Melo-Becerra: no fue accidental, sino lo esperable en un modelo que responde de memoria en un campo donde casi todo es DEA.</w:t>
      </w:r>
    </w:p>
    <w:p w14:paraId="11D5005C" w14:textId="77777777" w:rsidR="00CD7ED6" w:rsidRPr="00263F73" w:rsidRDefault="092DED20">
      <w:pPr>
        <w:pStyle w:val="heading10"/>
        <w:rPr>
          <w:color w:val="000000" w:themeColor="text1"/>
        </w:rPr>
      </w:pPr>
      <w:r w:rsidRPr="00263F73">
        <w:rPr>
          <w:color w:val="000000" w:themeColor="text1"/>
        </w:rPr>
        <w:t>2. Experimento y decisión</w:t>
      </w:r>
    </w:p>
    <w:p w14:paraId="00F2FFD9" w14:textId="77777777" w:rsidR="00CD7ED6" w:rsidRDefault="092DED20">
      <w:pPr>
        <w:spacing w:after="120" w:line="276" w:lineRule="auto"/>
        <w:jc w:val="both"/>
      </w:pPr>
      <w:r w:rsidRPr="00037A5E">
        <w:rPr>
          <w:sz w:val="20"/>
          <w:szCs w:val="20"/>
        </w:rPr>
        <w:t xml:space="preserve">Cada integrante corrió una consulta bibliográfica real en tres tratamientos: A, chat sin fuentes; B, </w:t>
      </w:r>
      <w:proofErr w:type="spellStart"/>
      <w:r w:rsidRPr="00037A5E">
        <w:rPr>
          <w:sz w:val="20"/>
          <w:szCs w:val="20"/>
        </w:rPr>
        <w:t>Consensus</w:t>
      </w:r>
      <w:proofErr w:type="spellEnd"/>
      <w:r w:rsidRPr="00037A5E">
        <w:rPr>
          <w:sz w:val="20"/>
          <w:szCs w:val="20"/>
        </w:rPr>
        <w:t xml:space="preserve">; C, </w:t>
      </w:r>
      <w:proofErr w:type="spellStart"/>
      <w:r w:rsidRPr="00037A5E">
        <w:rPr>
          <w:sz w:val="20"/>
          <w:szCs w:val="20"/>
        </w:rPr>
        <w:t>NotebookLM</w:t>
      </w:r>
      <w:proofErr w:type="spellEnd"/>
      <w:r w:rsidRPr="00037A5E">
        <w:rPr>
          <w:sz w:val="20"/>
          <w:szCs w:val="20"/>
        </w:rPr>
        <w:t xml:space="preserve"> con los PDF del estado del arte. Clasificamos por separado 45 referencias. Utilizables: A 9/15 (60,0 %; IC 95 % Wilson 35,7–80,2), B 11/15 (73,3 %; 48,0–89,1), C 14/15 (93,3 %; 70,2–98,8). Las inexistentes aparecieron en A (tres) y C (una), ninguna en B. Coincidimos en 38 de 45 clasificaciones (</w:t>
      </w:r>
      <w:r w:rsidRPr="092DED20">
        <w:rPr>
          <w:sz w:val="20"/>
          <w:szCs w:val="20"/>
          <w:lang w:val="en-US"/>
        </w:rPr>
        <w:t>κ</w:t>
      </w:r>
      <w:r w:rsidRPr="00037A5E">
        <w:rPr>
          <w:sz w:val="20"/>
          <w:szCs w:val="20"/>
        </w:rPr>
        <w:t xml:space="preserve"> de Fleiss 0,720). El intervalo de Newcombe para la diferencia C − A va de 2,6 a 58,2 puntos y la prueba exacta de Fisher da p = 0,08; para C − B el intervalo incluye el cero. Ambos cálculos suponen referencias independientes, y las nuestras vienen agrupadas de a cinco por consulta, de modo que la incertidumbre real es mayor. Los datos apuntan a que C supera a </w:t>
      </w:r>
      <w:proofErr w:type="spellStart"/>
      <w:r w:rsidRPr="00037A5E">
        <w:rPr>
          <w:sz w:val="20"/>
          <w:szCs w:val="20"/>
        </w:rPr>
        <w:t>A</w:t>
      </w:r>
      <w:proofErr w:type="spellEnd"/>
      <w:r w:rsidRPr="00037A5E">
        <w:rPr>
          <w:sz w:val="20"/>
          <w:szCs w:val="20"/>
        </w:rPr>
        <w:t>, pero no permiten fijar cuánto.</w:t>
      </w:r>
    </w:p>
    <w:p w14:paraId="4B0406B1" w14:textId="77777777" w:rsidR="00CD7ED6" w:rsidRDefault="092DED20">
      <w:pPr>
        <w:spacing w:after="120" w:line="276" w:lineRule="auto"/>
        <w:jc w:val="both"/>
      </w:pPr>
      <w:r w:rsidRPr="00037A5E">
        <w:rPr>
          <w:sz w:val="20"/>
          <w:szCs w:val="20"/>
        </w:rPr>
        <w:t xml:space="preserve">Se eligió </w:t>
      </w:r>
      <w:proofErr w:type="spellStart"/>
      <w:r w:rsidRPr="00037A5E">
        <w:rPr>
          <w:sz w:val="20"/>
          <w:szCs w:val="20"/>
        </w:rPr>
        <w:t>NotebookLM</w:t>
      </w:r>
      <w:proofErr w:type="spellEnd"/>
      <w:r w:rsidRPr="00037A5E">
        <w:rPr>
          <w:sz w:val="20"/>
          <w:szCs w:val="20"/>
        </w:rPr>
        <w:t xml:space="preserve"> con una regla de filtro eliminatorio —limitarse a las fuentes, abstenerse y señalar la ubicación— seguida de la comparación de los criterios restantes, declarada el 28/09 tras las primeras pruebas. Los proyectos con archivos perdieron por citar solo el archivo; la búsqueda por API, por costo y esfuerzo sin ganancia en privacidad; la vía propia, implementada y probada, porque su generación produjo una cifra falsa teniendo el dato correcto entre los fragmentos recuperados.</w:t>
      </w:r>
    </w:p>
    <w:p w14:paraId="16DB9996" w14:textId="77777777" w:rsidR="00CD7ED6" w:rsidRPr="00263F73" w:rsidRDefault="092DED20">
      <w:pPr>
        <w:pStyle w:val="heading10"/>
        <w:rPr>
          <w:color w:val="000000" w:themeColor="text1"/>
        </w:rPr>
      </w:pPr>
      <w:r w:rsidRPr="00263F73">
        <w:rPr>
          <w:color w:val="000000" w:themeColor="text1"/>
        </w:rPr>
        <w:t>3. El sistema</w:t>
      </w:r>
    </w:p>
    <w:p w14:paraId="16D73E48" w14:textId="2AB95E17" w:rsidR="00CD7ED6" w:rsidRDefault="092DED20">
      <w:pPr>
        <w:spacing w:after="120" w:line="276" w:lineRule="auto"/>
        <w:jc w:val="both"/>
      </w:pPr>
      <w:r w:rsidRPr="092DED20">
        <w:rPr>
          <w:sz w:val="20"/>
          <w:szCs w:val="20"/>
          <w:lang w:val="es-ES"/>
        </w:rPr>
        <w:t xml:space="preserve">Un cuaderno de </w:t>
      </w:r>
      <w:proofErr w:type="spellStart"/>
      <w:r w:rsidRPr="092DED20">
        <w:rPr>
          <w:sz w:val="20"/>
          <w:szCs w:val="20"/>
          <w:lang w:val="es-ES"/>
        </w:rPr>
        <w:t>NotebookLM</w:t>
      </w:r>
      <w:proofErr w:type="spellEnd"/>
      <w:r w:rsidRPr="092DED20">
        <w:rPr>
          <w:sz w:val="20"/>
          <w:szCs w:val="20"/>
          <w:lang w:val="es-ES"/>
        </w:rPr>
        <w:t xml:space="preserve"> con un corpus de 13 documentos públicos del estado del arte, nombrados con la convención apellido-año y con su procedencia registrada en un README. El DOI o la URL de cada fuente está registrado en ese README. Un script propio verificó que los 13 documentos de la carpeta tienen capa de texto. Cada consulta se hace bajo el protocolo v1, que restringe la respuesta a las fuentes cargadas, exige citar documento y ubicación y fija la respuesta «No está en las fuentes». Como la herramienta señala el </w:t>
      </w:r>
      <w:proofErr w:type="gramStart"/>
      <w:r w:rsidRPr="092DED20">
        <w:rPr>
          <w:sz w:val="20"/>
          <w:szCs w:val="20"/>
          <w:lang w:val="es-ES"/>
        </w:rPr>
        <w:t>pasaje</w:t>
      </w:r>
      <w:proofErr w:type="gramEnd"/>
      <w:r w:rsidRPr="092DED20">
        <w:rPr>
          <w:sz w:val="20"/>
          <w:szCs w:val="20"/>
          <w:lang w:val="es-ES"/>
        </w:rPr>
        <w:t xml:space="preserve"> pero no el número de página, la página se toma del PDF y se registra en la tabla de trazabilidad, verificada por quien abrió el documento. Dos fuentes no se consiguieron en texto completo: Simar y Wilson (1999), registrada en la tabla de trazabilidad como no conseguida, y </w:t>
      </w:r>
      <w:proofErr w:type="spellStart"/>
      <w:r w:rsidRPr="092DED20">
        <w:rPr>
          <w:sz w:val="20"/>
          <w:szCs w:val="20"/>
          <w:lang w:val="es-ES"/>
        </w:rPr>
        <w:t>Färe</w:t>
      </w:r>
      <w:proofErr w:type="spellEnd"/>
      <w:r w:rsidRPr="092DED20">
        <w:rPr>
          <w:sz w:val="20"/>
          <w:szCs w:val="20"/>
          <w:lang w:val="es-ES"/>
        </w:rPr>
        <w:t xml:space="preserve"> et al. (1994), reemplazada por Vázquez Rojas y Pérez-Esparrells (2016) para sustentar la descomposición del índice de Malmquist. Ninguna se carga al sistema, porque este solo puede citar lo que tiene. Tras la evaluación se redactó la versión 2 del protocolo, que exige cita en cada oración y prohíbe añadir contexto al abstenerse, por los hallazgos del apartado 4.</w:t>
      </w:r>
    </w:p>
    <w:p w14:paraId="41305051" w14:textId="77777777" w:rsidR="00037A5E" w:rsidRPr="00037A5E" w:rsidRDefault="00037A5E">
      <w:pPr>
        <w:pStyle w:val="heading10"/>
      </w:pPr>
    </w:p>
    <w:p w14:paraId="5E1933EA" w14:textId="35A97668" w:rsidR="00CD7ED6" w:rsidRPr="00263F73" w:rsidRDefault="092DED20">
      <w:pPr>
        <w:pStyle w:val="heading10"/>
        <w:rPr>
          <w:color w:val="000000" w:themeColor="text1"/>
        </w:rPr>
      </w:pPr>
      <w:r w:rsidRPr="00263F73">
        <w:rPr>
          <w:color w:val="000000" w:themeColor="text1"/>
        </w:rPr>
        <w:lastRenderedPageBreak/>
        <w:t>4. Evaluación</w:t>
      </w:r>
    </w:p>
    <w:p w14:paraId="51C1D9D6" w14:textId="77777777" w:rsidR="00CD7ED6" w:rsidRDefault="092DED20">
      <w:pPr>
        <w:spacing w:after="120" w:line="276" w:lineRule="auto"/>
        <w:jc w:val="both"/>
      </w:pPr>
      <w:r w:rsidRPr="00037A5E">
        <w:rPr>
          <w:sz w:val="20"/>
          <w:szCs w:val="20"/>
        </w:rPr>
        <w:t>Banco de 22 preguntas: 19 con respuesta conocida y localizada, construidas desde la tabla de trazabilidad, y 3 sin respuesta en el corpus. Cada una se corrió en el sistema, con el protocolo v1, y en el control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530"/>
        <w:gridCol w:w="2530"/>
      </w:tblGrid>
      <w:tr w:rsidR="00CD7ED6" w14:paraId="63A44CCA" w14:textId="77777777" w:rsidTr="092DED20">
        <w:tblPrEx>
          <w:tblCellMar>
            <w:top w:w="0" w:type="dxa"/>
            <w:bottom w:w="0" w:type="dxa"/>
          </w:tblCellMar>
        </w:tblPrEx>
        <w:trPr>
          <w:tblHeader/>
        </w:trPr>
        <w:tc>
          <w:tcPr>
            <w:tcW w:w="4300" w:type="dxa"/>
            <w:tcBorders>
              <w:top w:val="single" w:sz="4" w:space="0" w:color="BFBFBF"/>
              <w:left w:val="single" w:sz="4" w:space="0" w:color="BFBFBF"/>
              <w:bottom w:val="single" w:sz="4" w:space="0" w:color="BFBFBF"/>
              <w:right w:val="single" w:sz="4" w:space="0" w:color="BFBFBF"/>
            </w:tcBorders>
            <w:shd w:val="clear" w:color="auto" w:fill="3D008D"/>
            <w:tcMar>
              <w:top w:w="60" w:type="dxa"/>
              <w:left w:w="100" w:type="dxa"/>
              <w:bottom w:w="60" w:type="dxa"/>
              <w:right w:w="100" w:type="dxa"/>
            </w:tcMar>
          </w:tcPr>
          <w:p w14:paraId="602E67DE" w14:textId="77777777" w:rsidR="00CD7ED6" w:rsidRDefault="092DED20">
            <w:proofErr w:type="spellStart"/>
            <w:r w:rsidRPr="092DED20">
              <w:rPr>
                <w:b/>
                <w:bCs/>
                <w:color w:val="FFFFFF"/>
                <w:sz w:val="18"/>
                <w:szCs w:val="18"/>
                <w:lang w:val="en-US"/>
              </w:rPr>
              <w:t>Indicador</w:t>
            </w:r>
            <w:proofErr w:type="spellEnd"/>
          </w:p>
        </w:tc>
        <w:tc>
          <w:tcPr>
            <w:tcW w:w="2530" w:type="dxa"/>
            <w:tcBorders>
              <w:top w:val="single" w:sz="4" w:space="0" w:color="BFBFBF"/>
              <w:left w:val="single" w:sz="4" w:space="0" w:color="BFBFBF"/>
              <w:bottom w:val="single" w:sz="4" w:space="0" w:color="BFBFBF"/>
              <w:right w:val="single" w:sz="4" w:space="0" w:color="BFBFBF"/>
            </w:tcBorders>
            <w:shd w:val="clear" w:color="auto" w:fill="3D008D"/>
            <w:tcMar>
              <w:top w:w="60" w:type="dxa"/>
              <w:left w:w="100" w:type="dxa"/>
              <w:bottom w:w="60" w:type="dxa"/>
              <w:right w:w="100" w:type="dxa"/>
            </w:tcMar>
          </w:tcPr>
          <w:p w14:paraId="7B6146BF" w14:textId="77777777" w:rsidR="00CD7ED6" w:rsidRDefault="092DED20">
            <w:r w:rsidRPr="092DED20">
              <w:rPr>
                <w:b/>
                <w:bCs/>
                <w:color w:val="FFFFFF"/>
                <w:sz w:val="18"/>
                <w:szCs w:val="18"/>
                <w:lang w:val="en-US"/>
              </w:rPr>
              <w:t>Sistema (</w:t>
            </w:r>
            <w:proofErr w:type="spellStart"/>
            <w:r w:rsidRPr="092DED20">
              <w:rPr>
                <w:b/>
                <w:bCs/>
                <w:color w:val="FFFFFF"/>
                <w:sz w:val="18"/>
                <w:szCs w:val="18"/>
                <w:lang w:val="en-US"/>
              </w:rPr>
              <w:t>NotebookLM</w:t>
            </w:r>
            <w:proofErr w:type="spellEnd"/>
            <w:r w:rsidRPr="092DED20">
              <w:rPr>
                <w:b/>
                <w:bCs/>
                <w:color w:val="FFFFFF"/>
                <w:sz w:val="18"/>
                <w:szCs w:val="18"/>
                <w:lang w:val="en-US"/>
              </w:rPr>
              <w:t>)</w:t>
            </w:r>
          </w:p>
        </w:tc>
        <w:tc>
          <w:tcPr>
            <w:tcW w:w="2530" w:type="dxa"/>
            <w:tcBorders>
              <w:top w:val="single" w:sz="4" w:space="0" w:color="BFBFBF"/>
              <w:left w:val="single" w:sz="4" w:space="0" w:color="BFBFBF"/>
              <w:bottom w:val="single" w:sz="4" w:space="0" w:color="BFBFBF"/>
              <w:right w:val="single" w:sz="4" w:space="0" w:color="BFBFBF"/>
            </w:tcBorders>
            <w:shd w:val="clear" w:color="auto" w:fill="3D008D"/>
            <w:tcMar>
              <w:top w:w="60" w:type="dxa"/>
              <w:left w:w="100" w:type="dxa"/>
              <w:bottom w:w="60" w:type="dxa"/>
              <w:right w:w="100" w:type="dxa"/>
            </w:tcMar>
          </w:tcPr>
          <w:p w14:paraId="17C6A218" w14:textId="77777777" w:rsidR="00CD7ED6" w:rsidRDefault="092DED20">
            <w:r w:rsidRPr="092DED20">
              <w:rPr>
                <w:b/>
                <w:bCs/>
                <w:color w:val="FFFFFF"/>
                <w:sz w:val="18"/>
                <w:szCs w:val="18"/>
                <w:lang w:val="en-US"/>
              </w:rPr>
              <w:t xml:space="preserve">Control A (sin </w:t>
            </w:r>
            <w:proofErr w:type="spellStart"/>
            <w:r w:rsidRPr="092DED20">
              <w:rPr>
                <w:b/>
                <w:bCs/>
                <w:color w:val="FFFFFF"/>
                <w:sz w:val="18"/>
                <w:szCs w:val="18"/>
                <w:lang w:val="en-US"/>
              </w:rPr>
              <w:t>fuentes</w:t>
            </w:r>
            <w:proofErr w:type="spellEnd"/>
            <w:r w:rsidRPr="092DED20">
              <w:rPr>
                <w:b/>
                <w:bCs/>
                <w:color w:val="FFFFFF"/>
                <w:sz w:val="18"/>
                <w:szCs w:val="18"/>
                <w:lang w:val="en-US"/>
              </w:rPr>
              <w:t>)</w:t>
            </w:r>
          </w:p>
        </w:tc>
      </w:tr>
      <w:tr w:rsidR="00CD7ED6" w14:paraId="2F7B0719" w14:textId="77777777" w:rsidTr="092DED20">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170C7" w14:textId="77777777" w:rsidR="00CD7ED6" w:rsidRDefault="092DED20">
            <w:proofErr w:type="spellStart"/>
            <w:r w:rsidRPr="092DED20">
              <w:rPr>
                <w:sz w:val="18"/>
                <w:szCs w:val="18"/>
                <w:lang w:val="en-US"/>
              </w:rPr>
              <w:t>Correctas</w:t>
            </w:r>
            <w:proofErr w:type="spellEnd"/>
            <w:r w:rsidRPr="092DED20">
              <w:rPr>
                <w:sz w:val="18"/>
                <w:szCs w:val="18"/>
                <w:lang w:val="en-US"/>
              </w:rPr>
              <w:t xml:space="preserve">, </w:t>
            </w:r>
            <w:proofErr w:type="spellStart"/>
            <w:r w:rsidRPr="092DED20">
              <w:rPr>
                <w:sz w:val="18"/>
                <w:szCs w:val="18"/>
                <w:lang w:val="en-US"/>
              </w:rPr>
              <w:t>preguntas</w:t>
            </w:r>
            <w:proofErr w:type="spellEnd"/>
            <w:r w:rsidRPr="092DED20">
              <w:rPr>
                <w:sz w:val="18"/>
                <w:szCs w:val="18"/>
                <w:lang w:val="en-US"/>
              </w:rPr>
              <w:t xml:space="preserve"> del corpus</w:t>
            </w:r>
          </w:p>
        </w:tc>
        <w:tc>
          <w:tcPr>
            <w:tcW w:w="2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FC360" w14:textId="77777777" w:rsidR="00CD7ED6" w:rsidRDefault="00000000">
            <w:r>
              <w:rPr>
                <w:sz w:val="18"/>
                <w:szCs w:val="18"/>
              </w:rPr>
              <w:t>18 de 19</w:t>
            </w:r>
          </w:p>
        </w:tc>
        <w:tc>
          <w:tcPr>
            <w:tcW w:w="2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D2653" w14:textId="77777777" w:rsidR="00CD7ED6" w:rsidRDefault="00000000">
            <w:r>
              <w:rPr>
                <w:sz w:val="18"/>
                <w:szCs w:val="18"/>
              </w:rPr>
              <w:t>2 de 19</w:t>
            </w:r>
          </w:p>
        </w:tc>
      </w:tr>
      <w:tr w:rsidR="00CD7ED6" w14:paraId="517DB454" w14:textId="77777777" w:rsidTr="092DED20">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216D8" w14:textId="77777777" w:rsidR="00CD7ED6" w:rsidRDefault="092DED20">
            <w:proofErr w:type="spellStart"/>
            <w:r w:rsidRPr="092DED20">
              <w:rPr>
                <w:sz w:val="18"/>
                <w:szCs w:val="18"/>
                <w:lang w:val="en-US"/>
              </w:rPr>
              <w:t>Abstenciones</w:t>
            </w:r>
            <w:proofErr w:type="spellEnd"/>
            <w:r w:rsidRPr="092DED20">
              <w:rPr>
                <w:sz w:val="18"/>
                <w:szCs w:val="18"/>
                <w:lang w:val="en-US"/>
              </w:rPr>
              <w:t xml:space="preserve"> </w:t>
            </w:r>
            <w:proofErr w:type="spellStart"/>
            <w:r w:rsidRPr="092DED20">
              <w:rPr>
                <w:sz w:val="18"/>
                <w:szCs w:val="18"/>
                <w:lang w:val="en-US"/>
              </w:rPr>
              <w:t>correctas</w:t>
            </w:r>
            <w:proofErr w:type="spellEnd"/>
          </w:p>
        </w:tc>
        <w:tc>
          <w:tcPr>
            <w:tcW w:w="2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1B327" w14:textId="77777777" w:rsidR="00CD7ED6" w:rsidRDefault="00000000">
            <w:r>
              <w:rPr>
                <w:sz w:val="18"/>
                <w:szCs w:val="18"/>
              </w:rPr>
              <w:t>3 de 3</w:t>
            </w:r>
          </w:p>
        </w:tc>
        <w:tc>
          <w:tcPr>
            <w:tcW w:w="2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F0EB14" w14:textId="77777777" w:rsidR="00CD7ED6" w:rsidRDefault="00000000">
            <w:r>
              <w:rPr>
                <w:sz w:val="18"/>
                <w:szCs w:val="18"/>
              </w:rPr>
              <w:t>2 de 3</w:t>
            </w:r>
          </w:p>
        </w:tc>
      </w:tr>
      <w:tr w:rsidR="00CD7ED6" w14:paraId="0EDDAED9" w14:textId="77777777" w:rsidTr="092DED20">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BA0AF8" w14:textId="77777777" w:rsidR="00CD7ED6" w:rsidRDefault="092DED20">
            <w:proofErr w:type="spellStart"/>
            <w:r w:rsidRPr="092DED20">
              <w:rPr>
                <w:sz w:val="18"/>
                <w:szCs w:val="18"/>
                <w:lang w:val="en-US"/>
              </w:rPr>
              <w:t>Respuestas</w:t>
            </w:r>
            <w:proofErr w:type="spellEnd"/>
            <w:r w:rsidRPr="092DED20">
              <w:rPr>
                <w:sz w:val="18"/>
                <w:szCs w:val="18"/>
                <w:lang w:val="en-US"/>
              </w:rPr>
              <w:t xml:space="preserve"> con </w:t>
            </w:r>
            <w:proofErr w:type="spellStart"/>
            <w:r w:rsidRPr="092DED20">
              <w:rPr>
                <w:sz w:val="18"/>
                <w:szCs w:val="18"/>
                <w:lang w:val="en-US"/>
              </w:rPr>
              <w:t>cita</w:t>
            </w:r>
            <w:proofErr w:type="spellEnd"/>
          </w:p>
        </w:tc>
        <w:tc>
          <w:tcPr>
            <w:tcW w:w="2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1598C" w14:textId="77777777" w:rsidR="00CD7ED6" w:rsidRDefault="00000000">
            <w:r>
              <w:rPr>
                <w:sz w:val="18"/>
                <w:szCs w:val="18"/>
              </w:rPr>
              <w:t>18 de 19</w:t>
            </w:r>
          </w:p>
        </w:tc>
        <w:tc>
          <w:tcPr>
            <w:tcW w:w="25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584315" w14:textId="77777777" w:rsidR="00CD7ED6" w:rsidRDefault="00000000">
            <w:r>
              <w:rPr>
                <w:sz w:val="18"/>
                <w:szCs w:val="18"/>
              </w:rPr>
              <w:t>0</w:t>
            </w:r>
          </w:p>
        </w:tc>
      </w:tr>
    </w:tbl>
    <w:p w14:paraId="672A6659" w14:textId="77777777" w:rsidR="00CD7ED6" w:rsidRDefault="00CD7ED6">
      <w:pPr>
        <w:spacing w:after="60"/>
      </w:pPr>
    </w:p>
    <w:p w14:paraId="5BF806D6" w14:textId="77777777" w:rsidR="00CD7ED6" w:rsidRDefault="092DED20">
      <w:pPr>
        <w:spacing w:after="120" w:line="276" w:lineRule="auto"/>
        <w:jc w:val="both"/>
      </w:pPr>
      <w:r w:rsidRPr="00037A5E">
        <w:rPr>
          <w:sz w:val="20"/>
          <w:szCs w:val="20"/>
        </w:rPr>
        <w:t>El sistema respondió correctamente 18 de las 19 preguntas del corpus; la única respuesta incompleta indicó la orientación del modelo de Galvis-Aponte (2015) pero no enumeró sus insumos. El control acertó 2 de 19, ambas sobre contenidos de manual —la definición del modelo CCR y la descomposición del índice de Malmquist—, que puede responder por conocimiento general sin haber leído los documentos. Una pregunta del control se repitió en una conversación limpia, porque la primera corrida conservaba contexto de sesiones anteriores.</w:t>
      </w:r>
    </w:p>
    <w:p w14:paraId="6F835CAF" w14:textId="77777777" w:rsidR="00CD7ED6" w:rsidRDefault="092DED20">
      <w:pPr>
        <w:spacing w:after="120" w:line="276" w:lineRule="auto"/>
        <w:jc w:val="both"/>
      </w:pPr>
      <w:r w:rsidRPr="00037A5E">
        <w:rPr>
          <w:sz w:val="20"/>
          <w:szCs w:val="20"/>
        </w:rPr>
        <w:t>El contraste más claro está en las preguntas sin respuesta. Ante el número de universidades desagregadas en el informe del PTE de 2024, el sistema respondió «No está en las fuentes» y el control afirmó «32 universidades públicas», cuando el informe que tiene el equipo trae 34. El control produjo cifras plausibles —67 % en vez de 63,43 %, 2014 en vez de 2012, 159 instituciones en vez de 266—, afirmó que existen diferencias de eficiencia entre universidades públicas y privadas donde el estudio no encontró diferencias significativas, y ofreció texto listo para pegar en un estado del arte, que es el mecanismo por el que errores de este tipo pasan a un documento.</w:t>
      </w:r>
    </w:p>
    <w:p w14:paraId="67B7A5FA" w14:textId="77777777" w:rsidR="00CD7ED6" w:rsidRDefault="092DED20">
      <w:pPr>
        <w:spacing w:after="120" w:line="276" w:lineRule="auto"/>
        <w:jc w:val="both"/>
      </w:pPr>
      <w:r w:rsidRPr="00037A5E">
        <w:rPr>
          <w:sz w:val="20"/>
          <w:szCs w:val="20"/>
        </w:rPr>
        <w:t>Caso de fallo. El sistema se abstuvo correctamente ante el puntaje promedio de Saber Pro en 2024, pero al añadir contexto atribuyó a datos de 2019 la media de Saber Pro de Morales-Piñero et al. (2022), 151,6 puntos, cuando el estudio ubica sus variables en el periodo 2018-02 (pp. 4–5; la media aparece en la p. 12) y solo la de cotizantes corresponde a 2019-01. La causa probable es que el artículo menciona 2019 junto a variables cercanas —la acreditación y la tasa de no cotización, en las pp. 12–13— y el sistema trasladó ese año a la media de Saber Pro. El mismo patrón aparece en la otra abstención que añadió contexto, sobre el presupuesto de la Universidad Nacional, donde afirmó que el corpus cubre «principalmente entre 2003 y 2015» cuando incluye datos hasta 2023; la abstención que no añadió nada fue la única sin error. El riesgo no desaparece con el anclaje: se desplaza a lo que la herramienta agrega por iniciativa propia. Además, una respuesta correcta sobre Melo-Becerra et al. (2017) no trajo ninguna cita, lo que incumple el protocolo y motiva su versión 2.</w:t>
      </w:r>
    </w:p>
    <w:p w14:paraId="0EC3F4F5" w14:textId="77777777" w:rsidR="00CD7ED6" w:rsidRDefault="092DED20">
      <w:pPr>
        <w:spacing w:after="120" w:line="276" w:lineRule="auto"/>
        <w:jc w:val="both"/>
      </w:pPr>
      <w:r w:rsidRPr="00037A5E">
        <w:rPr>
          <w:sz w:val="20"/>
          <w:szCs w:val="20"/>
        </w:rPr>
        <w:t xml:space="preserve">Auditoría cruzada. El docente no asignó equipo auditor antes de la entrega, de modo que no existe acta firmada por dos equipos, y no la presentamos como si existiera. Como sustituto parcial, en el banco se procuró que cada integrante evaluara preguntas sobre fuentes verificadas por otro; no se logró en todos los casos: seis preguntas de un integrante y una de otro correspondían a fuentes que ellos mismos verificaron, y se </w:t>
      </w:r>
      <w:proofErr w:type="gramStart"/>
      <w:r w:rsidRPr="00037A5E">
        <w:rPr>
          <w:sz w:val="20"/>
          <w:szCs w:val="20"/>
        </w:rPr>
        <w:t>declara como</w:t>
      </w:r>
      <w:proofErr w:type="gramEnd"/>
      <w:r w:rsidRPr="00037A5E">
        <w:rPr>
          <w:sz w:val="20"/>
          <w:szCs w:val="20"/>
        </w:rPr>
        <w:t xml:space="preserve"> limitación.</w:t>
      </w:r>
    </w:p>
    <w:p w14:paraId="59574CA6" w14:textId="77777777" w:rsidR="00CD7ED6" w:rsidRPr="00263F73" w:rsidRDefault="092DED20">
      <w:pPr>
        <w:pStyle w:val="heading10"/>
        <w:rPr>
          <w:color w:val="000000" w:themeColor="text1"/>
        </w:rPr>
      </w:pPr>
      <w:r w:rsidRPr="00263F73">
        <w:rPr>
          <w:color w:val="000000" w:themeColor="text1"/>
        </w:rPr>
        <w:t>5. Qué corregimos de nuestro anteproyecto</w:t>
      </w:r>
    </w:p>
    <w:p w14:paraId="0A2ECD2A" w14:textId="77777777" w:rsidR="00CD7ED6" w:rsidRDefault="092DED20">
      <w:pPr>
        <w:spacing w:after="120" w:line="276" w:lineRule="auto"/>
        <w:jc w:val="both"/>
      </w:pPr>
      <w:r w:rsidRPr="00037A5E">
        <w:rPr>
          <w:sz w:val="20"/>
          <w:szCs w:val="20"/>
        </w:rPr>
        <w:t>Al construir la tabla de trazabilidad encontramos seis afirmaciones que no se sostenían tal como estaban escritas, todas detectadas abriendo el documento original.</w:t>
      </w:r>
    </w:p>
    <w:p w14:paraId="647857C2" w14:textId="77777777" w:rsidR="00CD7ED6" w:rsidRDefault="092DED20">
      <w:pPr>
        <w:spacing w:after="120" w:line="276" w:lineRule="auto"/>
        <w:jc w:val="both"/>
      </w:pPr>
      <w:r w:rsidRPr="00037A5E">
        <w:rPr>
          <w:sz w:val="20"/>
          <w:szCs w:val="20"/>
        </w:rPr>
        <w:t>Galvis-Aponte (2015): el anteproyecto le atribuía 62,3 % de eficiencia en cobertura; el Cuadro 2 reporta 63,43 (el 62,3 está solo en el resumen, que no coincide con el cuadro del propio artículo). La referencia consignaba las páginas 11–40; son 75–98. Verificó Isabella Álvarez.</w:t>
      </w:r>
    </w:p>
    <w:p w14:paraId="5439B82A" w14:textId="77777777" w:rsidR="00CD7ED6" w:rsidRDefault="092DED20">
      <w:pPr>
        <w:spacing w:after="120" w:line="276" w:lineRule="auto"/>
        <w:jc w:val="both"/>
      </w:pPr>
      <w:r w:rsidRPr="00037A5E">
        <w:rPr>
          <w:sz w:val="20"/>
          <w:szCs w:val="20"/>
        </w:rPr>
        <w:lastRenderedPageBreak/>
        <w:t>Maza Ávila et al. (2017): se describía su modelo como «recursos financieros contra matrícula»; usa cuatro insumos —docentes en tiempos completos equivalentes, gasto en personal administrativo, recursos físicos y financieros— y dos productos, matrícula de pregrado y de posgrado. Verificó Isabella Álvarez.</w:t>
      </w:r>
    </w:p>
    <w:p w14:paraId="144716F5" w14:textId="77777777" w:rsidR="00CD7ED6" w:rsidRDefault="092DED20">
      <w:pPr>
        <w:spacing w:after="120" w:line="276" w:lineRule="auto"/>
        <w:jc w:val="both"/>
      </w:pPr>
      <w:r w:rsidRPr="00037A5E">
        <w:rPr>
          <w:sz w:val="20"/>
          <w:szCs w:val="20"/>
        </w:rPr>
        <w:t>Melo-Becerra et al. (2017): se les atribuía no haber identificado estudios de eficiencia universitaria «con estas metodologías»; la fuente no incluye esa restricción, y puesta junto a Maza Ávila et al. (2017) generaba una contradicción en el mismo párrafo. En el borrador ampliado se les atribuía además el uso de DEA, cuando usan frontera estocástica. Verificó Anderson González.</w:t>
      </w:r>
    </w:p>
    <w:p w14:paraId="5142E6F5" w14:textId="77777777" w:rsidR="00CD7ED6" w:rsidRDefault="092DED20">
      <w:pPr>
        <w:spacing w:after="120" w:line="276" w:lineRule="auto"/>
        <w:jc w:val="both"/>
      </w:pPr>
      <w:r w:rsidRPr="00037A5E">
        <w:rPr>
          <w:sz w:val="20"/>
          <w:szCs w:val="20"/>
        </w:rPr>
        <w:t>Morales-Piñero et al. (2022): se afirmaba que identifican la región como el factor más determinante; el artículo reporta que por departamentos ninguna variable registró diferencias significativas, salvo Saber Pro al 95 %. Verificó Eduar Caicedo.</w:t>
      </w:r>
    </w:p>
    <w:p w14:paraId="6AC98813" w14:textId="77777777" w:rsidR="00CD7ED6" w:rsidRDefault="092DED20">
      <w:pPr>
        <w:spacing w:after="120" w:line="276" w:lineRule="auto"/>
        <w:jc w:val="both"/>
      </w:pPr>
      <w:r w:rsidRPr="00037A5E">
        <w:rPr>
          <w:sz w:val="20"/>
          <w:szCs w:val="20"/>
        </w:rPr>
        <w:t>Autocorrelación espacial: el anteproyecto afirmaba que la literatura «confirma consistentemente» la autocorrelación espacial en los resultados educativos colombianos, sin citar ninguna fuente; era la única afirmación sustantiva del apartado sin respaldo. Localizamos un estudio que la sostiene para educación media con Saber 11 por departamento (Rincón-Chaparro y Romero-Bolívar, 2025: índice de Morán de 0,3577 en 2019 y 0,3863 en 2023), y la reformulamos acotándola a ese alcance y eliminando la generalización. Verificó Isabella Álvarez.</w:t>
      </w:r>
    </w:p>
    <w:p w14:paraId="379BE526" w14:textId="77777777" w:rsidR="00CD7ED6" w:rsidRPr="00263F73" w:rsidRDefault="092DED20">
      <w:pPr>
        <w:pStyle w:val="heading10"/>
        <w:rPr>
          <w:color w:val="000000" w:themeColor="text1"/>
        </w:rPr>
      </w:pPr>
      <w:r w:rsidRPr="00263F73">
        <w:rPr>
          <w:color w:val="000000" w:themeColor="text1"/>
        </w:rPr>
        <w:t>6. Declaración de uso de IA</w:t>
      </w:r>
    </w:p>
    <w:p w14:paraId="3C86E0F4" w14:textId="58529E34" w:rsidR="00CD7ED6" w:rsidRDefault="092DED20">
      <w:pPr>
        <w:spacing w:after="120" w:line="276" w:lineRule="auto"/>
        <w:jc w:val="both"/>
      </w:pPr>
      <w:r w:rsidRPr="00037A5E">
        <w:rPr>
          <w:b/>
          <w:bCs/>
          <w:sz w:val="20"/>
          <w:szCs w:val="20"/>
          <w:lang w:val="es-ES"/>
        </w:rPr>
        <w:t>Herramientas</w:t>
      </w:r>
      <w:r w:rsidR="00037A5E" w:rsidRPr="00037A5E">
        <w:rPr>
          <w:b/>
          <w:bCs/>
          <w:sz w:val="20"/>
          <w:szCs w:val="20"/>
          <w:lang w:val="es-ES"/>
        </w:rPr>
        <w:t xml:space="preserve"> </w:t>
      </w:r>
      <w:r w:rsidRPr="00037A5E">
        <w:rPr>
          <w:b/>
          <w:bCs/>
          <w:sz w:val="20"/>
          <w:szCs w:val="20"/>
          <w:lang w:val="es-ES"/>
        </w:rPr>
        <w:t>usadas:</w:t>
      </w:r>
      <w:r w:rsidRPr="092DED20">
        <w:rPr>
          <w:sz w:val="20"/>
          <w:szCs w:val="20"/>
          <w:lang w:val="es-ES"/>
        </w:rPr>
        <w:t xml:space="preserve"> </w:t>
      </w:r>
      <w:proofErr w:type="spellStart"/>
      <w:r w:rsidRPr="092DED20">
        <w:rPr>
          <w:sz w:val="20"/>
          <w:szCs w:val="20"/>
          <w:lang w:val="es-ES"/>
        </w:rPr>
        <w:t>NotebookLM</w:t>
      </w:r>
      <w:proofErr w:type="spellEnd"/>
      <w:r w:rsidRPr="092DED20">
        <w:rPr>
          <w:sz w:val="20"/>
          <w:szCs w:val="20"/>
          <w:lang w:val="es-ES"/>
        </w:rPr>
        <w:t xml:space="preserve"> (plan estándar), </w:t>
      </w:r>
      <w:proofErr w:type="spellStart"/>
      <w:r w:rsidRPr="092DED20">
        <w:rPr>
          <w:sz w:val="20"/>
          <w:szCs w:val="20"/>
          <w:lang w:val="es-ES"/>
        </w:rPr>
        <w:t>Consensus</w:t>
      </w:r>
      <w:proofErr w:type="spellEnd"/>
      <w:r w:rsidRPr="092DED20">
        <w:rPr>
          <w:sz w:val="20"/>
          <w:szCs w:val="20"/>
          <w:lang w:val="es-ES"/>
        </w:rPr>
        <w:t xml:space="preserve">, </w:t>
      </w:r>
      <w:proofErr w:type="spellStart"/>
      <w:r w:rsidRPr="092DED20">
        <w:rPr>
          <w:sz w:val="20"/>
          <w:szCs w:val="20"/>
          <w:lang w:val="es-ES"/>
        </w:rPr>
        <w:t>ChatGPT</w:t>
      </w:r>
      <w:proofErr w:type="spellEnd"/>
      <w:r w:rsidRPr="092DED20">
        <w:rPr>
          <w:sz w:val="20"/>
          <w:szCs w:val="20"/>
          <w:lang w:val="es-ES"/>
        </w:rPr>
        <w:t xml:space="preserve"> (GPT-5.6 Luna), Gemini, Claude (</w:t>
      </w:r>
      <w:proofErr w:type="spellStart"/>
      <w:r w:rsidRPr="092DED20">
        <w:rPr>
          <w:sz w:val="20"/>
          <w:szCs w:val="20"/>
          <w:lang w:val="es-ES"/>
        </w:rPr>
        <w:t>Anthropic</w:t>
      </w:r>
      <w:proofErr w:type="spellEnd"/>
      <w:r w:rsidRPr="092DED20">
        <w:rPr>
          <w:sz w:val="20"/>
          <w:szCs w:val="20"/>
          <w:lang w:val="es-ES"/>
        </w:rPr>
        <w:t xml:space="preserve">) (Opus 5-effort: </w:t>
      </w:r>
      <w:proofErr w:type="spellStart"/>
      <w:r w:rsidRPr="092DED20">
        <w:rPr>
          <w:sz w:val="20"/>
          <w:szCs w:val="20"/>
          <w:lang w:val="es-ES"/>
        </w:rPr>
        <w:t>medium</w:t>
      </w:r>
      <w:proofErr w:type="spellEnd"/>
      <w:r w:rsidRPr="092DED20">
        <w:rPr>
          <w:sz w:val="20"/>
          <w:szCs w:val="20"/>
          <w:lang w:val="es-ES"/>
        </w:rPr>
        <w:t xml:space="preserve">) y, en la prueba de la vía propia, llama3.2:3b y bge-m3 servidos con </w:t>
      </w:r>
      <w:proofErr w:type="spellStart"/>
      <w:r w:rsidRPr="092DED20">
        <w:rPr>
          <w:sz w:val="20"/>
          <w:szCs w:val="20"/>
          <w:lang w:val="es-ES"/>
        </w:rPr>
        <w:t>Ollama</w:t>
      </w:r>
      <w:proofErr w:type="spellEnd"/>
      <w:r w:rsidRPr="092DED20">
        <w:rPr>
          <w:sz w:val="20"/>
          <w:szCs w:val="20"/>
          <w:lang w:val="es-ES"/>
        </w:rPr>
        <w:t>.</w:t>
      </w:r>
    </w:p>
    <w:p w14:paraId="0E841CC2" w14:textId="77777777" w:rsidR="00CD7ED6" w:rsidRDefault="092DED20">
      <w:pPr>
        <w:spacing w:after="120" w:line="276" w:lineRule="auto"/>
        <w:jc w:val="both"/>
      </w:pPr>
      <w:r w:rsidRPr="00037A5E">
        <w:rPr>
          <w:b/>
          <w:bCs/>
          <w:sz w:val="20"/>
          <w:szCs w:val="20"/>
        </w:rPr>
        <w:t>Para qué las usamos. Gestión de fuentes</w:t>
      </w:r>
      <w:r w:rsidRPr="00037A5E">
        <w:rPr>
          <w:sz w:val="20"/>
          <w:szCs w:val="20"/>
        </w:rPr>
        <w:t xml:space="preserve">: </w:t>
      </w:r>
      <w:proofErr w:type="spellStart"/>
      <w:r w:rsidRPr="00037A5E">
        <w:rPr>
          <w:sz w:val="20"/>
          <w:szCs w:val="20"/>
        </w:rPr>
        <w:t>NotebookLM</w:t>
      </w:r>
      <w:proofErr w:type="spellEnd"/>
      <w:r w:rsidRPr="00037A5E">
        <w:rPr>
          <w:sz w:val="20"/>
          <w:szCs w:val="20"/>
        </w:rPr>
        <w:t xml:space="preserve"> como sistema de anclaje sobre el corpus; </w:t>
      </w:r>
      <w:proofErr w:type="spellStart"/>
      <w:r w:rsidRPr="00037A5E">
        <w:rPr>
          <w:sz w:val="20"/>
          <w:szCs w:val="20"/>
        </w:rPr>
        <w:t>Consensus</w:t>
      </w:r>
      <w:proofErr w:type="spellEnd"/>
      <w:r w:rsidRPr="00037A5E">
        <w:rPr>
          <w:sz w:val="20"/>
          <w:szCs w:val="20"/>
        </w:rPr>
        <w:t xml:space="preserve"> para búsqueda bibliográfica. Código: Claude generó los scripts de extracción, indexación y consulta de la prueba de la vía propia, que el equipo ejecutó. Redacción: Claude asistió en borradores de la memoria, del protocolo y de los documentos del visto bueno; el equipo los revisó y corrigió. Otros: </w:t>
      </w:r>
      <w:proofErr w:type="spellStart"/>
      <w:r w:rsidRPr="00037A5E">
        <w:rPr>
          <w:sz w:val="20"/>
          <w:szCs w:val="20"/>
        </w:rPr>
        <w:t>ChatGPT</w:t>
      </w:r>
      <w:proofErr w:type="spellEnd"/>
      <w:r w:rsidRPr="00037A5E">
        <w:rPr>
          <w:sz w:val="20"/>
          <w:szCs w:val="20"/>
        </w:rPr>
        <w:t xml:space="preserve"> y Gemini como control A del experimento y del banco.</w:t>
      </w:r>
    </w:p>
    <w:p w14:paraId="10F3BA05" w14:textId="77777777" w:rsidR="00CD7ED6" w:rsidRDefault="092DED20">
      <w:pPr>
        <w:spacing w:after="120" w:line="276" w:lineRule="auto"/>
        <w:jc w:val="both"/>
      </w:pPr>
      <w:r w:rsidRPr="00037A5E">
        <w:rPr>
          <w:b/>
          <w:bCs/>
          <w:sz w:val="20"/>
          <w:szCs w:val="20"/>
        </w:rPr>
        <w:t>Herramienta de gestión elegida:</w:t>
      </w:r>
      <w:r w:rsidRPr="00037A5E">
        <w:rPr>
          <w:sz w:val="20"/>
          <w:szCs w:val="20"/>
        </w:rPr>
        <w:t xml:space="preserve"> </w:t>
      </w:r>
      <w:proofErr w:type="spellStart"/>
      <w:r w:rsidRPr="00037A5E">
        <w:rPr>
          <w:sz w:val="20"/>
          <w:szCs w:val="20"/>
        </w:rPr>
        <w:t>NotebookLM</w:t>
      </w:r>
      <w:proofErr w:type="spellEnd"/>
      <w:r w:rsidRPr="00037A5E">
        <w:rPr>
          <w:sz w:val="20"/>
          <w:szCs w:val="20"/>
        </w:rPr>
        <w:t>, comparada contra proyectos con archivos, búsqueda en archivos por API y vía propia; los motivos de descarte están en el apartado 2.</w:t>
      </w:r>
    </w:p>
    <w:p w14:paraId="5154B8E5" w14:textId="77777777" w:rsidR="00CD7ED6" w:rsidRDefault="092DED20">
      <w:pPr>
        <w:spacing w:after="120" w:line="276" w:lineRule="auto"/>
        <w:jc w:val="both"/>
      </w:pPr>
      <w:r w:rsidRPr="00037A5E">
        <w:rPr>
          <w:b/>
          <w:bCs/>
          <w:sz w:val="20"/>
          <w:szCs w:val="20"/>
        </w:rPr>
        <w:t>Qué no delegamos:</w:t>
      </w:r>
      <w:r w:rsidRPr="00037A5E">
        <w:rPr>
          <w:sz w:val="20"/>
          <w:szCs w:val="20"/>
        </w:rPr>
        <w:t xml:space="preserve"> abrir cada fuente, localizar la ubicación y firmar la fila de trazabilidad. La IA ayudó a ubicar pasajes, pero cada fila la firmó quien abrió el documento. Tampoco usamos IA para clasificar las 45 referencias del experimento: cada integrante las verificó y clasificó por su cuenta.</w:t>
      </w:r>
    </w:p>
    <w:p w14:paraId="490D030B" w14:textId="77777777" w:rsidR="00CD7ED6" w:rsidRDefault="092DED20">
      <w:pPr>
        <w:spacing w:after="120" w:line="276" w:lineRule="auto"/>
        <w:jc w:val="both"/>
      </w:pPr>
      <w:r w:rsidRPr="00037A5E">
        <w:rPr>
          <w:b/>
          <w:bCs/>
          <w:sz w:val="20"/>
          <w:szCs w:val="20"/>
        </w:rPr>
        <w:t>Qué tuvimos que corregir de lo que generó.</w:t>
      </w:r>
      <w:r w:rsidRPr="00037A5E">
        <w:rPr>
          <w:sz w:val="20"/>
          <w:szCs w:val="20"/>
        </w:rPr>
        <w:t xml:space="preserve"> De quince referencias del tratamiento A, tres no existían y otras tres </w:t>
      </w:r>
      <w:proofErr w:type="gramStart"/>
      <w:r w:rsidRPr="00037A5E">
        <w:rPr>
          <w:sz w:val="20"/>
          <w:szCs w:val="20"/>
        </w:rPr>
        <w:t>existían</w:t>
      </w:r>
      <w:proofErr w:type="gramEnd"/>
      <w:r w:rsidRPr="00037A5E">
        <w:rPr>
          <w:sz w:val="20"/>
          <w:szCs w:val="20"/>
        </w:rPr>
        <w:t xml:space="preserve"> pero no decían lo que se les atribuía. En el banco, el control acertó 2 de 19 preguntas del corpus. El borrador ampliado del estado del arte, redactado con asistencia de Claude, atribuía a Melo-Becerra et al. (2017) el uso de DEA; lo corregimos al verificar. Y en la prueba de la vía propia, el modelo local respondió 90 % para una eficiencia cuyo valor real, presente entre los fragmentos que él mismo recuperó, es 63,43.</w:t>
      </w:r>
    </w:p>
    <w:sectPr w:rsidR="00CD7ED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3863D" w14:textId="77777777" w:rsidR="005639FA" w:rsidRDefault="005639FA">
      <w:r>
        <w:separator/>
      </w:r>
    </w:p>
  </w:endnote>
  <w:endnote w:type="continuationSeparator" w:id="0">
    <w:p w14:paraId="1EF01383" w14:textId="77777777" w:rsidR="005639FA" w:rsidRDefault="00563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FF024" w14:textId="29FE1BB3" w:rsidR="00CD7ED6" w:rsidRDefault="092DED20" w:rsidP="092DED20">
    <w:pPr>
      <w:jc w:val="center"/>
      <w:rPr>
        <w:lang w:val="en-US"/>
      </w:rPr>
    </w:pPr>
    <w:r w:rsidRPr="092DED20">
      <w:rPr>
        <w:sz w:val="16"/>
        <w:szCs w:val="16"/>
        <w:lang w:val="en-US"/>
      </w:rPr>
      <w:t xml:space="preserve">Memoria · </w:t>
    </w:r>
    <w:proofErr w:type="spellStart"/>
    <w:r w:rsidRPr="092DED20">
      <w:rPr>
        <w:sz w:val="16"/>
        <w:szCs w:val="16"/>
        <w:lang w:val="en-US"/>
      </w:rPr>
      <w:t>página</w:t>
    </w:r>
    <w:proofErr w:type="spellEnd"/>
    <w:r w:rsidRPr="092DED20">
      <w:rPr>
        <w:sz w:val="16"/>
        <w:szCs w:val="16"/>
        <w:lang w:val="en-US"/>
      </w:rPr>
      <w:t xml:space="preserve"> </w:t>
    </w:r>
    <w:r w:rsidR="00000000" w:rsidRPr="092DED20">
      <w:rPr>
        <w:sz w:val="16"/>
        <w:szCs w:val="16"/>
        <w:lang w:val="en-US"/>
      </w:rPr>
      <w:fldChar w:fldCharType="begin"/>
    </w:r>
    <w:r w:rsidR="00000000" w:rsidRPr="092DED20">
      <w:rPr>
        <w:sz w:val="16"/>
        <w:szCs w:val="16"/>
      </w:rPr>
      <w:instrText>PAGE</w:instrText>
    </w:r>
    <w:r w:rsidR="00000000" w:rsidRPr="092DED20">
      <w:rPr>
        <w:sz w:val="16"/>
        <w:szCs w:val="16"/>
      </w:rPr>
      <w:fldChar w:fldCharType="separate"/>
    </w:r>
    <w:r w:rsidR="00037A5E">
      <w:rPr>
        <w:noProof/>
        <w:sz w:val="16"/>
        <w:szCs w:val="16"/>
      </w:rPr>
      <w:t>1</w:t>
    </w:r>
    <w:r w:rsidR="00000000" w:rsidRPr="092DED20">
      <w:rPr>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44E9D" w14:textId="77777777" w:rsidR="005639FA" w:rsidRDefault="005639FA">
      <w:r>
        <w:separator/>
      </w:r>
    </w:p>
  </w:footnote>
  <w:footnote w:type="continuationSeparator" w:id="0">
    <w:p w14:paraId="76D25BBE" w14:textId="77777777" w:rsidR="005639FA" w:rsidRDefault="005639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D2F78"/>
    <w:multiLevelType w:val="hybridMultilevel"/>
    <w:tmpl w:val="A880D422"/>
    <w:lvl w:ilvl="0" w:tplc="BA3C39FC">
      <w:start w:val="1"/>
      <w:numFmt w:val="decimal"/>
      <w:lvlText w:val="%1."/>
      <w:lvlJc w:val="left"/>
      <w:pPr>
        <w:ind w:left="360" w:hanging="360"/>
      </w:pPr>
    </w:lvl>
    <w:lvl w:ilvl="1" w:tplc="054E022A">
      <w:numFmt w:val="decimal"/>
      <w:lvlText w:val=""/>
      <w:lvlJc w:val="left"/>
    </w:lvl>
    <w:lvl w:ilvl="2" w:tplc="4A120514">
      <w:numFmt w:val="decimal"/>
      <w:lvlText w:val=""/>
      <w:lvlJc w:val="left"/>
    </w:lvl>
    <w:lvl w:ilvl="3" w:tplc="0D305D20">
      <w:numFmt w:val="decimal"/>
      <w:lvlText w:val=""/>
      <w:lvlJc w:val="left"/>
    </w:lvl>
    <w:lvl w:ilvl="4" w:tplc="F280A6F4">
      <w:numFmt w:val="decimal"/>
      <w:lvlText w:val=""/>
      <w:lvlJc w:val="left"/>
    </w:lvl>
    <w:lvl w:ilvl="5" w:tplc="6DD4E6D0">
      <w:numFmt w:val="decimal"/>
      <w:lvlText w:val=""/>
      <w:lvlJc w:val="left"/>
    </w:lvl>
    <w:lvl w:ilvl="6" w:tplc="610A54B2">
      <w:numFmt w:val="decimal"/>
      <w:lvlText w:val=""/>
      <w:lvlJc w:val="left"/>
    </w:lvl>
    <w:lvl w:ilvl="7" w:tplc="A17A7150">
      <w:numFmt w:val="decimal"/>
      <w:lvlText w:val=""/>
      <w:lvlJc w:val="left"/>
    </w:lvl>
    <w:lvl w:ilvl="8" w:tplc="9E98D408">
      <w:numFmt w:val="decimal"/>
      <w:lvlText w:val=""/>
      <w:lvlJc w:val="left"/>
    </w:lvl>
  </w:abstractNum>
  <w:abstractNum w:abstractNumId="1" w15:restartNumberingAfterBreak="0">
    <w:nsid w:val="327205E2"/>
    <w:multiLevelType w:val="hybridMultilevel"/>
    <w:tmpl w:val="D576A2BA"/>
    <w:lvl w:ilvl="0" w:tplc="30E64FC2">
      <w:start w:val="1"/>
      <w:numFmt w:val="bullet"/>
      <w:lvlText w:val="•"/>
      <w:lvlJc w:val="left"/>
      <w:pPr>
        <w:ind w:left="360" w:hanging="360"/>
      </w:pPr>
    </w:lvl>
    <w:lvl w:ilvl="1" w:tplc="4A46E4E4">
      <w:numFmt w:val="decimal"/>
      <w:lvlText w:val=""/>
      <w:lvlJc w:val="left"/>
    </w:lvl>
    <w:lvl w:ilvl="2" w:tplc="A822ABAA">
      <w:numFmt w:val="decimal"/>
      <w:lvlText w:val=""/>
      <w:lvlJc w:val="left"/>
    </w:lvl>
    <w:lvl w:ilvl="3" w:tplc="454E457C">
      <w:numFmt w:val="decimal"/>
      <w:lvlText w:val=""/>
      <w:lvlJc w:val="left"/>
    </w:lvl>
    <w:lvl w:ilvl="4" w:tplc="35AEE2F4">
      <w:numFmt w:val="decimal"/>
      <w:lvlText w:val=""/>
      <w:lvlJc w:val="left"/>
    </w:lvl>
    <w:lvl w:ilvl="5" w:tplc="5A8634D0">
      <w:numFmt w:val="decimal"/>
      <w:lvlText w:val=""/>
      <w:lvlJc w:val="left"/>
    </w:lvl>
    <w:lvl w:ilvl="6" w:tplc="9EE08EB6">
      <w:numFmt w:val="decimal"/>
      <w:lvlText w:val=""/>
      <w:lvlJc w:val="left"/>
    </w:lvl>
    <w:lvl w:ilvl="7" w:tplc="7E62E0C8">
      <w:numFmt w:val="decimal"/>
      <w:lvlText w:val=""/>
      <w:lvlJc w:val="left"/>
    </w:lvl>
    <w:lvl w:ilvl="8" w:tplc="D2EC5DBC">
      <w:numFmt w:val="decimal"/>
      <w:lvlText w:val=""/>
      <w:lvlJc w:val="left"/>
    </w:lvl>
  </w:abstractNum>
  <w:abstractNum w:abstractNumId="2" w15:restartNumberingAfterBreak="0">
    <w:nsid w:val="6A276119"/>
    <w:multiLevelType w:val="hybridMultilevel"/>
    <w:tmpl w:val="B588C45E"/>
    <w:lvl w:ilvl="0" w:tplc="E11A4924">
      <w:start w:val="1"/>
      <w:numFmt w:val="bullet"/>
      <w:lvlText w:val="●"/>
      <w:lvlJc w:val="left"/>
      <w:pPr>
        <w:ind w:left="720" w:hanging="360"/>
      </w:pPr>
    </w:lvl>
    <w:lvl w:ilvl="1" w:tplc="79A09304">
      <w:start w:val="1"/>
      <w:numFmt w:val="bullet"/>
      <w:lvlText w:val="○"/>
      <w:lvlJc w:val="left"/>
      <w:pPr>
        <w:ind w:left="1440" w:hanging="360"/>
      </w:pPr>
    </w:lvl>
    <w:lvl w:ilvl="2" w:tplc="945AADB2">
      <w:start w:val="1"/>
      <w:numFmt w:val="bullet"/>
      <w:lvlText w:val="■"/>
      <w:lvlJc w:val="left"/>
      <w:pPr>
        <w:ind w:left="2160" w:hanging="360"/>
      </w:pPr>
    </w:lvl>
    <w:lvl w:ilvl="3" w:tplc="FB4AC7E8">
      <w:start w:val="1"/>
      <w:numFmt w:val="bullet"/>
      <w:lvlText w:val="●"/>
      <w:lvlJc w:val="left"/>
      <w:pPr>
        <w:ind w:left="2880" w:hanging="360"/>
      </w:pPr>
    </w:lvl>
    <w:lvl w:ilvl="4" w:tplc="ABF2F5BC">
      <w:start w:val="1"/>
      <w:numFmt w:val="bullet"/>
      <w:lvlText w:val="○"/>
      <w:lvlJc w:val="left"/>
      <w:pPr>
        <w:ind w:left="3600" w:hanging="360"/>
      </w:pPr>
    </w:lvl>
    <w:lvl w:ilvl="5" w:tplc="E2C8A968">
      <w:start w:val="1"/>
      <w:numFmt w:val="bullet"/>
      <w:lvlText w:val="■"/>
      <w:lvlJc w:val="left"/>
      <w:pPr>
        <w:ind w:left="4320" w:hanging="360"/>
      </w:pPr>
    </w:lvl>
    <w:lvl w:ilvl="6" w:tplc="70F61A6E">
      <w:start w:val="1"/>
      <w:numFmt w:val="bullet"/>
      <w:lvlText w:val="●"/>
      <w:lvlJc w:val="left"/>
      <w:pPr>
        <w:ind w:left="5040" w:hanging="360"/>
      </w:pPr>
    </w:lvl>
    <w:lvl w:ilvl="7" w:tplc="60E6B908">
      <w:start w:val="1"/>
      <w:numFmt w:val="bullet"/>
      <w:lvlText w:val="●"/>
      <w:lvlJc w:val="left"/>
      <w:pPr>
        <w:ind w:left="5760" w:hanging="360"/>
      </w:pPr>
    </w:lvl>
    <w:lvl w:ilvl="8" w:tplc="DC4281B2">
      <w:start w:val="1"/>
      <w:numFmt w:val="bullet"/>
      <w:lvlText w:val="●"/>
      <w:lvlJc w:val="left"/>
      <w:pPr>
        <w:ind w:left="6480" w:hanging="360"/>
      </w:pPr>
    </w:lvl>
  </w:abstractNum>
  <w:num w:numId="1" w16cid:durableId="1251971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C95504"/>
    <w:rsid w:val="00037A5E"/>
    <w:rsid w:val="00263F73"/>
    <w:rsid w:val="005639FA"/>
    <w:rsid w:val="00C765C6"/>
    <w:rsid w:val="00CD7ED6"/>
    <w:rsid w:val="05C95504"/>
    <w:rsid w:val="092DED20"/>
    <w:rsid w:val="14F0778A"/>
    <w:rsid w:val="62240628"/>
    <w:rsid w:val="665200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FDD19"/>
  <w15:docId w15:val="{CA01C9B0-DD99-4F8B-9505-95DAD42E3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heading10">
    <w:name w:val="heading 10"/>
    <w:qFormat/>
    <w:pPr>
      <w:spacing w:before="240" w:after="120"/>
      <w:outlineLvl w:val="0"/>
    </w:pPr>
    <w:rPr>
      <w:b/>
      <w:bCs/>
      <w:color w:val="3D008D"/>
      <w:sz w:val="28"/>
      <w:szCs w:val="28"/>
    </w:rPr>
  </w:style>
  <w:style w:type="paragraph" w:customStyle="1" w:styleId="heading20">
    <w:name w:val="heading 20"/>
    <w:qFormat/>
    <w:pPr>
      <w:spacing w:before="180" w:after="80"/>
      <w:outlineLvl w:val="1"/>
    </w:pPr>
    <w:rPr>
      <w:b/>
      <w:bCs/>
      <w:color w:val="001A4D"/>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1625</Words>
  <Characters>8939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valeria renteria diaz</cp:lastModifiedBy>
  <cp:revision>3</cp:revision>
  <dcterms:created xsi:type="dcterms:W3CDTF">2026-09-30T21:00:00Z</dcterms:created>
  <dcterms:modified xsi:type="dcterms:W3CDTF">2026-10-05T05:18:00Z</dcterms:modified>
</cp:coreProperties>
</file>