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requisitos definidos (19 de octubre de 2026).</w:t>
      </w:r>
      <w:r>
        <w:rPr>
          <w:lang w:val="es-CO"/>
        </w:rPr>
        <w:t xml:space="preserve"> Todo lo que sigue salió de preguntas y respuestas con el dueño del producto. Las cuatro dudas que seguían abiertas se resolvieron el 16 de octubre, y la revisión y los vacíos encontrados el 19 de octubre quedaron incorporados. Lo que falta confirmar está en la sección 6.9.</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provisionales hasta escribir la migración.</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tramos por día de la semana (varios por día); excepciones con la misma forma.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calendario del proyecto, calendario corrido, versión (para detectar dos ediciones a la vez) y marca de desactualizado.</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código, subgrupo, calendario (solo esperas), cuadrillas, horas calculadas, horas manuales, restricción principal y secundaria (tipo y fecha), fechas y holgura calculadas, marca de revisión.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periodo.</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o reemplazar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El XML para Project no se verifica en Project</w:t>
      </w:r>
      <w:r>
        <w:rPr>
          <w:lang w:val="es-CO"/>
        </w:rPr>
        <w:t xml:space="preserve">, porque no hay acceso a él (decisión del 20 de octubre de 2026). La pantalla de exportación le recomienda al usuario tener MS Project para abrirlo. Para detectar errores gruesos durante el desarrollo se puede abrir en ProjectLibre, que es gratuito.</w:t>
      </w:r>
    </w:p>
    <w:p w:rsidR="00693A5A" w:rsidRDefault="00B034FF">
      <w:pPr>
        <w:numPr>
          <w:ilvl w:val="0"/>
          <w:numId w:val="2"/>
        </w:numPr>
        <w:ind w:hanging="270"/>
      </w:pPr>
      <w:r>
        <w:rPr>
          <w:b/>
          <w:bCs/>
          <w:lang w:val="es-CO"/>
        </w:rPr>
        <w:t xml:space="preserve">Por definir al construir:</w:t>
      </w:r>
      <w:r>
        <w:rPr>
          <w:lang w:val="es-CO"/>
        </w:rPr>
        <w:t xml:space="preserve"> el formato del archivo con el que una empresa carga su propia lista de festivos.</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