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revisiones del 22 de septiembre y del 1 de octubre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termina sin pago, el usuario inicia sesión y la empresa pasa a SOLO LECTURA. Abre Recursos, APU y Presupuestos, los consulta y los exporta; cualquier acción que escriba se rechaza, y la pantalla de suscripción es donde están los datos para pagar. Hasta el 30 de septiembre de 2026 esta guía decía que el menú no se mostraba y que no abría nada; la decisión del dueño, de esa fecha, cambió el bloqueo por la solo lectura, porque los datos son del cliente. Desde el 12 de octubre de 2026 esa solo lectura queda para la prueba;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Al confirmarse el pago, todo vuelve a estar como estaba. A los 60 días de suspendida, los datos de la empresa se eliminan.</w:t>
      </w:r>
    </w:p>
    <w:p>
      <w:pPr>
        <w:spacing w:after="120" w:before="0" w:line="276"/>
        <w:jc w:val="both"/>
      </w:pPr>
      <w:r>
        <w:rPr>
          <w:sz w:val="20"/>
          <w:szCs w:val="20"/>
        </w:rPr>
        <w:t>La suscripción la cancelan el Administrador de la empresa o el superadministrador, y cancelar es definitivo. La cuenta funciona hasta la fecha que ya pagó y no se le cobra más. Desde el día siguiente nadie entra,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El sistema en solo lectura: consulta y exporta todo lo que tenía, y cualquier escritura se rechaza. Un aviso permanente lo explica y lleva a la pantalla de suscripción, con los datos para pagar.</w:t>
            </w:r>
          </w:p>
        </w:tc>
      </w:tr>
      <w:tr>
        <w:tc>
          <w:tcPr>
            <w:tcW w:type="dxa" w:w="2600"/>
          </w:tcPr>
          <w:p>
            <w:r>
              <w:t>Cancelada</w:t>
            </w:r>
          </w:p>
        </w:tc>
        <w:tc>
          <w:tcPr>
            <w:tcW w:type="dxa" w:w="6420"/>
          </w:tcPr>
          <w:p>
            <w:r>
              <w:t>Igual que vencida: solo lectura. Cancelar es una decisión comercial y hoy corta el acceso de escritura el mismo día, aunque el período pagado siga corriendo.</w:t>
            </w:r>
          </w:p>
        </w:tc>
      </w:tr>
      <w:tr>
        <w:tc>
          <w:tcPr>
            <w:tcW w:type="dxa" w:w="2600"/>
          </w:tcPr>
          <w:p>
            <w:r>
              <w:t>Suspendida</w:t>
            </w:r>
          </w:p>
        </w:tc>
        <w:tc>
          <w:tcPr>
            <w:tcW w:type="dxa" w:w="6420"/>
          </w:tcPr>
          <w:p>
            <w:r>
              <w:t>Solo lectura, y el motivo no es la suscripción sino el inquilino: lo suspendió el superadministrador. La pantalla lo dice con esas palabras, porque pagar no lo resuelve.</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la prueba vencida se sigue eliminando a mano (D-74).</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y unidad,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