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requisitos definidos (19 de octubre de 2026).</w:t>
      </w:r>
      <w:r>
        <w:rPr>
          <w:lang w:val="es-CO"/>
        </w:rPr>
        <w:t xml:space="preserve"> Todo lo que sigue salió de preguntas y respuestas con el dueño del producto. Las cuatro dudas que seguían abiertas se resolvieron el 16 de octubre, y la revisión y los vacíos encontrados el 19 de octubre quedaron incorporados. Lo que falta confirmar está en la sección 6.9.</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Sin principal no hay secundaria. «Inicio el», «fin el», «inicio obligatorio» y «fin obligatorio» no admiten secundaria. Con las otras cinco, la secundaria es cualquiera de las cuatro de ventana (inicio en o antes de, inicio en o después de, fin en o antes de, fin en o después de) que no sea la misma principal; «lo más tarde posible» admite las cuatro. Si las dos son del mismo tipo de fecha —dos de inicio o dos de fin—, el límite «antes de» no puede ser anterior al límite «después de». Un hito de fin no admite restricciones de inicio, y uno de inicio no admite restricciones de fin.</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provisionales hasta escribir la migración.</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tramos por día de la semana (varios por día); excepciones con la misma forma.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calendario del proyecto, calendario corrido, versión (para detectar dos ediciones a la vez) y marca de desactualizado.</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código, subgrupo, calendario (solo esperas), cuadrillas, horas calculadas, horas manuales, restricción principal y secundaria (tipo y fecha), fechas y holgura calculadas, marca de revisión.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periodo.</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o reemplazar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Parejas de restricciones (RN-30): definidas el 20 de octubre de 2026.</w:t>
      </w:r>
      <w:r>
        <w:rPr>
          <w:lang w:val="es-CO"/>
        </w:rPr>
        <w:t xml:space="preserve"> De la documentación de Oracle están confirmadas tres cosas: sin principal no hay secundaria, la principal decide qué secundarias se ofrecen, y «inicio el», «fin el» y las obligatorias no admiten ninguna; también que un hito de fin no admite restricciones de inicio. El resto de la tabla de la RN-30 sale de la lógica, no de P6: la lista exacta no está publicada. Si al abrirla en P6 aparece una diferencia, se corrige con una migración. La regla de los hitos de inicio es la simétrica de la de fin y tampoco está confirmada en P6.</w:t>
      </w:r>
    </w:p>
    <w:p w:rsidR="00693A5A" w:rsidRDefault="00B034FF">
      <w:pPr>
        <w:numPr>
          <w:ilvl w:val="0"/>
          <w:numId w:val="2"/>
        </w:numPr>
        <w:ind w:hanging="270"/>
      </w:pPr>
      <w:r>
        <w:rPr>
          <w:b/>
          <w:bCs/>
          <w:lang w:val="es-CO"/>
        </w:rPr>
        <w:t xml:space="preserve">Pendiente: verificar el XML en Project.</w:t>
      </w:r>
      <w:r>
        <w:rPr>
          <w:lang w:val="es-CO"/>
        </w:rPr>
        <w:t xml:space="preserve"> Sin acceso a Project no se puede comprobar que abre bien.</w:t>
      </w:r>
    </w:p>
    <w:p w:rsidR="00693A5A" w:rsidRDefault="00B034FF">
      <w:pPr>
        <w:numPr>
          <w:ilvl w:val="0"/>
          <w:numId w:val="2"/>
        </w:numPr>
        <w:ind w:hanging="270"/>
      </w:pPr>
      <w:r>
        <w:rPr>
          <w:b/>
          <w:bCs/>
          <w:lang w:val="es-CO"/>
        </w:rPr>
        <w:t xml:space="preserve">Por definir al construir:</w:t>
      </w:r>
      <w:r>
        <w:rPr>
          <w:lang w:val="es-CO"/>
        </w:rPr>
        <w:t xml:space="preserve"> el formato del archivo con el que una empresa carga su propia lista de festivos.</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