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4F8" w:rsidRDefault="004634F8">
      <w:pPr>
        <w:spacing w:before="2400"/>
      </w:pPr>
    </w:p>
    <w:p w:rsidR="004634F8" w:rsidRPr="00485088" w:rsidRDefault="00D71D5A">
      <w:pPr>
        <w:spacing w:after="200"/>
        <w:rPr>
          <w:lang w:val="es-CO"/>
        </w:rPr>
      </w:pPr>
      <w:r>
        <w:rPr>
          <w:b/>
          <w:bCs/>
          <w:caps/>
          <w:color w:val="7A8896"/>
          <w:spacing w:val="60"/>
          <w:sz w:val="17"/>
          <w:szCs w:val="17"/>
          <w:lang w:val="es-CO"/>
        </w:rPr>
        <w:t>Paquete de desarrollo</w:t>
      </w:r>
    </w:p>
    <w:p w:rsidR="004634F8" w:rsidRPr="00485088" w:rsidRDefault="00D71D5A">
      <w:pPr>
        <w:spacing w:after="120"/>
        <w:rPr>
          <w:lang w:val="es-CO"/>
        </w:rPr>
      </w:pPr>
      <w:r>
        <w:rPr>
          <w:b/>
          <w:bCs/>
          <w:color w:val="13496B"/>
          <w:sz w:val="44"/>
          <w:szCs w:val="44"/>
          <w:lang w:val="es-CO"/>
        </w:rPr>
        <w:t>Decisiones técnicas</w:t>
      </w:r>
    </w:p>
    <w:p w:rsidR="004634F8" w:rsidRPr="00485088" w:rsidRDefault="00D71D5A">
      <w:pPr>
        <w:pBdr>
          <w:bottom w:val="single" w:sz="12" w:space="10" w:color="13496B"/>
        </w:pBdr>
        <w:spacing w:after="700"/>
        <w:rPr>
          <w:lang w:val="es-CO"/>
        </w:rPr>
      </w:pPr>
      <w:r>
        <w:rPr>
          <w:color w:val="3C4A57"/>
          <w:sz w:val="24"/>
          <w:szCs w:val="24"/>
          <w:lang w:val="es-CO"/>
        </w:rPr>
        <w:t>Con qué se construye, qué trampas evitar y cómo se despliega</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000" w:firstRow="0" w:lastRow="0" w:firstColumn="0" w:lastColumn="0" w:noHBand="0" w:noVBand="0"/>
      </w:tblPr>
      <w:tblGrid>
        <w:gridCol w:w="2400"/>
        <w:gridCol w:w="6620"/>
      </w:tblGrid>
      <w:tr w:rsidR="004634F8">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4634F8" w:rsidRDefault="00D71D5A">
            <w:pPr>
              <w:spacing w:before="40" w:after="40"/>
            </w:pPr>
            <w:r>
              <w:rPr>
                <w:sz w:val="18"/>
                <w:szCs w:val="18"/>
              </w:rPr>
              <w:t>Documento</w:t>
            </w:r>
          </w:p>
        </w:tc>
        <w:tc>
          <w:tcPr>
            <w:tcW w:w="6620" w:type="dxa"/>
            <w:shd w:val="clear" w:color="auto" w:fill="auto"/>
            <w:tcMar>
              <w:top w:w="70" w:type="dxa"/>
              <w:left w:w="110" w:type="dxa"/>
              <w:bottom w:w="70" w:type="dxa"/>
              <w:right w:w="110" w:type="dxa"/>
            </w:tcMar>
          </w:tcPr>
          <w:p w:rsidR="004634F8" w:rsidRDefault="00D71D5A">
            <w:pPr>
              <w:spacing w:before="40" w:after="40"/>
            </w:pPr>
            <w:r>
              <w:rPr>
                <w:sz w:val="18"/>
                <w:szCs w:val="18"/>
              </w:rPr>
              <w:t xml:space="preserve">04 de 07</w:t>
            </w:r>
          </w:p>
        </w:tc>
      </w:tr>
      <w:tr w:rsidR="004634F8">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4634F8" w:rsidRDefault="00D71D5A">
            <w:pPr>
              <w:spacing w:before="40" w:after="40"/>
            </w:pPr>
            <w:r>
              <w:rPr>
                <w:sz w:val="18"/>
                <w:szCs w:val="18"/>
              </w:rPr>
              <w:t>Fecha</w:t>
            </w:r>
          </w:p>
        </w:tc>
        <w:tc>
          <w:tcPr>
            <w:tcW w:w="6620" w:type="dxa"/>
            <w:shd w:val="clear" w:color="auto" w:fill="F7F9FA"/>
            <w:tcMar>
              <w:top w:w="70" w:type="dxa"/>
              <w:left w:w="110" w:type="dxa"/>
              <w:bottom w:w="70" w:type="dxa"/>
              <w:right w:w="110" w:type="dxa"/>
            </w:tcMar>
          </w:tcPr>
          <w:p w:rsidR="004634F8" w:rsidRDefault="00D71D5A">
            <w:pPr>
              <w:spacing w:before="40" w:after="40"/>
            </w:pPr>
            <w:r>
              <w:rPr>
                <w:sz w:val="18"/>
                <w:szCs w:val="18"/>
              </w:rPr>
              <w:t xml:space="preserve">16 de septiembre de 2026 · revisiones del 22 de septiembre, del 1 de octubre y del 16 de octubre de 2026 contra lo construido</w:t>
            </w:r>
          </w:p>
        </w:tc>
      </w:tr>
      <w:tr w:rsidR="004634F8" w:rsidRPr="00485088">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4634F8" w:rsidRDefault="00D71D5A">
            <w:pPr>
              <w:spacing w:before="40" w:after="40"/>
            </w:pPr>
            <w:r>
              <w:rPr>
                <w:sz w:val="18"/>
                <w:szCs w:val="18"/>
              </w:rPr>
              <w:t>Base de datos</w:t>
            </w:r>
          </w:p>
        </w:tc>
        <w:tc>
          <w:tcPr>
            <w:tcW w:w="66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PostgreSQL 15 o superior, probado sobre la 16</w:t>
            </w:r>
          </w:p>
        </w:tc>
      </w:tr>
      <w:tr w:rsidR="004634F8">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4634F8" w:rsidRDefault="00D71D5A">
            <w:pPr>
              <w:spacing w:before="40" w:after="40"/>
            </w:pPr>
            <w:r>
              <w:rPr>
                <w:sz w:val="18"/>
                <w:szCs w:val="18"/>
              </w:rPr>
              <w:t>Aplicación</w:t>
            </w:r>
          </w:p>
        </w:tc>
        <w:tc>
          <w:tcPr>
            <w:tcW w:w="6620" w:type="dxa"/>
            <w:shd w:val="clear" w:color="auto" w:fill="F7F9FA"/>
            <w:tcMar>
              <w:top w:w="70" w:type="dxa"/>
              <w:left w:w="110" w:type="dxa"/>
              <w:bottom w:w="70" w:type="dxa"/>
              <w:right w:w="110" w:type="dxa"/>
            </w:tcMar>
          </w:tcPr>
          <w:p w:rsidR="004634F8" w:rsidRDefault="00D71D5A">
            <w:pPr>
              <w:spacing w:before="40" w:after="40"/>
            </w:pPr>
            <w:r>
              <w:rPr>
                <w:sz w:val="18"/>
                <w:szCs w:val="18"/>
              </w:rPr>
              <w:t>TypeScript en backend y frontend</w:t>
            </w:r>
          </w:p>
        </w:tc>
      </w:tr>
    </w:tbl>
    <w:p w:rsidR="004634F8" w:rsidRDefault="004634F8">
      <w:pPr>
        <w:spacing w:before="1600"/>
      </w:pPr>
    </w:p>
    <w:p w:rsidR="004634F8" w:rsidRPr="00485088" w:rsidRDefault="00D71D5A">
      <w:pPr>
        <w:rPr>
          <w:lang w:val="es-CO"/>
        </w:rPr>
      </w:pPr>
      <w:bookmarkStart w:id="0" w:name="_GoBack"/>
      <w:bookmarkEnd w:id="0"/>
      <w:r>
        <w:rPr>
          <w:lang w:val="es-CO"/>
        </w:rPr>
        <w:br w:type="page"/>
      </w:r>
    </w:p>
    <w:p w:rsidR="004634F8" w:rsidRPr="00485088" w:rsidRDefault="00D71D5A">
      <w:pPr>
        <w:pStyle w:val="Ttulo1"/>
        <w:pBdr>
          <w:bottom w:val="single" w:sz="10" w:space="6" w:color="13496B"/>
        </w:pBdr>
        <w:spacing w:before="420" w:after="180"/>
        <w:rPr>
          <w:lang w:val="es-CO"/>
        </w:rPr>
      </w:pPr>
      <w:r>
        <w:rPr>
          <w:b/>
          <w:bCs/>
          <w:color w:val="13496B"/>
          <w:sz w:val="30"/>
          <w:szCs w:val="30"/>
          <w:lang w:val="es-CO"/>
        </w:rPr>
        <w:lastRenderedPageBreak/>
        <w:t>1. La elección de fondo</w:t>
      </w:r>
    </w:p>
    <w:p w:rsidR="004634F8" w:rsidRPr="00485088" w:rsidRDefault="00D71D5A">
      <w:pPr>
        <w:spacing w:after="120" w:line="276" w:lineRule="auto"/>
        <w:jc w:val="both"/>
        <w:rPr>
          <w:lang w:val="es-CO"/>
        </w:rPr>
      </w:pPr>
      <w:r>
        <w:rPr>
          <w:lang w:val="es-CO"/>
        </w:rPr>
        <w:t xml:space="preserve">PostgreSQL y Node con TypeScript. Postgres no es negociable: el esquema del sistema se apoya en cosas que solo este motor hace bien —seguridad a nivel de fila, jsonb para las fotografías del presupuesto, dominios numéricos y triggers en PL/pgSQL—. Cambiar de motor obligaría a reescribir las reglas de negocio dentro de la aplicación, que es justamente lo que el diseño evita.</w:t>
      </w:r>
    </w:p>
    <w:p w:rsidR="004634F8" w:rsidRPr="00485088" w:rsidRDefault="00D71D5A">
      <w:pPr>
        <w:spacing w:after="120" w:line="276" w:lineRule="auto"/>
        <w:jc w:val="both"/>
        <w:rPr>
          <w:lang w:val="es-CO"/>
        </w:rPr>
      </w:pPr>
      <w:r>
        <w:rPr>
          <w:lang w:val="es-CO"/>
        </w:rPr>
        <w:t>Node encaja por otra razón: buena parte del trabajo del MVP es interfaz reactiva —recálculo en tiempo real, ventanas flotantes, un árbol de profundidad ilimitada— y un solo lenguaje en los dos lados ahorra mantener dos modelos de validación.</w:t>
      </w:r>
    </w:p>
    <w:tbl>
      <w:tblPr>
        <w:tblW w:w="9020" w:type="dxa"/>
        <w:tblBorders>
          <w:top w:val="none" w:sz="0" w:space="0" w:color="FFFFFF"/>
          <w:left w:val="single" w:sz="18" w:space="0" w:color="B07A22"/>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4634F8" w:rsidRPr="00485088">
        <w:tblPrEx>
          <w:tblCellMar>
            <w:top w:w="0" w:type="dxa"/>
            <w:bottom w:w="0" w:type="dxa"/>
          </w:tblCellMar>
        </w:tblPrEx>
        <w:trPr>
          <w:cantSplit/>
        </w:trPr>
        <w:tc>
          <w:tcPr>
            <w:tcW w:w="9020" w:type="dxa"/>
            <w:shd w:val="clear" w:color="auto" w:fill="FBF5E9"/>
            <w:tcMar>
              <w:top w:w="140" w:type="dxa"/>
              <w:left w:w="200" w:type="dxa"/>
              <w:bottom w:w="140" w:type="dxa"/>
              <w:right w:w="180" w:type="dxa"/>
            </w:tcMar>
          </w:tcPr>
          <w:p w:rsidR="004634F8" w:rsidRPr="00485088" w:rsidRDefault="00D71D5A">
            <w:pPr>
              <w:spacing w:before="40" w:after="90"/>
              <w:rPr>
                <w:lang w:val="es-CO"/>
              </w:rPr>
            </w:pPr>
            <w:r>
              <w:rPr>
                <w:b/>
                <w:bCs/>
                <w:caps/>
                <w:color w:val="B07A22"/>
                <w:sz w:val="18"/>
                <w:szCs w:val="18"/>
                <w:lang w:val="es-CO"/>
              </w:rPr>
              <w:t>Lo que el stack no decide</w:t>
            </w:r>
          </w:p>
          <w:p w:rsidR="004634F8" w:rsidRPr="00485088" w:rsidRDefault="00D71D5A">
            <w:pPr>
              <w:spacing w:after="110" w:line="276" w:lineRule="auto"/>
              <w:jc w:val="both"/>
              <w:rPr>
                <w:lang w:val="es-CO"/>
              </w:rPr>
            </w:pPr>
            <w:r>
              <w:rPr>
                <w:sz w:val="19"/>
                <w:szCs w:val="19"/>
                <w:lang w:val="es-CO"/>
              </w:rPr>
              <w:t>Postgres corre bancos y Node corre plataformas de millones de usuarios: ninguno de los dos impide hacer un sistema profesional. Pero tampoco lo garantizan. Lo que decide si el resultado es seguro, eficiente y mantenible está en las secciones 3 a 6 de este documento, no en la tabla de la sección 2.</w:t>
            </w:r>
          </w:p>
          <w:p w:rsidR="004634F8" w:rsidRPr="00485088" w:rsidRDefault="00D71D5A">
            <w:pPr>
              <w:spacing w:after="40" w:line="276" w:lineRule="auto"/>
              <w:jc w:val="both"/>
              <w:rPr>
                <w:lang w:val="es-CO"/>
              </w:rPr>
            </w:pPr>
            <w:r>
              <w:rPr>
                <w:sz w:val="19"/>
                <w:szCs w:val="19"/>
                <w:lang w:val="es-CO"/>
              </w:rPr>
              <w:t>Y si quien programa domina otro stack, eso gana. Un MVP escrito rápido en lo conocido vale más que uno escrito lento en lo óptimo.</w:t>
            </w:r>
          </w:p>
        </w:tc>
      </w:tr>
    </w:tbl>
    <w:p w:rsidR="004634F8" w:rsidRDefault="00D71D5A">
      <w:pPr>
        <w:pStyle w:val="Ttulo1"/>
        <w:pBdr>
          <w:bottom w:val="single" w:sz="10" w:space="6" w:color="13496B"/>
        </w:pBdr>
        <w:spacing w:before="420" w:after="180"/>
      </w:pPr>
      <w:r>
        <w:rPr>
          <w:b/>
          <w:bCs/>
          <w:color w:val="13496B"/>
          <w:sz w:val="30"/>
          <w:szCs w:val="30"/>
        </w:rPr>
        <w:t>2. Stack recomendado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000" w:firstRow="0" w:lastRow="0" w:firstColumn="0" w:lastColumn="0" w:noHBand="0" w:noVBand="0"/>
      </w:tblPr>
      <w:tblGrid>
        <w:gridCol w:w="1500"/>
        <w:gridCol w:w="2600"/>
        <w:gridCol w:w="4920"/>
      </w:tblGrid>
      <w:tr w:rsidR="004634F8" w:rsidRPr="00485088">
        <w:tblPrEx>
          <w:tblCellMar>
            <w:top w:w="0" w:type="dxa"/>
            <w:bottom w:w="0" w:type="dxa"/>
          </w:tblCellMar>
        </w:tblPrEx>
        <w:trPr>
          <w:cantSplit/>
          <w:tblHeader/>
        </w:trPr>
        <w:tc>
          <w:tcPr>
            <w:tcW w:w="150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Capa</w:t>
            </w:r>
          </w:p>
        </w:tc>
        <w:tc>
          <w:tcPr>
            <w:tcW w:w="260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Elección</w:t>
            </w:r>
          </w:p>
        </w:tc>
        <w:tc>
          <w:tcPr>
            <w:tcW w:w="4920" w:type="dxa"/>
            <w:shd w:val="clear" w:color="auto" w:fill="13496B"/>
            <w:tcMar>
              <w:top w:w="70" w:type="dxa"/>
              <w:left w:w="110" w:type="dxa"/>
              <w:bottom w:w="70" w:type="dxa"/>
              <w:right w:w="110" w:type="dxa"/>
            </w:tcMar>
          </w:tcPr>
          <w:p w:rsidR="004634F8" w:rsidRPr="00485088" w:rsidRDefault="00D71D5A">
            <w:pPr>
              <w:spacing w:before="40" w:after="40"/>
              <w:rPr>
                <w:lang w:val="es-CO"/>
              </w:rPr>
            </w:pPr>
            <w:r>
              <w:rPr>
                <w:b/>
                <w:bCs/>
                <w:color w:val="FFFFFF"/>
                <w:sz w:val="18"/>
                <w:szCs w:val="18"/>
                <w:lang w:val="es-CO"/>
              </w:rPr>
              <w:t>Por qué para este proyecto</w:t>
            </w:r>
          </w:p>
        </w:tc>
      </w:tr>
      <w:tr w:rsidR="004634F8" w:rsidRPr="00485088">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rsidR="004634F8" w:rsidRDefault="00D71D5A">
            <w:pPr>
              <w:spacing w:before="40" w:after="40"/>
            </w:pPr>
            <w:r>
              <w:rPr>
                <w:sz w:val="18"/>
                <w:szCs w:val="18"/>
              </w:rPr>
              <w:t>Lenguaje</w:t>
            </w:r>
          </w:p>
        </w:tc>
        <w:tc>
          <w:tcPr>
            <w:tcW w:w="260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TypeScript en los dos lados, obligatorio</w:t>
            </w:r>
          </w:p>
        </w:tc>
        <w:tc>
          <w:tcPr>
            <w:tcW w:w="49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Un sistema donde un número equivocado es invisible no puede correr sin tipos estáticos</w:t>
            </w:r>
          </w:p>
        </w:tc>
      </w:tr>
      <w:tr w:rsidR="004634F8" w:rsidRPr="00485088">
        <w:tblPrEx>
          <w:tblCellMar>
            <w:top w:w="0" w:type="dxa"/>
            <w:bottom w:w="0" w:type="dxa"/>
          </w:tblCellMar>
        </w:tblPrEx>
        <w:trPr>
          <w:cantSplit/>
        </w:trPr>
        <w:tc>
          <w:tcPr>
            <w:tcW w:w="1500" w:type="dxa"/>
            <w:shd w:val="clear" w:color="auto" w:fill="F7F9FA"/>
            <w:tcMar>
              <w:top w:w="70" w:type="dxa"/>
              <w:left w:w="110" w:type="dxa"/>
              <w:bottom w:w="70" w:type="dxa"/>
              <w:right w:w="110" w:type="dxa"/>
            </w:tcMar>
          </w:tcPr>
          <w:p w:rsidR="004634F8" w:rsidRDefault="00D71D5A">
            <w:pPr>
              <w:spacing w:before="40" w:after="40"/>
            </w:pPr>
            <w:r>
              <w:rPr>
                <w:sz w:val="18"/>
                <w:szCs w:val="18"/>
              </w:rPr>
              <w:t>Backend</w:t>
            </w:r>
          </w:p>
        </w:tc>
        <w:tc>
          <w:tcPr>
            <w:tcW w:w="260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Fastify. Decidido el 30 de septiembre de 2026.</w:t>
            </w:r>
          </w:p>
        </w:tc>
        <w:tc>
          <w:tcPr>
            <w:tcW w:w="49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NestJS era la alternativa si el equipo creciera; con un solo desarrollador su peso no se paga. La capa HTTP de este sistema tiene poco que sostener: no decide reglas, las decide la base.</w:t>
            </w:r>
          </w:p>
        </w:tc>
      </w:tr>
      <w:tr w:rsidR="004634F8" w:rsidRPr="00485088">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rsidR="004634F8" w:rsidRDefault="00D71D5A">
            <w:pPr>
              <w:spacing w:before="40" w:after="40"/>
            </w:pPr>
            <w:r>
              <w:rPr>
                <w:sz w:val="18"/>
                <w:szCs w:val="18"/>
              </w:rPr>
              <w:t>Acceso a datos</w:t>
            </w:r>
          </w:p>
        </w:tc>
        <w:tc>
          <w:tcPr>
            <w:tcW w:w="2600" w:type="dxa"/>
            <w:shd w:val="clear" w:color="auto" w:fill="auto"/>
            <w:tcMar>
              <w:top w:w="70" w:type="dxa"/>
              <w:left w:w="110" w:type="dxa"/>
              <w:bottom w:w="70" w:type="dxa"/>
              <w:right w:w="110" w:type="dxa"/>
            </w:tcMar>
          </w:tcPr>
          <w:p w:rsidR="004634F8" w:rsidRDefault="00D71D5A">
            <w:pPr>
              <w:spacing w:before="40" w:after="40"/>
            </w:pPr>
            <w:r>
              <w:rPr>
                <w:sz w:val="18"/>
                <w:szCs w:val="18"/>
              </w:rPr>
              <w:t>pg directo, sin ORM. Es lo que hay instalado.</w:t>
            </w:r>
          </w:p>
        </w:tc>
        <w:tc>
          <w:tcPr>
            <w:tcW w:w="49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Drizzle y Kysely eran los candidatos y no se usó ninguno. Todo el acceso pasa por ejecutarConPermiso y una regla de ESLint impide abrir otra vía hacia pg.</w:t>
            </w:r>
          </w:p>
        </w:tc>
      </w:tr>
      <w:tr w:rsidR="004634F8" w:rsidRPr="00485088">
        <w:tblPrEx>
          <w:tblCellMar>
            <w:top w:w="0" w:type="dxa"/>
            <w:bottom w:w="0" w:type="dxa"/>
          </w:tblCellMar>
        </w:tblPrEx>
        <w:trPr>
          <w:cantSplit/>
        </w:trPr>
        <w:tc>
          <w:tcPr>
            <w:tcW w:w="1500" w:type="dxa"/>
            <w:shd w:val="clear" w:color="auto" w:fill="F7F9FA"/>
            <w:tcMar>
              <w:top w:w="70" w:type="dxa"/>
              <w:left w:w="110" w:type="dxa"/>
              <w:bottom w:w="70" w:type="dxa"/>
              <w:right w:w="110" w:type="dxa"/>
            </w:tcMar>
          </w:tcPr>
          <w:p w:rsidR="004634F8" w:rsidRDefault="00D71D5A">
            <w:pPr>
              <w:spacing w:before="40" w:after="40"/>
            </w:pPr>
            <w:r>
              <w:rPr>
                <w:sz w:val="18"/>
                <w:szCs w:val="18"/>
              </w:rPr>
              <w:t>Migraciones</w:t>
            </w:r>
          </w:p>
        </w:tc>
        <w:tc>
          <w:tcPr>
            <w:tcW w:w="260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Archivos .sql numerados con un ejecutor simple</w:t>
            </w:r>
          </w:p>
        </w:tc>
        <w:tc>
          <w:tcPr>
            <w:tcW w:w="49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El esquema ya es la fuente de verdad; ver sección 3</w:t>
            </w:r>
          </w:p>
        </w:tc>
      </w:tr>
      <w:tr w:rsidR="004634F8" w:rsidRPr="00485088">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rsidR="004634F8" w:rsidRDefault="00D71D5A">
            <w:pPr>
              <w:spacing w:before="40" w:after="40"/>
            </w:pPr>
            <w:r>
              <w:rPr>
                <w:sz w:val="18"/>
                <w:szCs w:val="18"/>
              </w:rPr>
              <w:t>Frontend</w:t>
            </w:r>
          </w:p>
        </w:tc>
        <w:tc>
          <w:tcPr>
            <w:tcW w:w="2600" w:type="dxa"/>
            <w:shd w:val="clear" w:color="auto" w:fill="auto"/>
            <w:tcMar>
              <w:top w:w="70" w:type="dxa"/>
              <w:left w:w="110" w:type="dxa"/>
              <w:bottom w:w="70" w:type="dxa"/>
              <w:right w:w="110" w:type="dxa"/>
            </w:tcMar>
          </w:tcPr>
          <w:p w:rsidR="004634F8" w:rsidRDefault="00D71D5A">
            <w:pPr>
              <w:spacing w:before="40" w:after="40"/>
            </w:pPr>
            <w:r>
              <w:rPr>
                <w:sz w:val="18"/>
                <w:szCs w:val="18"/>
              </w:rPr>
              <w:t>React + Vite. Decidido el 30 de septiembre de 2026. TanStack Query cuando llegue la rebanada que lo necesite.</w:t>
            </w:r>
          </w:p>
        </w:tc>
        <w:tc>
          <w:tcPr>
            <w:tcW w:w="49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Query resuelve el patrón de recálculo sin recarga de página.</w:t>
            </w:r>
          </w:p>
        </w:tc>
      </w:tr>
      <w:tr w:rsidR="004634F8" w:rsidRPr="00485088">
        <w:tblPrEx>
          <w:tblCellMar>
            <w:top w:w="0" w:type="dxa"/>
            <w:bottom w:w="0" w:type="dxa"/>
          </w:tblCellMar>
        </w:tblPrEx>
        <w:trPr>
          <w:cantSplit/>
        </w:trPr>
        <w:tc>
          <w:tcPr>
            <w:tcW w:w="1500" w:type="dxa"/>
            <w:shd w:val="clear" w:color="auto" w:fill="F7F9FA"/>
            <w:tcMar>
              <w:top w:w="70" w:type="dxa"/>
              <w:left w:w="110" w:type="dxa"/>
              <w:bottom w:w="70" w:type="dxa"/>
              <w:right w:w="110" w:type="dxa"/>
            </w:tcMar>
          </w:tcPr>
          <w:p w:rsidR="004634F8" w:rsidRDefault="00D71D5A">
            <w:pPr>
              <w:spacing w:before="40" w:after="40"/>
            </w:pPr>
            <w:r>
              <w:rPr>
                <w:sz w:val="18"/>
                <w:szCs w:val="18"/>
              </w:rPr>
              <w:t>Tablas y árbol</w:t>
            </w:r>
          </w:p>
        </w:tc>
        <w:tc>
          <w:tcPr>
            <w:tcW w:w="2600" w:type="dxa"/>
            <w:shd w:val="clear" w:color="auto" w:fill="F7F9FA"/>
            <w:tcMar>
              <w:top w:w="70" w:type="dxa"/>
              <w:left w:w="110" w:type="dxa"/>
              <w:bottom w:w="70" w:type="dxa"/>
              <w:right w:w="110" w:type="dxa"/>
            </w:tcMar>
          </w:tcPr>
          <w:p w:rsidR="004634F8" w:rsidRDefault="00D71D5A">
            <w:pPr>
              <w:spacing w:before="40" w:after="40"/>
            </w:pPr>
            <w:r>
              <w:rPr>
                <w:sz w:val="18"/>
                <w:szCs w:val="18"/>
              </w:rPr>
              <w:t>TanStack Table</w:t>
            </w:r>
          </w:p>
        </w:tc>
        <w:tc>
          <w:tcPr>
            <w:tcW w:w="49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La WBS anidada con totales por nivel es su caso de uso exacto</w:t>
            </w:r>
          </w:p>
        </w:tc>
      </w:tr>
      <w:tr w:rsidR="004634F8" w:rsidRPr="00485088">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rsidR="004634F8" w:rsidRDefault="00D71D5A">
            <w:pPr>
              <w:spacing w:before="40" w:after="40"/>
            </w:pPr>
            <w:r>
              <w:rPr>
                <w:sz w:val="18"/>
                <w:szCs w:val="18"/>
              </w:rPr>
              <w:t>Formularios</w:t>
            </w:r>
          </w:p>
        </w:tc>
        <w:tc>
          <w:tcPr>
            <w:tcW w:w="2600" w:type="dxa"/>
            <w:shd w:val="clear" w:color="auto" w:fill="auto"/>
            <w:tcMar>
              <w:top w:w="70" w:type="dxa"/>
              <w:left w:w="110" w:type="dxa"/>
              <w:bottom w:w="70" w:type="dxa"/>
              <w:right w:w="110" w:type="dxa"/>
            </w:tcMar>
          </w:tcPr>
          <w:p w:rsidR="004634F8" w:rsidRDefault="00D71D5A">
            <w:pPr>
              <w:spacing w:before="40" w:after="40"/>
            </w:pPr>
            <w:r>
              <w:rPr>
                <w:sz w:val="18"/>
                <w:szCs w:val="18"/>
              </w:rPr>
              <w:t>React Hook Form + Zod</w:t>
            </w:r>
          </w:p>
        </w:tc>
        <w:tc>
          <w:tcPr>
            <w:tcW w:w="49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Zod se comparte con el backend: una sola definición de validación</w:t>
            </w:r>
          </w:p>
        </w:tc>
      </w:tr>
      <w:tr w:rsidR="004634F8">
        <w:tblPrEx>
          <w:tblCellMar>
            <w:top w:w="0" w:type="dxa"/>
            <w:bottom w:w="0" w:type="dxa"/>
          </w:tblCellMar>
        </w:tblPrEx>
        <w:trPr>
          <w:cantSplit/>
        </w:trPr>
        <w:tc>
          <w:tcPr>
            <w:tcW w:w="1500" w:type="dxa"/>
            <w:shd w:val="clear" w:color="auto" w:fill="F7F9FA"/>
            <w:tcMar>
              <w:top w:w="70" w:type="dxa"/>
              <w:left w:w="110" w:type="dxa"/>
              <w:bottom w:w="70" w:type="dxa"/>
              <w:right w:w="110" w:type="dxa"/>
            </w:tcMar>
          </w:tcPr>
          <w:p w:rsidR="004634F8" w:rsidRDefault="00D71D5A">
            <w:pPr>
              <w:spacing w:before="40" w:after="40"/>
            </w:pPr>
            <w:r>
              <w:rPr>
                <w:sz w:val="18"/>
                <w:szCs w:val="18"/>
              </w:rPr>
              <w:t>Contraseñas</w:t>
            </w:r>
          </w:p>
        </w:tc>
        <w:tc>
          <w:tcPr>
            <w:tcW w:w="2600" w:type="dxa"/>
            <w:shd w:val="clear" w:color="auto" w:fill="F7F9FA"/>
            <w:tcMar>
              <w:top w:w="70" w:type="dxa"/>
              <w:left w:w="110" w:type="dxa"/>
              <w:bottom w:w="70" w:type="dxa"/>
              <w:right w:w="110" w:type="dxa"/>
            </w:tcMar>
          </w:tcPr>
          <w:p w:rsidR="004634F8" w:rsidRDefault="00D71D5A">
            <w:pPr>
              <w:spacing w:before="40" w:after="40"/>
            </w:pPr>
            <w:r>
              <w:rPr>
                <w:sz w:val="18"/>
                <w:szCs w:val="18"/>
              </w:rPr>
              <w:t>argon2id con @node-rs/argon2. Los parámetros están en la sección 8.2 y son parte de la decisión, no un detalle.</w:t>
            </w:r>
          </w:p>
        </w:tc>
        <w:tc>
          <w:tcPr>
            <w:tcW w:w="4920" w:type="dxa"/>
            <w:shd w:val="clear" w:color="auto" w:fill="F7F9FA"/>
            <w:tcMar>
              <w:top w:w="70" w:type="dxa"/>
              <w:left w:w="110" w:type="dxa"/>
              <w:bottom w:w="70" w:type="dxa"/>
              <w:right w:w="110" w:type="dxa"/>
            </w:tcMar>
          </w:tcPr>
          <w:p w:rsidR="004634F8" w:rsidRDefault="00D71D5A">
            <w:pPr>
              <w:spacing w:before="40" w:after="40"/>
            </w:pPr>
            <w:r>
              <w:rPr>
                <w:sz w:val="18"/>
                <w:szCs w:val="18"/>
              </w:rPr>
              <w:t>@node-rs/argon2 trae binarios ya compilados: no hace falta cadena de compilación ni en la máquina ni en el contenedor.</w:t>
            </w:r>
          </w:p>
        </w:tc>
      </w:tr>
      <w:tr w:rsidR="004634F8" w:rsidRPr="00485088">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rsidR="004634F8" w:rsidRDefault="00D71D5A">
            <w:pPr>
              <w:spacing w:before="40" w:after="40"/>
            </w:pPr>
            <w:r>
              <w:rPr>
                <w:sz w:val="18"/>
                <w:szCs w:val="18"/>
              </w:rPr>
              <w:t>Excel</w:t>
            </w:r>
          </w:p>
        </w:tc>
        <w:tc>
          <w:tcPr>
            <w:tcW w:w="2600" w:type="dxa"/>
            <w:shd w:val="clear" w:color="auto" w:fill="auto"/>
            <w:tcMar>
              <w:top w:w="70" w:type="dxa"/>
              <w:left w:w="110" w:type="dxa"/>
              <w:bottom w:w="70" w:type="dxa"/>
              <w:right w:w="110" w:type="dxa"/>
            </w:tcMar>
          </w:tcPr>
          <w:p w:rsidR="004634F8" w:rsidRDefault="00D71D5A">
            <w:pPr>
              <w:spacing w:before="40" w:after="40"/>
            </w:pPr>
            <w:r>
              <w:rPr>
                <w:sz w:val="18"/>
                <w:szCs w:val="18"/>
              </w:rPr>
              <w:t>ExcelJS</w:t>
            </w:r>
          </w:p>
        </w:tc>
        <w:tc>
          <w:tcPr>
            <w:tcW w:w="49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Expone outlineLevel, que es literalmente el agrupamiento (+ / −) que pide el requisito de exportación</w:t>
            </w:r>
          </w:p>
        </w:tc>
      </w:tr>
      <w:tr w:rsidR="004634F8" w:rsidRPr="00485088">
        <w:tblPrEx>
          <w:tblCellMar>
            <w:top w:w="0" w:type="dxa"/>
            <w:bottom w:w="0" w:type="dxa"/>
          </w:tblCellMar>
        </w:tblPrEx>
        <w:trPr>
          <w:cantSplit/>
        </w:trPr>
        <w:tc>
          <w:tcPr>
            <w:tcW w:w="1500" w:type="dxa"/>
            <w:shd w:val="clear" w:color="auto" w:fill="F7F9FA"/>
            <w:tcMar>
              <w:top w:w="70" w:type="dxa"/>
              <w:left w:w="110" w:type="dxa"/>
              <w:bottom w:w="70" w:type="dxa"/>
              <w:right w:w="110" w:type="dxa"/>
            </w:tcMar>
          </w:tcPr>
          <w:p w:rsidR="004634F8" w:rsidRDefault="00D71D5A">
            <w:pPr>
              <w:spacing w:before="40" w:after="40"/>
            </w:pPr>
            <w:r>
              <w:rPr>
                <w:sz w:val="18"/>
                <w:szCs w:val="18"/>
              </w:rPr>
              <w:t>PDF</w:t>
            </w:r>
          </w:p>
        </w:tc>
        <w:tc>
          <w:tcPr>
            <w:tcW w:w="2600" w:type="dxa"/>
            <w:shd w:val="clear" w:color="auto" w:fill="F7F9FA"/>
            <w:tcMar>
              <w:top w:w="70" w:type="dxa"/>
              <w:left w:w="110" w:type="dxa"/>
              <w:bottom w:w="70" w:type="dxa"/>
              <w:right w:w="110" w:type="dxa"/>
            </w:tcMar>
          </w:tcPr>
          <w:p w:rsidR="004634F8" w:rsidRDefault="00D71D5A">
            <w:pPr>
              <w:spacing w:before="40" w:after="40"/>
            </w:pPr>
            <w:r>
              <w:rPr>
                <w:sz w:val="18"/>
                <w:szCs w:val="18"/>
              </w:rPr>
              <w:t>pdfkit, con la fuente incrustada. Es lo que hay instalado.</w:t>
            </w:r>
          </w:p>
        </w:tc>
        <w:tc>
          <w:tcPr>
            <w:tcW w:w="49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Este documento recomendaba pdfmake y se usó pdfkit. La fuente viaja DENTRO del archivo —DejaVu Sans Condensed, en src/exportacion/fuentes/—: con la Helvetica estándar, que no viaja en el PDF, cada visor ponía su propio reemplazo y los superíndices de m² y m³ no se dibujaban. Ninguna prueba que lea el texto del PDF puede ver esa falla, porque el carácter sí está.</w:t>
            </w:r>
          </w:p>
        </w:tc>
      </w:tr>
      <w:tr w:rsidR="004634F8" w:rsidRPr="00485088">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rsidR="004634F8" w:rsidRDefault="00D71D5A">
            <w:pPr>
              <w:spacing w:before="40" w:after="40"/>
            </w:pPr>
            <w:r>
              <w:rPr>
                <w:sz w:val="18"/>
                <w:szCs w:val="18"/>
              </w:rPr>
              <w:t>Correo</w:t>
            </w:r>
          </w:p>
        </w:tc>
        <w:tc>
          <w:tcPr>
            <w:tcW w:w="2600" w:type="dxa"/>
            <w:shd w:val="clear" w:color="auto" w:fill="auto"/>
            <w:tcMar>
              <w:top w:w="70" w:type="dxa"/>
              <w:left w:w="110" w:type="dxa"/>
              <w:bottom w:w="70" w:type="dxa"/>
              <w:right w:w="110" w:type="dxa"/>
            </w:tcMar>
          </w:tcPr>
          <w:p w:rsidR="004634F8" w:rsidRDefault="00D71D5A">
            <w:pPr>
              <w:spacing w:before="40" w:after="40"/>
            </w:pPr>
            <w:r>
              <w:rPr>
                <w:sz w:val="18"/>
                <w:szCs w:val="18"/>
              </w:rPr>
              <w:t>Resend o Amazon SES. SIN DECIDIR; se decide en la fase 8.</w:t>
            </w:r>
          </w:p>
        </w:tc>
        <w:tc>
          <w:tcPr>
            <w:tcW w:w="49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Tokens de recuperación y avisos de vencimiento. Hasta que exista, la recuperación de contraseña depende del dueño.</w:t>
            </w:r>
          </w:p>
        </w:tc>
      </w:tr>
      <w:tr w:rsidR="004634F8" w:rsidRPr="00485088">
        <w:tblPrEx>
          <w:tblCellMar>
            <w:top w:w="0" w:type="dxa"/>
            <w:bottom w:w="0" w:type="dxa"/>
          </w:tblCellMar>
        </w:tblPrEx>
        <w:trPr>
          <w:cantSplit/>
        </w:trPr>
        <w:tc>
          <w:tcPr>
            <w:tcW w:w="1500" w:type="dxa"/>
            <w:shd w:val="clear" w:color="auto" w:fill="F7F9FA"/>
            <w:tcMar>
              <w:top w:w="70" w:type="dxa"/>
              <w:left w:w="110" w:type="dxa"/>
              <w:bottom w:w="70" w:type="dxa"/>
              <w:right w:w="110" w:type="dxa"/>
            </w:tcMar>
          </w:tcPr>
          <w:p w:rsidR="004634F8" w:rsidRDefault="00D71D5A">
            <w:pPr>
              <w:spacing w:before="40" w:after="40"/>
            </w:pPr>
            <w:r>
              <w:rPr>
                <w:sz w:val="18"/>
                <w:szCs w:val="18"/>
              </w:rPr>
              <w:t xml:space="preserve">Almacenamiento del logo y los comprobantes</w:t>
            </w:r>
          </w:p>
        </w:tc>
        <w:tc>
          <w:tcPr>
            <w:tcW w:w="2600" w:type="dxa"/>
            <w:shd w:val="clear" w:color="auto" w:fill="F7F9FA"/>
            <w:tcMar>
              <w:top w:w="70" w:type="dxa"/>
              <w:left w:w="110" w:type="dxa"/>
              <w:bottom w:w="70" w:type="dxa"/>
              <w:right w:w="110" w:type="dxa"/>
            </w:tcMar>
          </w:tcPr>
          <w:p w:rsidR="004634F8" w:rsidRDefault="00D71D5A">
            <w:pPr>
              <w:spacing w:before="40" w:after="40"/>
            </w:pPr>
            <w:r>
              <w:rPr>
                <w:sz w:val="18"/>
                <w:szCs w:val="18"/>
              </w:rPr>
              <w:t xml:space="preserve">Mientras no haya un servicio contratado, en la base (D-71, 9 de octubre de 2026): app.logo y plataforma.soporte_pago. Después, S3, Cloudflare R2 o similar.</w:t>
            </w:r>
          </w:p>
        </w:tc>
        <w:tc>
          <w:tcPr>
            <w:tcW w:w="49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 xml:space="preserve">Una fila por imagen, direccionada por su hash; solo PNG y JPEG para el logo (un SVG en línea ejecuta script) y tope de 1 MB; comprobantes PNG, JPEG o PDF hasta 5 MB. Cuando exista almacenamiento de objetos (D-30), las dos rutas pasan a ser llaves y las tablas se migran una vez. Y ojo con D-64: un logo que nombra cualquier versión no se borra nunca, así que una limpieza de huérfanos tiene que excluir los que aparezcan en una fotografía.</w:t>
            </w:r>
          </w:p>
        </w:tc>
      </w:tr>
      <w:tr w:rsidR="004634F8" w:rsidRPr="00485088">
        <w:tblPrEx>
          <w:tblCellMar>
            <w:top w:w="0" w:type="dxa"/>
            <w:bottom w:w="0" w:type="dxa"/>
          </w:tblCellMar>
        </w:tblPrEx>
        <w:trPr>
          <w:cantSplit/>
        </w:trPr>
        <w:tc>
          <w:tcPr>
            <w:tcW w:w="1500" w:type="dxa"/>
            <w:shd w:val="clear" w:color="auto" w:fill="F7F9FA"/>
            <w:tcMar>
              <w:top w:w="70" w:type="dxa"/>
              <w:left w:w="110" w:type="dxa"/>
              <w:bottom w:w="70" w:type="dxa"/>
              <w:right w:w="110" w:type="dxa"/>
            </w:tcMar>
          </w:tcPr>
          <w:p w:rsidR="004634F8" w:rsidRDefault="00D71D5A">
            <w:pPr>
              <w:spacing w:before="40" w:after="40"/>
            </w:pPr>
            <w:r>
              <w:rPr>
                <w:sz w:val="18"/>
                <w:szCs w:val="18"/>
              </w:rPr>
              <w:lastRenderedPageBreak/>
              <w:t>Planificador de tareas</w:t>
            </w:r>
          </w:p>
        </w:tc>
        <w:tc>
          <w:tcPr>
            <w:tcW w:w="2600" w:type="dxa"/>
            <w:shd w:val="clear" w:color="auto" w:fill="F7F9FA"/>
            <w:tcMar>
              <w:top w:w="70" w:type="dxa"/>
              <w:left w:w="110" w:type="dxa"/>
              <w:bottom w:w="70" w:type="dxa"/>
              <w:right w:w="110" w:type="dxa"/>
            </w:tcMar>
          </w:tcPr>
          <w:p w:rsidR="004634F8" w:rsidRDefault="00D71D5A">
            <w:pPr>
              <w:spacing w:before="40" w:after="40"/>
            </w:pPr>
            <w:r>
              <w:rPr>
                <w:sz w:val="18"/>
                <w:szCs w:val="18"/>
              </w:rPr>
              <w:t>pg_cron, o un worker con node-cron. SIN DECIDIR; se decide en la fase 8.</w:t>
            </w:r>
          </w:p>
        </w:tc>
        <w:tc>
          <w:tcPr>
            <w:tcW w:w="49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Los avisos de fin de prueba (−2 días) y de vencimiento (−5 días) necesitan algo que corra solo.</w:t>
            </w:r>
          </w:p>
        </w:tc>
      </w:tr>
      <w:tr w:rsidR="004634F8" w:rsidRPr="00485088">
        <w:tblPrEx>
          <w:tblCellMar>
            <w:top w:w="0" w:type="dxa"/>
            <w:bottom w:w="0" w:type="dxa"/>
          </w:tblCellMar>
        </w:tblPrEx>
        <w:trPr>
          <w:cantSplit/>
        </w:trPr>
        <w:tc>
          <w:tcPr>
            <w:tcW w:w="1500" w:type="dxa"/>
            <w:shd w:val="clear" w:color="auto" w:fill="F7F9FA"/>
            <w:tcMar>
              <w:top w:w="70" w:type="dxa"/>
              <w:left w:w="110" w:type="dxa"/>
              <w:bottom w:w="70" w:type="dxa"/>
              <w:right w:w="110" w:type="dxa"/>
            </w:tcMar>
          </w:tcPr>
          <w:p w:rsidR="004634F8" w:rsidRDefault="00D71D5A">
            <w:pPr>
              <w:spacing w:before="40" w:after="40"/>
            </w:pPr>
            <w:r>
              <w:rPr>
                <w:sz w:val="18"/>
                <w:szCs w:val="18"/>
              </w:rPr>
              <w:t>Sesión</w:t>
            </w:r>
          </w:p>
        </w:tc>
        <w:tc>
          <w:tcPr>
            <w:tcW w:w="260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Cookie firmada de 8 horas, sin tabla de sesiones. Decidido el 30 de septiembre de 2026. Detalle en la sección 8.1.</w:t>
            </w:r>
          </w:p>
        </w:tc>
        <w:tc>
          <w:tcPr>
            <w:tcW w:w="49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Ni JWT con refresco ni tabla de sesiones: el sello de credenciales (D-67) da lo único que la cookie firmada no daba, que era poder invalidar las sesiones anteriores.</w:t>
            </w:r>
          </w:p>
        </w:tc>
      </w:tr>
    </w:tbl>
    <w:p w:rsidR="004634F8" w:rsidRPr="00485088" w:rsidRDefault="004634F8">
      <w:pPr>
        <w:spacing w:after="80"/>
        <w:rPr>
          <w:lang w:val="es-CO"/>
        </w:rPr>
      </w:pPr>
    </w:p>
    <w:p w:rsidR="004634F8" w:rsidRPr="00485088" w:rsidRDefault="00D71D5A">
      <w:pPr>
        <w:pStyle w:val="Ttulo2"/>
        <w:spacing w:before="300" w:after="120"/>
        <w:rPr>
          <w:lang w:val="es-CO"/>
        </w:rPr>
      </w:pPr>
      <w:r>
        <w:rPr>
          <w:b/>
          <w:bCs/>
          <w:color w:val="1F2933"/>
          <w:sz w:val="23"/>
          <w:szCs w:val="23"/>
          <w:lang w:val="es-CO"/>
        </w:rPr>
        <w:t>2.1 Supabase: la alternativa que se miró y quedó descartada</w:t>
      </w:r>
    </w:p>
    <w:p w:rsidR="004634F8" w:rsidRPr="00485088" w:rsidRDefault="00D71D5A">
      <w:pPr>
        <w:spacing w:after="120" w:line="276" w:lineRule="auto"/>
        <w:jc w:val="both"/>
        <w:rPr>
          <w:lang w:val="es-CO"/>
        </w:rPr>
      </w:pPr>
      <w:r>
        <w:rPr>
          <w:lang w:val="es-CO"/>
        </w:rPr>
        <w:t>Supabase entrega Postgres, autenticación, almacenamiento de archivos y seguridad a nivel de fila de fábrica, y el esquema de este sistema ya está construido sobre esa seguridad. El costo es que su autenticación quiere todos los usuarios en una tabla propia, lo que choca con tener al superadministrador aparte, y el aislamiento pasaría a leerse de un claim del token en vez de una variable de sesión.</w:t>
      </w:r>
    </w:p>
    <w:p>
      <w:pPr/>
      <w:r>
        <w:t>Decidido: no. La decisión la tomó el propio esquema, que crea roles de grupo a nivel de clúster —dos de ellos con BYPASSRLS— más tres roles de conexión, y se carga como superusuario. Nada de eso cabe en un Postgres administrado por otro. El aislamiento, además, se apoya en una variable de transacción y en FORCE ROW LEVEL SECURITY, no en un claim de token. Reabrirla hoy no sería cambiar una pieza: sería volver a escribir el modelo de privilegios.</w:t>
      </w:r>
    </w:p>
    <w:p w:rsidR="004634F8" w:rsidRPr="00485088" w:rsidRDefault="00D71D5A">
      <w:pPr>
        <w:pStyle w:val="Ttulo1"/>
        <w:pBdr>
          <w:bottom w:val="single" w:sz="10" w:space="6" w:color="13496B"/>
        </w:pBdr>
        <w:spacing w:before="420" w:after="180"/>
        <w:rPr>
          <w:lang w:val="es-CO"/>
        </w:rPr>
      </w:pPr>
      <w:r>
        <w:rPr>
          <w:b/>
          <w:bCs/>
          <w:color w:val="13496B"/>
          <w:sz w:val="30"/>
          <w:szCs w:val="30"/>
          <w:lang w:val="es-CO"/>
        </w:rPr>
        <w:t>3. La regla más importante: el esquema manda</w:t>
      </w:r>
    </w:p>
    <w:p w:rsidR="004634F8" w:rsidRPr="00485088" w:rsidRDefault="00D71D5A">
      <w:pPr>
        <w:spacing w:after="120" w:line="276" w:lineRule="auto"/>
        <w:jc w:val="both"/>
        <w:rPr>
          <w:lang w:val="es-CO"/>
        </w:rPr>
      </w:pPr>
      <w:r>
        <w:rPr>
          <w:lang w:val="es-CO"/>
        </w:rPr>
        <w:t>El archivo 05 - construsoft_mvp_schema.sql no es una sugerencia ni un punto de partida. Es la definición del sistema: sesenta y nueve triggers, diecinueve políticas de aislamiento, restricciones CHECK que defienden cada fórmula, llaves foráneas compuestas, dominios numéricos y noventa y cinco funciones de cálculo y de servicio, nada de lo cual sabe expresar una herramienta de mapeo objeto-relacional. Entre esas funciones están las que renumeran la EDT, duplican un presupuesto y versionan o propagan un APU: operaciones que tocan varias tablas a la vez y que por eso no viven en el backend (D-39).</w:t>
      </w:r>
    </w:p>
    <w:tbl>
      <w:tblPr>
        <w:tblW w:w="9020" w:type="dxa"/>
        <w:tblBorders>
          <w:top w:val="none" w:sz="0" w:space="0" w:color="FFFFFF"/>
          <w:left w:val="single" w:sz="18" w:space="0" w:color="B07A22"/>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4634F8" w:rsidRPr="00485088">
        <w:tblPrEx>
          <w:tblCellMar>
            <w:top w:w="0" w:type="dxa"/>
            <w:bottom w:w="0" w:type="dxa"/>
          </w:tblCellMar>
        </w:tblPrEx>
        <w:trPr>
          <w:cantSplit/>
        </w:trPr>
        <w:tc>
          <w:tcPr>
            <w:tcW w:w="9020" w:type="dxa"/>
            <w:shd w:val="clear" w:color="auto" w:fill="FBF5E9"/>
            <w:tcMar>
              <w:top w:w="140" w:type="dxa"/>
              <w:left w:w="200" w:type="dxa"/>
              <w:bottom w:w="140" w:type="dxa"/>
              <w:right w:w="180" w:type="dxa"/>
            </w:tcMar>
          </w:tcPr>
          <w:p w:rsidR="004634F8" w:rsidRPr="00485088" w:rsidRDefault="00D71D5A">
            <w:pPr>
              <w:spacing w:before="40" w:after="90"/>
              <w:rPr>
                <w:lang w:val="es-CO"/>
              </w:rPr>
            </w:pPr>
            <w:r>
              <w:rPr>
                <w:b/>
                <w:bCs/>
                <w:caps/>
                <w:color w:val="B07A22"/>
                <w:sz w:val="18"/>
                <w:szCs w:val="18"/>
                <w:lang w:val="es-CO"/>
              </w:rPr>
              <w:t>No dejes que el ORM sea dueño del esquema</w:t>
            </w:r>
          </w:p>
          <w:p w:rsidR="004634F8" w:rsidRPr="00485088" w:rsidRDefault="00D71D5A">
            <w:pPr>
              <w:spacing w:after="110" w:line="276" w:lineRule="auto"/>
              <w:jc w:val="both"/>
              <w:rPr>
                <w:lang w:val="es-CO"/>
              </w:rPr>
            </w:pPr>
            <w:r>
              <w:rPr>
                <w:sz w:val="19"/>
                <w:szCs w:val="19"/>
                <w:lang w:val="es-CO"/>
              </w:rPr>
              <w:t>Si se generan las migraciones desde un archivo de definición del ORM, la primera de ellas borra los triggers que defienden las reglas de negocio, y nadie se entera hasta que alguien edite un presupuesto activo y el sistema lo permita.</w:t>
            </w:r>
          </w:p>
          <w:p w:rsidR="004634F8" w:rsidRPr="00485088" w:rsidRDefault="00D71D5A">
            <w:pPr>
              <w:spacing w:after="40" w:line="276" w:lineRule="auto"/>
              <w:jc w:val="both"/>
              <w:rPr>
                <w:lang w:val="es-CO"/>
              </w:rPr>
            </w:pPr>
            <w:r>
              <w:rPr>
                <w:sz w:val="19"/>
                <w:szCs w:val="19"/>
                <w:lang w:val="es-CO"/>
              </w:rPr>
              <w:t xml:space="preserve">Drizzle y Kysely leen la base que ya existe y no opinan sobre su estructura. Esa es la razón de fondo por la que se recomiendan, más allá de cualquier comparación de rendimiento.</w:t>
            </w:r>
          </w:p>
        </w:tc>
      </w:tr>
    </w:tbl>
    <w:p w:rsidR="004634F8" w:rsidRPr="00485088" w:rsidRDefault="00D71D5A">
      <w:pPr>
        <w:spacing w:after="120" w:line="276" w:lineRule="auto"/>
        <w:jc w:val="both"/>
        <w:rPr>
          <w:lang w:val="es-CO"/>
        </w:rPr>
      </w:pPr>
      <w:r>
        <w:rPr>
          <w:lang w:val="es-CO"/>
        </w:rPr>
        <w:t>En la práctica: las migraciones son archivos .sql numerados que se ejecutan en orden y se versionan en el repositorio. Y no hay ORM: el acceso a la base es pg directo, detrás de una única puerta —ejecutarConPermiso— que una regla de ESLint protege para que nadie abra otra. Este documento recomendaba Drizzle o Kysely y no se usó ninguno.</w:t>
      </w:r>
    </w:p>
    <w:p w:rsidR="004634F8" w:rsidRPr="00485088" w:rsidRDefault="00D71D5A">
      <w:pPr>
        <w:pStyle w:val="Ttulo1"/>
        <w:pBdr>
          <w:bottom w:val="single" w:sz="10" w:space="6" w:color="13496B"/>
        </w:pBdr>
        <w:spacing w:before="420" w:after="180"/>
        <w:rPr>
          <w:lang w:val="es-CO"/>
        </w:rPr>
      </w:pPr>
      <w:r>
        <w:rPr>
          <w:b/>
          <w:bCs/>
          <w:color w:val="13496B"/>
          <w:sz w:val="30"/>
          <w:szCs w:val="30"/>
          <w:lang w:val="es-CO"/>
        </w:rPr>
        <w:t>4. Las tres trampas que más cuestan</w:t>
      </w:r>
    </w:p>
    <w:p w:rsidR="004634F8" w:rsidRPr="00485088" w:rsidRDefault="00D71D5A">
      <w:pPr>
        <w:pStyle w:val="Ttulo2"/>
        <w:spacing w:before="300" w:after="120"/>
        <w:rPr>
          <w:lang w:val="es-CO"/>
        </w:rPr>
      </w:pPr>
      <w:r>
        <w:rPr>
          <w:b/>
          <w:bCs/>
          <w:color w:val="1F2933"/>
          <w:sz w:val="23"/>
          <w:szCs w:val="23"/>
          <w:lang w:val="es-CO"/>
        </w:rPr>
        <w:t>4.1 Los decimales</w:t>
      </w:r>
    </w:p>
    <w:p w:rsidR="004634F8" w:rsidRPr="00485088" w:rsidRDefault="00D71D5A">
      <w:pPr>
        <w:spacing w:after="120" w:line="276" w:lineRule="auto"/>
        <w:jc w:val="both"/>
        <w:rPr>
          <w:lang w:val="es-CO"/>
        </w:rPr>
      </w:pPr>
      <w:r>
        <w:rPr>
          <w:lang w:val="es-CO"/>
        </w:rPr>
        <w:t>JavaScript no tiene aritmética decimal exacta. El controlador de Postgres para Node devuelve las columnas numeric como texto, y eso está bien: el problema empieza en el momento en que alguien escribe parseFloat sobre un precio.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000" w:firstRow="0" w:lastRow="0" w:firstColumn="0" w:lastColumn="0" w:noHBand="0" w:noVBand="0"/>
      </w:tblPr>
      <w:tblGrid>
        <w:gridCol w:w="2400"/>
        <w:gridCol w:w="6620"/>
      </w:tblGrid>
      <w:tr w:rsidR="004634F8">
        <w:tblPrEx>
          <w:tblCellMar>
            <w:top w:w="0" w:type="dxa"/>
            <w:bottom w:w="0" w:type="dxa"/>
          </w:tblCellMar>
        </w:tblPrEx>
        <w:trPr>
          <w:cantSplit/>
          <w:tblHeader/>
        </w:trPr>
        <w:tc>
          <w:tcPr>
            <w:tcW w:w="240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Regla</w:t>
            </w:r>
          </w:p>
        </w:tc>
        <w:tc>
          <w:tcPr>
            <w:tcW w:w="662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Detalle</w:t>
            </w:r>
          </w:p>
        </w:tc>
      </w:tr>
      <w:tr w:rsidR="004634F8">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 xml:space="preserve">El dinero se calcula en SQL</w:t>
            </w:r>
          </w:p>
        </w:tc>
        <w:tc>
          <w:tcPr>
            <w:tcW w:w="6620" w:type="dxa"/>
            <w:shd w:val="clear" w:color="auto" w:fill="auto"/>
            <w:tcMar>
              <w:top w:w="70" w:type="dxa"/>
              <w:left w:w="110" w:type="dxa"/>
              <w:bottom w:w="70" w:type="dxa"/>
              <w:right w:w="110" w:type="dxa"/>
            </w:tcMar>
          </w:tcPr>
          <w:p w:rsidR="004634F8" w:rsidRDefault="00D71D5A">
            <w:pPr>
              <w:spacing w:before="40" w:after="40"/>
            </w:pPr>
            <w:r>
              <w:rPr>
                <w:sz w:val="18"/>
                <w:szCs w:val="18"/>
                <w:lang w:val="es-CO"/>
              </w:rPr>
              <w:t xml:space="preserve">La función de recálculo del presupuesto ya está escrita en el esquema. </w:t>
            </w:r>
            <w:r>
              <w:rPr>
                <w:sz w:val="18"/>
                <w:szCs w:val="18"/>
              </w:rPr>
              <w:t>No se reimplementa en JavaScript.</w:t>
            </w:r>
          </w:p>
        </w:tc>
      </w:tr>
      <w:tr w:rsidR="004634F8" w:rsidRPr="00485088">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lastRenderedPageBreak/>
              <w:t>En JavaScript el dinero viaja como texto</w:t>
            </w:r>
          </w:p>
        </w:tc>
        <w:tc>
          <w:tcPr>
            <w:tcW w:w="66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Desde la base hasta la pantalla, sin convertirse a número en ningún punto intermedio.</w:t>
            </w:r>
          </w:p>
        </w:tc>
      </w:tr>
      <w:tr w:rsidR="004634F8" w:rsidRPr="00485088">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Si hace falta aritmética en el servidor</w:t>
            </w:r>
          </w:p>
        </w:tc>
        <w:tc>
          <w:tcPr>
            <w:tcW w:w="66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decimal.js o big.js. Jamás el tipo number nativo.</w:t>
            </w:r>
          </w:p>
        </w:tc>
      </w:tr>
      <w:tr w:rsidR="004634F8" w:rsidRPr="00485088">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4634F8" w:rsidRDefault="00D71D5A">
            <w:pPr>
              <w:spacing w:before="40" w:after="40"/>
            </w:pPr>
            <w:r>
              <w:rPr>
                <w:sz w:val="18"/>
                <w:szCs w:val="18"/>
              </w:rPr>
              <w:t>Redondear una sola vez</w:t>
            </w:r>
          </w:p>
        </w:tc>
        <w:tc>
          <w:tcPr>
            <w:tcW w:w="66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Al final, para mostrar. El truncamiento a 0, 1 o 2 decimales es de presentación; el almacenamiento conserva la precisión completa.</w:t>
            </w:r>
          </w:p>
        </w:tc>
      </w:tr>
      <w:tr w:rsidR="004634F8" w:rsidRPr="00485088">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4634F8" w:rsidRDefault="00D71D5A">
            <w:pPr>
              <w:spacing w:before="40" w:after="40"/>
            </w:pPr>
            <w:r>
              <w:rPr>
                <w:sz w:val="18"/>
                <w:szCs w:val="18"/>
              </w:rPr>
              <w:t>Porcentajes en puntos</w:t>
            </w:r>
          </w:p>
        </w:tc>
        <w:tc>
          <w:tcPr>
            <w:tcW w:w="66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Un IVA del 19% se guarda como 19, no como 0,19. Es de las fuentes de error más difíciles de detectar: el resultado no falla, solo sale mal por un factor de cien.</w:t>
            </w:r>
          </w:p>
        </w:tc>
      </w:tr>
    </w:tbl>
    <w:p w:rsidR="004634F8" w:rsidRPr="00485088" w:rsidRDefault="00D71D5A">
      <w:pPr>
        <w:pStyle w:val="Ttulo2"/>
        <w:spacing w:before="300" w:after="120"/>
        <w:rPr>
          <w:lang w:val="es-CO"/>
        </w:rPr>
      </w:pPr>
      <w:r>
        <w:rPr>
          <w:b/>
          <w:bCs/>
          <w:color w:val="1F2933"/>
          <w:sz w:val="23"/>
          <w:szCs w:val="23"/>
          <w:lang w:val="es-CO"/>
        </w:rPr>
        <w:t>4.2 El contexto de inquilino</w:t>
      </w:r>
    </w:p>
    <w:p w:rsidR="004634F8" w:rsidRPr="00485088" w:rsidRDefault="00D71D5A">
      <w:pPr>
        <w:spacing w:after="120" w:line="276" w:lineRule="auto"/>
        <w:jc w:val="both"/>
        <w:rPr>
          <w:lang w:val="es-CO"/>
        </w:rPr>
      </w:pPr>
      <w:r>
        <w:rPr>
          <w:lang w:val="es-CO"/>
        </w:rPr>
        <w:t xml:space="preserve">El aislamiento entre empresas depende de una variable de sesión que la aplicación fija en cada transacción. Con un agrupador de conexiones en modo transacción —que es lo que usan los servicios administrados de Postgres— un SET normal sobrevive al final de la petición y se filtra a la siguiente conexión del grupo: el inquilino B termina viendo datos del inquilino A.</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000" w:firstRow="0" w:lastRow="0" w:firstColumn="0" w:lastColumn="0" w:noHBand="0" w:noVBand="0"/>
      </w:tblPr>
      <w:tblGrid>
        <w:gridCol w:w="2400"/>
        <w:gridCol w:w="6620"/>
      </w:tblGrid>
      <w:tr w:rsidR="004634F8">
        <w:tblPrEx>
          <w:tblCellMar>
            <w:top w:w="0" w:type="dxa"/>
            <w:bottom w:w="0" w:type="dxa"/>
          </w:tblCellMar>
        </w:tblPrEx>
        <w:trPr>
          <w:cantSplit/>
          <w:tblHeader/>
        </w:trPr>
        <w:tc>
          <w:tcPr>
            <w:tcW w:w="240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Regla</w:t>
            </w:r>
          </w:p>
        </w:tc>
        <w:tc>
          <w:tcPr>
            <w:tcW w:w="662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Detalle</w:t>
            </w:r>
          </w:p>
        </w:tc>
      </w:tr>
      <w:tr w:rsidR="004634F8" w:rsidRPr="00485088">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4634F8" w:rsidRDefault="00D71D5A">
            <w:pPr>
              <w:spacing w:before="40" w:after="40"/>
            </w:pPr>
            <w:r>
              <w:rPr>
                <w:sz w:val="18"/>
                <w:szCs w:val="18"/>
              </w:rPr>
              <w:t>SET LOCAL, nunca SET</w:t>
            </w:r>
          </w:p>
        </w:tc>
        <w:tc>
          <w:tcPr>
            <w:tcW w:w="66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La forma correcta es SELECT set_config('app.tenant_id', $1, true): ese true es el «local». Junto a esa línea va SELECT set_config('app.usuario_id', $2, true), que no es opcional: es el autor que la base escribe en cada evento del historial (D-45), y la transacción que no la fije deja eventos sin firmar. También prepara el control de acceso por proyecto de la fase 2. SET LOCAL app.tenant_id = $1 NO es SQL válido, porque SET no admite parámetros vinculados. El contexto se lee con app.fn_tenant_actual(), nunca con current_setting directo: tras la primera transacción de una conexión reutilizada, current_setting devuelve cadena vacía en vez de nulo y el casteo a uuid revienta.</w:t>
            </w:r>
          </w:p>
        </w:tc>
      </w:tr>
      <w:tr w:rsidR="004634F8" w:rsidRPr="00485088">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Siempre dentro de una transacción explícita</w:t>
            </w:r>
          </w:p>
        </w:tc>
        <w:tc>
          <w:tcPr>
            <w:tcW w:w="66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Abrir transacción, fijar el inquilino, consultar, cerrar.</w:t>
            </w:r>
          </w:p>
        </w:tc>
      </w:tr>
      <w:tr w:rsidR="004634F8" w:rsidRPr="00485088">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Rol de aplicación no dueño</w:t>
            </w:r>
          </w:p>
        </w:tc>
        <w:tc>
          <w:tcPr>
            <w:tcW w:w="66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Con FORCE ROW LEVEL SECURITY, que el esquema aplica, el dueño TAMBIÉN está sujeto a las políticas. Solo las ignoran los superusuarios y los roles con BYPASSRLS. La aplicación se conecta con un rol propio, sin privilegios de dueño, por privilegio mínimo y porque el dueño puede alterar o desactivar las políticas, no porque las ignore. El esquema crea cinco roles de grupo sin LOGIN —construsoft_owner, construsoft_super, construsoft_app, construsoft_superadmin y construsoft_auth— y solo dos llevan BYPASSRLS: construsoft_auth, dueño de las dos funciones de autenticación, y construsoft_super, dueño de las que cruzan inquilinos o corren sin contexto. El despliegue crea encima TRES roles de conexión —app_login, superadmin_login y auth_login—, que heredan de esos grupos y no son dueños de nada. El tercero es de D-46: fn_autenticar devuelve el hash de contraseña porque el backend lo compara con Argon2id, que PostgreSQL no sabe calcular, así que lo que se acota es quién puede pedirlo. Con app_login, fn_autenticar responde «permiso denegado».</w:t>
            </w:r>
          </w:p>
        </w:tc>
      </w:tr>
      <w:tr w:rsidR="004634F8">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4634F8" w:rsidRDefault="00D71D5A">
            <w:pPr>
              <w:spacing w:before="40" w:after="40"/>
            </w:pPr>
            <w:r>
              <w:rPr>
                <w:sz w:val="18"/>
                <w:szCs w:val="18"/>
              </w:rPr>
              <w:t>Contexto ausente</w:t>
            </w:r>
          </w:p>
        </w:tc>
        <w:tc>
          <w:tcPr>
            <w:tcW w:w="6620" w:type="dxa"/>
            <w:shd w:val="clear" w:color="auto" w:fill="F7F9FA"/>
            <w:tcMar>
              <w:top w:w="70" w:type="dxa"/>
              <w:left w:w="110" w:type="dxa"/>
              <w:bottom w:w="70" w:type="dxa"/>
              <w:right w:w="110" w:type="dxa"/>
            </w:tcMar>
          </w:tcPr>
          <w:p w:rsidR="004634F8" w:rsidRDefault="00D71D5A">
            <w:pPr>
              <w:spacing w:before="40" w:after="40"/>
            </w:pPr>
            <w:r>
              <w:rPr>
                <w:sz w:val="18"/>
                <w:szCs w:val="18"/>
                <w:lang w:val="es-CO"/>
              </w:rPr>
              <w:t>Si la variable no está fijada, la consulta devuelve cero filas. Nunca todas. Queda así por el NULLIF de app.fn_tenant_actual(): sin él, el casteo de la cadena vacía lanza un error, de modo que cada olvido del backend se convertía en un 500 en lugar de en cero filas. No debe cambiarse.</w:t>
            </w:r>
            <w:r>
              <w:rPr>
                <w:sz w:val="18"/>
                <w:szCs w:val="18"/>
              </w:rPr>
            </w:r>
          </w:p>
        </w:tc>
      </w:tr>
      <w:tr w:rsidR="004634F8" w:rsidRPr="00485088">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Índices encabezados por tenant_id</w:t>
            </w:r>
          </w:p>
        </w:tc>
        <w:tc>
          <w:tcPr>
            <w:tcW w:w="66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Ya están así en el esquema. Cualquier índice nuevo debe seguir la misma regla.</w:t>
            </w:r>
          </w:p>
        </w:tc>
      </w:tr>
      <w:tr w:rsidR="004634F8">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4634F8" w:rsidRDefault="00D71D5A">
            <w:pPr>
              <w:spacing w:before="40" w:after="40"/>
            </w:pPr>
            <w:r>
              <w:rPr>
                <w:sz w:val="18"/>
                <w:szCs w:val="18"/>
              </w:rPr>
              <w:t>Las banderas no son una defensa</w:t>
            </w:r>
          </w:p>
        </w:tc>
        <w:tc>
          <w:tcPr>
            <w:tcW w:w="6620" w:type="dxa"/>
            <w:shd w:val="clear" w:color="auto" w:fill="F7F9FA"/>
            <w:tcMar>
              <w:top w:w="70" w:type="dxa"/>
              <w:left w:w="110" w:type="dxa"/>
              <w:bottom w:w="70" w:type="dxa"/>
              <w:right w:w="110" w:type="dxa"/>
            </w:tcMar>
          </w:tcPr>
          <w:p w:rsidR="004634F8" w:rsidRDefault="00D71D5A">
            <w:pPr>
              <w:spacing w:before="40" w:after="40"/>
            </w:pPr>
            <w:r>
              <w:rPr>
                <w:sz w:val="18"/>
                <w:szCs w:val="18"/>
                <w:lang w:val="es-CO"/>
              </w:rPr>
              <w:t>El esquema usa variables de transacción —app.purga_tenant, app.recalculo_en_curso y app.motivo_reapertura— para marcar sus propias operaciones, y cualquier conexión puede fijarlas. Los guardianes comprueban además que quien ejecuta sea una función interna, así que el backend no puede imitarlas ni por error ni a propósito (D-37). La regla general: lo que defiende una garantía es el privilegio, nunca una marca que el interesado escribe.</w:t>
            </w:r>
            <w:r>
              <w:rPr>
                <w:sz w:val="18"/>
                <w:szCs w:val="18"/>
              </w:rPr>
            </w:r>
          </w:p>
        </w:tc>
      </w:tr>
    </w:tbl>
    <w:p w:rsidR="004634F8" w:rsidRPr="00485088" w:rsidRDefault="00D71D5A">
      <w:pPr>
        <w:pStyle w:val="Ttulo2"/>
        <w:spacing w:before="300" w:after="120"/>
        <w:rPr>
          <w:lang w:val="es-CO"/>
        </w:rPr>
      </w:pPr>
      <w:r>
        <w:rPr>
          <w:b/>
          <w:bCs/>
          <w:color w:val="1F2933"/>
          <w:sz w:val="23"/>
          <w:szCs w:val="23"/>
          <w:lang w:val="es-CO"/>
        </w:rPr>
        <w:t>4.3 El rendimiento de la mesa de trabajo</w:t>
      </w:r>
    </w:p>
    <w:p w:rsidR="004634F8" w:rsidRPr="00485088" w:rsidRDefault="00D71D5A">
      <w:pPr>
        <w:spacing w:after="120" w:line="276" w:lineRule="auto"/>
        <w:jc w:val="both"/>
        <w:rPr>
          <w:lang w:val="es-CO"/>
        </w:rPr>
      </w:pPr>
      <w:r>
        <w:rPr>
          <w:lang w:val="es-CO"/>
        </w:rPr>
        <w:t>A la escala de este producto —decenas de empresas, cientos de proyectos— Postgres no se despeina. Los problemas de rendimiento van a venir de dos patrones concretos en el código:</w:t>
      </w:r>
    </w:p>
    <w:p w:rsidR="004634F8" w:rsidRPr="00485088" w:rsidRDefault="00D71D5A">
      <w:pPr>
        <w:pStyle w:val="Prrafodelista"/>
        <w:numPr>
          <w:ilvl w:val="0"/>
          <w:numId w:val="2"/>
        </w:numPr>
        <w:spacing w:after="90" w:line="276" w:lineRule="auto"/>
        <w:jc w:val="both"/>
        <w:rPr>
          <w:lang w:val="es-CO"/>
        </w:rPr>
      </w:pPr>
      <w:r>
        <w:rPr>
          <w:lang w:val="es-CO"/>
        </w:rPr>
        <w:t>Consultas N+1 al pintar el árbol WBS. Si el servidor recorre el árbol nodo por nodo en un bucle, cien actividades son cien consultas. Se resuelve con un CTE recursivo y una sola consulta.</w:t>
      </w:r>
    </w:p>
    <w:p w:rsidR="004634F8" w:rsidRPr="00485088" w:rsidRDefault="00D71D5A">
      <w:pPr>
        <w:pStyle w:val="Prrafodelista"/>
        <w:numPr>
          <w:ilvl w:val="0"/>
          <w:numId w:val="2"/>
        </w:numPr>
        <w:spacing w:after="90" w:line="276" w:lineRule="auto"/>
        <w:jc w:val="both"/>
        <w:rPr>
          <w:lang w:val="es-CO"/>
        </w:rPr>
      </w:pPr>
      <w:r>
        <w:rPr>
          <w:lang w:val="es-CO"/>
        </w:rPr>
        <w:t>Recalcular el presupuesto entero en cada tecla que el usuario escribe en una cantidad. El patrón correcto es el que ya exige el requisito de que el frontend solo previsualice: la pantalla calcula para mostrar, guarda con retardo, y el servidor devuelve la cifra que vale. El recálculo lo dispara la base por sentencia, no por fila, así que una carga masiva de actividades debe hacerse en una sola sentencia y no en un bucle de INSERT.</w:t>
      </w:r>
    </w:p>
    <w:p w:rsidR="004634F8" w:rsidRPr="00485088" w:rsidRDefault="00D71D5A">
      <w:pPr>
        <w:pStyle w:val="Ttulo1"/>
        <w:pBdr>
          <w:bottom w:val="single" w:sz="10" w:space="6" w:color="13496B"/>
        </w:pBdr>
        <w:spacing w:before="420" w:after="180"/>
        <w:rPr>
          <w:lang w:val="es-CO"/>
        </w:rPr>
      </w:pPr>
      <w:r>
        <w:rPr>
          <w:b/>
          <w:bCs/>
          <w:color w:val="13496B"/>
          <w:sz w:val="30"/>
          <w:szCs w:val="30"/>
          <w:lang w:val="es-CO"/>
        </w:rPr>
        <w:t>5. Seguridad</w:t>
      </w:r>
    </w:p>
    <w:p w:rsidR="004634F8" w:rsidRDefault="00D71D5A">
      <w:pPr>
        <w:spacing w:after="120" w:line="276" w:lineRule="auto"/>
        <w:jc w:val="both"/>
      </w:pPr>
      <w:r>
        <w:rPr>
          <w:lang w:val="es-CO"/>
        </w:rPr>
        <w:t xml:space="preserve">La mayoría de los incidentes en un producto como este no son ataques sofisticados: son autorización mal puesta. </w:t>
      </w:r>
      <w:r>
        <w:t>La lista mínima:</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000" w:firstRow="0" w:lastRow="0" w:firstColumn="0" w:lastColumn="0" w:noHBand="0" w:noVBand="0"/>
      </w:tblPr>
      <w:tblGrid>
        <w:gridCol w:w="1900"/>
        <w:gridCol w:w="7120"/>
      </w:tblGrid>
      <w:tr w:rsidR="004634F8">
        <w:tblPrEx>
          <w:tblCellMar>
            <w:top w:w="0" w:type="dxa"/>
            <w:bottom w:w="0" w:type="dxa"/>
          </w:tblCellMar>
        </w:tblPrEx>
        <w:trPr>
          <w:cantSplit/>
          <w:tblHeader/>
        </w:trPr>
        <w:tc>
          <w:tcPr>
            <w:tcW w:w="190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Punto</w:t>
            </w:r>
          </w:p>
        </w:tc>
        <w:tc>
          <w:tcPr>
            <w:tcW w:w="712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Qué hacer</w:t>
            </w:r>
          </w:p>
        </w:tc>
      </w:tr>
      <w:tr w:rsidR="004634F8" w:rsidRPr="00485088">
        <w:tblPrEx>
          <w:tblCellMar>
            <w:top w:w="0" w:type="dxa"/>
            <w:bottom w:w="0" w:type="dxa"/>
          </w:tblCellMar>
        </w:tblPrEx>
        <w:trPr>
          <w:cantSplit/>
        </w:trPr>
        <w:tc>
          <w:tcPr>
            <w:tcW w:w="1900" w:type="dxa"/>
            <w:shd w:val="clear" w:color="auto" w:fill="auto"/>
            <w:tcMar>
              <w:top w:w="70" w:type="dxa"/>
              <w:left w:w="110" w:type="dxa"/>
              <w:bottom w:w="70" w:type="dxa"/>
              <w:right w:w="110" w:type="dxa"/>
            </w:tcMar>
          </w:tcPr>
          <w:p w:rsidR="004634F8" w:rsidRDefault="00D71D5A">
            <w:pPr>
              <w:spacing w:before="40" w:after="40"/>
            </w:pPr>
            <w:r>
              <w:rPr>
                <w:sz w:val="18"/>
                <w:szCs w:val="18"/>
              </w:rPr>
              <w:t>Autorización</w:t>
            </w:r>
          </w:p>
        </w:tc>
        <w:tc>
          <w:tcPr>
            <w:tcW w:w="71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Verificar el permiso en el servidor en cada petición. Ocultar un botón no es control de acceso. El aislamiento por filas es la segunda barrera, no la primera.</w:t>
            </w:r>
          </w:p>
        </w:tc>
      </w:tr>
      <w:tr w:rsidR="004634F8">
        <w:tblPrEx>
          <w:tblCellMar>
            <w:top w:w="0" w:type="dxa"/>
            <w:bottom w:w="0" w:type="dxa"/>
          </w:tblCellMar>
        </w:tblPrEx>
        <w:trPr>
          <w:cantSplit/>
        </w:trPr>
        <w:tc>
          <w:tcPr>
            <w:tcW w:w="1900" w:type="dxa"/>
            <w:shd w:val="clear" w:color="auto" w:fill="F7F9FA"/>
            <w:tcMar>
              <w:top w:w="70" w:type="dxa"/>
              <w:left w:w="110" w:type="dxa"/>
              <w:bottom w:w="70" w:type="dxa"/>
              <w:right w:w="110" w:type="dxa"/>
            </w:tcMar>
          </w:tcPr>
          <w:p w:rsidR="004634F8" w:rsidRDefault="00D71D5A">
            <w:pPr>
              <w:spacing w:before="40" w:after="40"/>
            </w:pPr>
            <w:r>
              <w:rPr>
                <w:sz w:val="18"/>
                <w:szCs w:val="18"/>
              </w:rPr>
              <w:t>Fuerza bruta</w:t>
            </w:r>
          </w:p>
        </w:tc>
        <w:tc>
          <w:tcPr>
            <w:tcW w:w="7120" w:type="dxa"/>
            <w:shd w:val="clear" w:color="auto" w:fill="F7F9FA"/>
            <w:tcMar>
              <w:top w:w="70" w:type="dxa"/>
              <w:left w:w="110" w:type="dxa"/>
              <w:bottom w:w="70" w:type="dxa"/>
              <w:right w:w="110" w:type="dxa"/>
            </w:tcMar>
          </w:tcPr>
          <w:p w:rsidR="004634F8" w:rsidRDefault="00D71D5A">
            <w:pPr>
              <w:spacing w:before="40" w:after="40"/>
            </w:pPr>
            <w:r>
              <w:rPr>
                <w:sz w:val="18"/>
                <w:szCs w:val="18"/>
                <w:lang w:val="es-CO"/>
              </w:rPr>
              <w:t>Límite de intentos en el login y en la solicitud de recuperación de contraseña. Sin él, el token de 30 minutos se vuelve adivinable. PENDIENTE al 1 de octubre de 2026: no está construido, y llega con el ingreso, o sea en la rebanada 6.1. argon2id hace lenta cada prueba, no imposible la serie.</w:t>
            </w:r>
            <w:r>
              <w:rPr>
                <w:sz w:val="18"/>
                <w:szCs w:val="18"/>
              </w:rPr>
            </w:r>
          </w:p>
        </w:tc>
      </w:tr>
      <w:tr w:rsidR="004634F8" w:rsidRPr="00485088">
        <w:tblPrEx>
          <w:tblCellMar>
            <w:top w:w="0" w:type="dxa"/>
            <w:bottom w:w="0" w:type="dxa"/>
          </w:tblCellMar>
        </w:tblPrEx>
        <w:trPr>
          <w:cantSplit/>
        </w:trPr>
        <w:tc>
          <w:tcPr>
            <w:tcW w:w="1900" w:type="dxa"/>
            <w:shd w:val="clear" w:color="auto" w:fill="auto"/>
            <w:tcMar>
              <w:top w:w="70" w:type="dxa"/>
              <w:left w:w="110" w:type="dxa"/>
              <w:bottom w:w="70" w:type="dxa"/>
              <w:right w:w="110" w:type="dxa"/>
            </w:tcMar>
          </w:tcPr>
          <w:p w:rsidR="004634F8" w:rsidRDefault="00D71D5A">
            <w:pPr>
              <w:spacing w:before="40" w:after="40"/>
            </w:pPr>
            <w:r>
              <w:rPr>
                <w:sz w:val="18"/>
                <w:szCs w:val="18"/>
              </w:rPr>
              <w:t>Tokens</w:t>
            </w:r>
          </w:p>
        </w:tc>
        <w:tc>
          <w:tcPr>
            <w:tcW w:w="71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Se almacena el hash del token, no el token. Un solo uso, invalidado al consumirse.</w:t>
            </w:r>
          </w:p>
        </w:tc>
      </w:tr>
      <w:tr w:rsidR="004634F8" w:rsidRPr="00485088">
        <w:tblPrEx>
          <w:tblCellMar>
            <w:top w:w="0" w:type="dxa"/>
            <w:bottom w:w="0" w:type="dxa"/>
          </w:tblCellMar>
        </w:tblPrEx>
        <w:trPr>
          <w:cantSplit/>
        </w:trPr>
        <w:tc>
          <w:tcPr>
            <w:tcW w:w="1900" w:type="dxa"/>
            <w:shd w:val="clear" w:color="auto" w:fill="F7F9FA"/>
            <w:tcMar>
              <w:top w:w="70" w:type="dxa"/>
              <w:left w:w="110" w:type="dxa"/>
              <w:bottom w:w="70" w:type="dxa"/>
              <w:right w:w="110" w:type="dxa"/>
            </w:tcMar>
          </w:tcPr>
          <w:p w:rsidR="004634F8" w:rsidRDefault="00D71D5A">
            <w:pPr>
              <w:spacing w:before="40" w:after="40"/>
            </w:pPr>
            <w:r>
              <w:rPr>
                <w:sz w:val="18"/>
                <w:szCs w:val="18"/>
              </w:rPr>
              <w:t>Contraseñas</w:t>
            </w:r>
          </w:p>
        </w:tc>
        <w:tc>
          <w:tcPr>
            <w:tcW w:w="71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argon2id, mínimo 8 caracteres. Nunca en texto plano ni en los registros del sistema.</w:t>
            </w:r>
          </w:p>
        </w:tc>
      </w:tr>
      <w:tr w:rsidR="004634F8" w:rsidRPr="00485088">
        <w:tblPrEx>
          <w:tblCellMar>
            <w:top w:w="0" w:type="dxa"/>
            <w:bottom w:w="0" w:type="dxa"/>
          </w:tblCellMar>
        </w:tblPrEx>
        <w:trPr>
          <w:cantSplit/>
        </w:trPr>
        <w:tc>
          <w:tcPr>
            <w:tcW w:w="1900" w:type="dxa"/>
            <w:shd w:val="clear" w:color="auto" w:fill="auto"/>
            <w:tcMar>
              <w:top w:w="70" w:type="dxa"/>
              <w:left w:w="110" w:type="dxa"/>
              <w:bottom w:w="70" w:type="dxa"/>
              <w:right w:w="110" w:type="dxa"/>
            </w:tcMar>
          </w:tcPr>
          <w:p w:rsidR="004634F8" w:rsidRDefault="00D71D5A">
            <w:pPr>
              <w:spacing w:before="40" w:after="40"/>
            </w:pPr>
            <w:r>
              <w:rPr>
                <w:sz w:val="18"/>
                <w:szCs w:val="18"/>
              </w:rPr>
              <w:t>Consultas</w:t>
            </w:r>
          </w:p>
        </w:tc>
        <w:tc>
          <w:tcPr>
            <w:tcW w:w="71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Siempre parametrizadas. Drizzle y Kysely lo hacen por defecto; el riesgo aparece al concatenar SQL a mano.</w:t>
            </w:r>
          </w:p>
        </w:tc>
      </w:tr>
      <w:tr w:rsidR="004634F8" w:rsidRPr="00485088">
        <w:tblPrEx>
          <w:tblCellMar>
            <w:top w:w="0" w:type="dxa"/>
            <w:bottom w:w="0" w:type="dxa"/>
          </w:tblCellMar>
        </w:tblPrEx>
        <w:trPr>
          <w:cantSplit/>
        </w:trPr>
        <w:tc>
          <w:tcPr>
            <w:tcW w:w="1900" w:type="dxa"/>
            <w:shd w:val="clear" w:color="auto" w:fill="F7F9FA"/>
            <w:tcMar>
              <w:top w:w="70" w:type="dxa"/>
              <w:left w:w="110" w:type="dxa"/>
              <w:bottom w:w="70" w:type="dxa"/>
              <w:right w:w="110" w:type="dxa"/>
            </w:tcMar>
          </w:tcPr>
          <w:p w:rsidR="004634F8" w:rsidRDefault="00D71D5A">
            <w:pPr>
              <w:spacing w:before="40" w:after="40"/>
            </w:pPr>
            <w:r>
              <w:rPr>
                <w:sz w:val="18"/>
                <w:szCs w:val="18"/>
              </w:rPr>
              <w:t>Secretos</w:t>
            </w:r>
          </w:p>
        </w:tc>
        <w:tc>
          <w:tcPr>
            <w:tcW w:w="71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Fuera del repositorio, en variables de entorno o un gestor de secretos.</w:t>
            </w:r>
          </w:p>
        </w:tc>
      </w:tr>
      <w:tr w:rsidR="004634F8" w:rsidRPr="00485088">
        <w:tblPrEx>
          <w:tblCellMar>
            <w:top w:w="0" w:type="dxa"/>
            <w:bottom w:w="0" w:type="dxa"/>
          </w:tblCellMar>
        </w:tblPrEx>
        <w:trPr>
          <w:cantSplit/>
        </w:trPr>
        <w:tc>
          <w:tcPr>
            <w:tcW w:w="1900" w:type="dxa"/>
            <w:shd w:val="clear" w:color="auto" w:fill="auto"/>
            <w:tcMar>
              <w:top w:w="70" w:type="dxa"/>
              <w:left w:w="110" w:type="dxa"/>
              <w:bottom w:w="70" w:type="dxa"/>
              <w:right w:w="110" w:type="dxa"/>
            </w:tcMar>
          </w:tcPr>
          <w:p w:rsidR="004634F8" w:rsidRDefault="00D71D5A">
            <w:pPr>
              <w:spacing w:before="40" w:after="40"/>
            </w:pPr>
            <w:r>
              <w:rPr>
                <w:sz w:val="18"/>
                <w:szCs w:val="18"/>
              </w:rPr>
              <w:t>Dependencias</w:t>
            </w:r>
          </w:p>
        </w:tc>
        <w:tc>
          <w:tcPr>
            <w:tcW w:w="71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Revisión y actualización con alguna disciplina, no una sola vez al empezar.</w:t>
            </w:r>
          </w:p>
        </w:tc>
      </w:tr>
      <w:tr w:rsidR="004634F8" w:rsidRPr="00485088">
        <w:tblPrEx>
          <w:tblCellMar>
            <w:top w:w="0" w:type="dxa"/>
            <w:bottom w:w="0" w:type="dxa"/>
          </w:tblCellMar>
        </w:tblPrEx>
        <w:trPr>
          <w:cantSplit/>
        </w:trPr>
        <w:tc>
          <w:tcPr>
            <w:tcW w:w="1900" w:type="dxa"/>
            <w:shd w:val="clear" w:color="auto" w:fill="F7F9FA"/>
            <w:tcMar>
              <w:top w:w="70" w:type="dxa"/>
              <w:left w:w="110" w:type="dxa"/>
              <w:bottom w:w="70" w:type="dxa"/>
              <w:right w:w="110" w:type="dxa"/>
            </w:tcMar>
          </w:tcPr>
          <w:p w:rsidR="004634F8" w:rsidRDefault="00D71D5A">
            <w:pPr>
              <w:spacing w:before="40" w:after="40"/>
            </w:pPr>
            <w:r>
              <w:rPr>
                <w:sz w:val="18"/>
                <w:szCs w:val="18"/>
              </w:rPr>
              <w:t>Transporte</w:t>
            </w:r>
          </w:p>
        </w:tc>
        <w:tc>
          <w:tcPr>
            <w:tcW w:w="71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HTTPS en todo, sin excepciones para el ambiente de pruebas.</w:t>
            </w:r>
          </w:p>
        </w:tc>
      </w:tr>
    </w:tbl>
    <w:p w:rsidR="004634F8" w:rsidRDefault="00D71D5A">
      <w:pPr>
        <w:pStyle w:val="Ttulo1"/>
        <w:pBdr>
          <w:bottom w:val="single" w:sz="10" w:space="6" w:color="13496B"/>
        </w:pBdr>
        <w:spacing w:before="420" w:after="180"/>
      </w:pPr>
      <w:r>
        <w:rPr>
          <w:b/>
          <w:bCs/>
          <w:color w:val="13496B"/>
          <w:sz w:val="30"/>
          <w:szCs w:val="30"/>
        </w:rPr>
        <w:t>6. Despliegue y operación</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000" w:firstRow="0" w:lastRow="0" w:firstColumn="0" w:lastColumn="0" w:noHBand="0" w:noVBand="0"/>
      </w:tblPr>
      <w:tblGrid>
        <w:gridCol w:w="1900"/>
        <w:gridCol w:w="7120"/>
      </w:tblGrid>
      <w:tr w:rsidR="004634F8">
        <w:tblPrEx>
          <w:tblCellMar>
            <w:top w:w="0" w:type="dxa"/>
            <w:bottom w:w="0" w:type="dxa"/>
          </w:tblCellMar>
        </w:tblPrEx>
        <w:trPr>
          <w:cantSplit/>
          <w:tblHeader/>
        </w:trPr>
        <w:tc>
          <w:tcPr>
            <w:tcW w:w="190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Punto</w:t>
            </w:r>
          </w:p>
        </w:tc>
        <w:tc>
          <w:tcPr>
            <w:tcW w:w="7120" w:type="dxa"/>
            <w:shd w:val="clear" w:color="auto" w:fill="13496B"/>
            <w:tcMar>
              <w:top w:w="70" w:type="dxa"/>
              <w:left w:w="110" w:type="dxa"/>
              <w:bottom w:w="70" w:type="dxa"/>
              <w:right w:w="110" w:type="dxa"/>
            </w:tcMar>
          </w:tcPr>
          <w:p w:rsidR="004634F8" w:rsidRDefault="00D71D5A">
            <w:pPr>
              <w:spacing w:before="40" w:after="40"/>
            </w:pPr>
            <w:r>
              <w:rPr>
                <w:b/>
                <w:bCs/>
                <w:color w:val="FFFFFF"/>
                <w:sz w:val="18"/>
                <w:szCs w:val="18"/>
              </w:rPr>
              <w:t>Qué hacer</w:t>
            </w:r>
          </w:p>
        </w:tc>
      </w:tr>
      <w:tr w:rsidR="004634F8" w:rsidRPr="00485088">
        <w:tblPrEx>
          <w:tblCellMar>
            <w:top w:w="0" w:type="dxa"/>
            <w:bottom w:w="0" w:type="dxa"/>
          </w:tblCellMar>
        </w:tblPrEx>
        <w:trPr>
          <w:cantSplit/>
        </w:trPr>
        <w:tc>
          <w:tcPr>
            <w:tcW w:w="1900" w:type="dxa"/>
            <w:shd w:val="clear" w:color="auto" w:fill="auto"/>
            <w:tcMar>
              <w:top w:w="70" w:type="dxa"/>
              <w:left w:w="110" w:type="dxa"/>
              <w:bottom w:w="70" w:type="dxa"/>
              <w:right w:w="110" w:type="dxa"/>
            </w:tcMar>
          </w:tcPr>
          <w:p w:rsidR="004634F8" w:rsidRDefault="00D71D5A">
            <w:pPr>
              <w:spacing w:before="40" w:after="40"/>
            </w:pPr>
            <w:r>
              <w:rPr>
                <w:sz w:val="18"/>
                <w:szCs w:val="18"/>
              </w:rPr>
              <w:t>Ambientes</w:t>
            </w:r>
          </w:p>
        </w:tc>
        <w:tc>
          <w:tcPr>
            <w:tcW w:w="71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Uno de pruebas separado del de producción, con datos que no sean reales.</w:t>
            </w:r>
          </w:p>
        </w:tc>
      </w:tr>
      <w:tr w:rsidR="004634F8" w:rsidRPr="00485088">
        <w:tblPrEx>
          <w:tblCellMar>
            <w:top w:w="0" w:type="dxa"/>
            <w:bottom w:w="0" w:type="dxa"/>
          </w:tblCellMar>
        </w:tblPrEx>
        <w:trPr>
          <w:cantSplit/>
        </w:trPr>
        <w:tc>
          <w:tcPr>
            <w:tcW w:w="1900" w:type="dxa"/>
            <w:shd w:val="clear" w:color="auto" w:fill="F7F9FA"/>
            <w:tcMar>
              <w:top w:w="70" w:type="dxa"/>
              <w:left w:w="110" w:type="dxa"/>
              <w:bottom w:w="70" w:type="dxa"/>
              <w:right w:w="110" w:type="dxa"/>
            </w:tcMar>
          </w:tcPr>
          <w:p w:rsidR="004634F8" w:rsidRDefault="00D71D5A">
            <w:pPr>
              <w:spacing w:before="40" w:after="40"/>
            </w:pPr>
            <w:r>
              <w:rPr>
                <w:sz w:val="18"/>
                <w:szCs w:val="18"/>
              </w:rPr>
              <w:t>Respaldos</w:t>
            </w:r>
          </w:p>
        </w:tc>
        <w:tc>
          <w:tcPr>
            <w:tcW w:w="71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Periódicos y, sobre todo, restaurados al menos una vez. Un respaldo que nunca se restauró no es un respaldo, es una carpeta.</w:t>
            </w:r>
          </w:p>
        </w:tc>
      </w:tr>
      <w:tr w:rsidR="004634F8" w:rsidRPr="00485088">
        <w:tblPrEx>
          <w:tblCellMar>
            <w:top w:w="0" w:type="dxa"/>
            <w:bottom w:w="0" w:type="dxa"/>
          </w:tblCellMar>
        </w:tblPrEx>
        <w:trPr>
          <w:cantSplit/>
        </w:trPr>
        <w:tc>
          <w:tcPr>
            <w:tcW w:w="1900" w:type="dxa"/>
            <w:shd w:val="clear" w:color="auto" w:fill="auto"/>
            <w:tcMar>
              <w:top w:w="70" w:type="dxa"/>
              <w:left w:w="110" w:type="dxa"/>
              <w:bottom w:w="70" w:type="dxa"/>
              <w:right w:w="110" w:type="dxa"/>
            </w:tcMar>
          </w:tcPr>
          <w:p w:rsidR="004634F8" w:rsidRDefault="00D71D5A">
            <w:pPr>
              <w:spacing w:before="40" w:after="40"/>
            </w:pPr>
            <w:r>
              <w:rPr>
                <w:sz w:val="18"/>
                <w:szCs w:val="18"/>
              </w:rPr>
              <w:t>Migraciones</w:t>
            </w:r>
          </w:p>
        </w:tc>
        <w:tc>
          <w:tcPr>
            <w:tcW w:w="71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 xml:space="preserve">Desde el 14 de octubre de 2026 el esquema cambia solo por migraciones (D-77). El 05 quedó congelado como la migración 0; cada cambio es un archivo numerado en docs/migraciones con su archivo para revertirlo, y npm run migrar aplica las que falten y se detiene si la huella de una ya aplicada cambió. Cada migración corre en una sola transacción, solo como superusuario y bajo un candado que impide dos a la vez; plataforma.fn_migracion_iniciar impide repetir una o saltarse un número, y plataforma.fn_migracion_verificar se niega a terminar si queda una tabla de empresa sin aislar (app.fn_verificar_rls) o una función SECURITY DEFINER mal asegurada (app.fn_verificar_funciones). La aplicación corre siempre con el rol sin privilegios.</w:t>
            </w:r>
          </w:p>
        </w:tc>
      </w:tr>
      <w:tr w:rsidR="004634F8" w:rsidRPr="00485088">
        <w:tblPrEx>
          <w:tblCellMar>
            <w:top w:w="0" w:type="dxa"/>
            <w:bottom w:w="0" w:type="dxa"/>
          </w:tblCellMar>
        </w:tblPrEx>
        <w:trPr>
          <w:cantSplit/>
        </w:trPr>
        <w:tc>
          <w:tcPr>
            <w:tcW w:w="1900" w:type="dxa"/>
            <w:shd w:val="clear" w:color="auto" w:fill="F7F9FA"/>
            <w:tcMar>
              <w:top w:w="70" w:type="dxa"/>
              <w:left w:w="110" w:type="dxa"/>
              <w:bottom w:w="70" w:type="dxa"/>
              <w:right w:w="110" w:type="dxa"/>
            </w:tcMar>
          </w:tcPr>
          <w:p w:rsidR="004634F8" w:rsidRDefault="00D71D5A">
            <w:pPr>
              <w:spacing w:before="40" w:after="40"/>
            </w:pPr>
            <w:r>
              <w:rPr>
                <w:sz w:val="18"/>
                <w:szCs w:val="18"/>
              </w:rPr>
              <w:t>Observabilidad</w:t>
            </w:r>
          </w:p>
        </w:tc>
        <w:tc>
          <w:tcPr>
            <w:tcW w:w="71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Registro de errores con alerta. Si una constructora depende del sistema para entregar una oferta el viernes, enterarse el lunes no sirve.</w:t>
            </w:r>
          </w:p>
        </w:tc>
      </w:tr>
      <w:tr w:rsidR="004634F8" w:rsidRPr="00485088">
        <w:tblPrEx>
          <w:tblCellMar>
            <w:top w:w="0" w:type="dxa"/>
            <w:bottom w:w="0" w:type="dxa"/>
          </w:tblCellMar>
        </w:tblPrEx>
        <w:trPr>
          <w:cantSplit/>
        </w:trPr>
        <w:tc>
          <w:tcPr>
            <w:tcW w:w="1900" w:type="dxa"/>
            <w:shd w:val="clear" w:color="auto" w:fill="auto"/>
            <w:tcMar>
              <w:top w:w="70" w:type="dxa"/>
              <w:left w:w="110" w:type="dxa"/>
              <w:bottom w:w="70" w:type="dxa"/>
              <w:right w:w="110" w:type="dxa"/>
            </w:tcMar>
          </w:tcPr>
          <w:p w:rsidR="004634F8" w:rsidRDefault="00D71D5A">
            <w:pPr>
              <w:spacing w:before="40" w:after="40"/>
            </w:pPr>
            <w:r>
              <w:rPr>
                <w:sz w:val="18"/>
                <w:szCs w:val="18"/>
              </w:rPr>
              <w:t>Versión de Postgres</w:t>
            </w:r>
          </w:p>
        </w:tc>
        <w:tc>
          <w:tcPr>
            <w:tcW w:w="7120" w:type="dxa"/>
            <w:shd w:val="clear" w:color="auto" w:fill="auto"/>
            <w:tcMar>
              <w:top w:w="70" w:type="dxa"/>
              <w:left w:w="110" w:type="dxa"/>
              <w:bottom w:w="70" w:type="dxa"/>
              <w:right w:w="110" w:type="dxa"/>
            </w:tcMar>
          </w:tcPr>
          <w:p w:rsidR="004634F8" w:rsidRPr="00485088" w:rsidRDefault="00D71D5A">
            <w:pPr>
              <w:spacing w:before="40" w:after="40"/>
              <w:rPr>
                <w:lang w:val="es-CO"/>
              </w:rPr>
            </w:pPr>
            <w:r>
              <w:rPr>
                <w:sz w:val="18"/>
                <w:szCs w:val="18"/>
                <w:lang w:val="es-CO"/>
              </w:rPr>
              <w:t>El esquema corre desde la 15. El MVP no tiene vistas y el archivo funcionaría desde la 13; el piso se fija en la 15 porque el bloque que endurece vistas usa security_invoker, y así la primera vista que se agregue nace aislada. Las llaves primarias ya no usan gen_random_uuid() sino app.uuid_v7(), monótona dentro de cada milisegundo (D-48): los identificadores aleatorios fragmentan el índice y multiplican por más de tres el registro de transacciones, los ordenados por tiempo no. Si se despliega sobre la 18 o superior, esa función se sustituye por la uuidv7() nativa y no cambia nada más.</w:t>
            </w:r>
          </w:p>
        </w:tc>
      </w:tr>
      <w:tr w:rsidR="004634F8" w:rsidRPr="00485088">
        <w:tblPrEx>
          <w:tblCellMar>
            <w:top w:w="0" w:type="dxa"/>
            <w:bottom w:w="0" w:type="dxa"/>
          </w:tblCellMar>
        </w:tblPrEx>
        <w:trPr>
          <w:cantSplit/>
        </w:trPr>
        <w:tc>
          <w:tcPr>
            <w:tcW w:w="1900" w:type="dxa"/>
            <w:shd w:val="clear" w:color="auto" w:fill="F7F9FA"/>
            <w:tcMar>
              <w:top w:w="70" w:type="dxa"/>
              <w:left w:w="110" w:type="dxa"/>
              <w:bottom w:w="70" w:type="dxa"/>
              <w:right w:w="110" w:type="dxa"/>
            </w:tcMar>
          </w:tcPr>
          <w:p w:rsidR="004634F8" w:rsidRDefault="00D71D5A">
            <w:pPr>
              <w:spacing w:before="40" w:after="40"/>
            </w:pPr>
            <w:r>
              <w:rPr>
                <w:sz w:val="18"/>
                <w:szCs w:val="18"/>
              </w:rPr>
              <w:t>Pruebas</w:t>
            </w:r>
          </w:p>
        </w:tc>
        <w:tc>
          <w:tcPr>
            <w:tcW w:w="7120" w:type="dxa"/>
            <w:shd w:val="clear" w:color="auto" w:fill="F7F9FA"/>
            <w:tcMar>
              <w:top w:w="70" w:type="dxa"/>
              <w:left w:w="110" w:type="dxa"/>
              <w:bottom w:w="70" w:type="dxa"/>
              <w:right w:w="110" w:type="dxa"/>
            </w:tcMar>
          </w:tcPr>
          <w:p w:rsidR="004634F8" w:rsidRPr="00485088" w:rsidRDefault="00D71D5A">
            <w:pPr>
              <w:spacing w:before="40" w:after="40"/>
              <w:rPr>
                <w:lang w:val="es-CO"/>
              </w:rPr>
            </w:pPr>
            <w:r>
              <w:rPr>
                <w:sz w:val="18"/>
                <w:szCs w:val="18"/>
                <w:lang w:val="es-CO"/>
              </w:rPr>
              <w:t>Contra una base de datos real. El esquema defiende las reglas con triggers, así que una prueba con base simulada puede pasar en verde mientras el sistema real rechaza la operación. Y para comprobar que una prueba detecta lo que dice detectar, se quita a propósito una defensa del código y se mira qué prueba cae. SE QUITA UNA A LA VEZ: con varias quitadas juntas, unas tapan a otras. En la rebanada 6.1, sin la comparación del sello y sin el rehash al mismo tiempo, la prueba del rehash seguía pasando porque ninguna cookie vieja fallaba. Un rojo con varias defensas quitadas no demuestra nada sobre cada una.</w:t>
            </w:r>
          </w:p>
        </w:tc>
      </w:tr>
    </w:tbl>
    <w:p w:rsidR="004634F8" w:rsidRPr="00485088" w:rsidRDefault="00D71D5A">
      <w:pPr>
        <w:pStyle w:val="Ttulo1"/>
        <w:pBdr>
          <w:bottom w:val="single" w:sz="10" w:space="6" w:color="13496B"/>
        </w:pBdr>
        <w:spacing w:before="420" w:after="180"/>
        <w:rPr>
          <w:lang w:val="es-CO"/>
        </w:rPr>
      </w:pPr>
      <w:r>
        <w:rPr>
          <w:b/>
          <w:bCs/>
          <w:color w:val="13496B"/>
          <w:sz w:val="30"/>
          <w:szCs w:val="30"/>
          <w:lang w:val="es-CO"/>
        </w:rPr>
        <w:lastRenderedPageBreak/>
        <w:t>7. Una nota sobre datos personales</w:t>
      </w:r>
    </w:p>
    <w:p w:rsidR="004634F8" w:rsidRPr="00485088" w:rsidRDefault="00D71D5A">
      <w:pPr>
        <w:spacing w:after="120" w:line="276" w:lineRule="auto"/>
        <w:jc w:val="both"/>
        <w:rPr>
          <w:lang w:val="es-CO"/>
        </w:rPr>
      </w:pPr>
      <w:r>
        <w:rPr>
          <w:lang w:val="es-CO"/>
        </w:rPr>
        <w:t>El sistema almacena datos personales de los usuarios de las empresas clientes, de modo que la Ley 1581 de 2012 le aplica.</w:t>
      </w:r>
    </w:p>
    <w:p w:rsidR="004634F8" w:rsidRPr="00485088" w:rsidRDefault="00D71D5A">
      <w:pPr>
        <w:spacing w:after="120" w:line="276" w:lineRule="auto"/>
        <w:jc w:val="both"/>
        <w:rPr>
          <w:lang w:val="es-CO"/>
        </w:rPr>
      </w:pPr>
      <w:r>
        <w:rPr>
          <w:lang w:val="es-CO"/>
        </w:rPr>
        <w:t>Es uno de los puntos abiertos de la sección 17 del documento 01: el formulario de registro no pide aceptar términos ni política de tratamiento, y no hay aviso de privacidad. En implementación es una casilla y dos páginas públicas; lo que falta es el texto. El registro en el Registro Nacional de Bases de Datos de la Superintendencia de Industria y Comercio solo obliga a empresas con activos totales superiores a 100.000 UVT —del orden de 5.237 millones de pesos en 2026—, así que a la escala de arranque probablemente no aplica. Pero las demás obligaciones no tienen umbral: política de tratamiento de datos, aviso de privacidad, autorización del titular y un canal para atender reclamos de habeas data.</w:t>
      </w:r>
    </w:p>
    <w:p>
      <w:pPr/>
      <w:r>
        <w:t>Al 1 de octubre de 2026 eso está resuelto a medias, y conviene saber de qué mitad se trata. El esquema ya tiene las dos columnas —plataforma.tenant.acepto_terminos_en y version_terminos— y la aplicación puede escribirlas. Lo que falta es la pantalla: el registro de la rebanada 6.1 tiene que pedir la aceptación y llenarlas. Si ese endpoint se escribe sin hacerlo, el hueco queda en la primera pantalla que ve un cliente, que es el peor lugar para tenerlo.</w:t>
      </w:r>
    </w:p>
    <w:p w:rsidR="004634F8" w:rsidRDefault="00D71D5A">
      <w:pPr>
        <w:spacing w:after="120" w:line="276" w:lineRule="auto"/>
        <w:jc w:val="both"/>
      </w:pPr>
      <w:r>
        <w:rPr>
          <w:lang w:val="es-CO"/>
        </w:rPr>
        <w:t xml:space="preserve">Hay además un matiz que afecta los contratos con los clientes: frente a los datos de los usuarios propios la empresa es responsable del tratamiento, mientras que frente a los datos que los clientes cargan en la plataforma es encargada. </w:t>
      </w:r>
      <w:r>
        <w:t>Esa distinción normalmente se firma.</w:t>
      </w:r>
    </w:p>
    <w:tbl>
      <w:tblPr>
        <w:tblW w:w="9020" w:type="dxa"/>
        <w:tblBorders>
          <w:top w:val="none" w:sz="0" w:space="0" w:color="FFFFFF"/>
          <w:left w:val="single" w:sz="18" w:space="0" w:color="B07A22"/>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4634F8" w:rsidRPr="00485088">
        <w:tblPrEx>
          <w:tblCellMar>
            <w:top w:w="0" w:type="dxa"/>
            <w:bottom w:w="0" w:type="dxa"/>
          </w:tblCellMar>
        </w:tblPrEx>
        <w:trPr>
          <w:cantSplit/>
        </w:trPr>
        <w:tc>
          <w:tcPr>
            <w:tcW w:w="9020" w:type="dxa"/>
            <w:shd w:val="clear" w:color="auto" w:fill="FBF5E9"/>
            <w:tcMar>
              <w:top w:w="140" w:type="dxa"/>
              <w:left w:w="200" w:type="dxa"/>
              <w:bottom w:w="140" w:type="dxa"/>
              <w:right w:w="180" w:type="dxa"/>
            </w:tcMar>
          </w:tcPr>
          <w:p w:rsidR="004634F8" w:rsidRPr="00485088" w:rsidRDefault="00D71D5A">
            <w:pPr>
              <w:spacing w:before="40" w:after="90"/>
              <w:rPr>
                <w:lang w:val="es-CO"/>
              </w:rPr>
            </w:pPr>
            <w:r>
              <w:rPr>
                <w:b/>
                <w:bCs/>
                <w:caps/>
                <w:color w:val="B07A22"/>
                <w:sz w:val="18"/>
                <w:szCs w:val="18"/>
                <w:lang w:val="es-CO"/>
              </w:rPr>
              <w:t>Esto no es asesoría legal</w:t>
            </w:r>
          </w:p>
          <w:p w:rsidR="004634F8" w:rsidRPr="00485088" w:rsidRDefault="00D71D5A">
            <w:pPr>
              <w:spacing w:after="40" w:line="276" w:lineRule="auto"/>
              <w:jc w:val="both"/>
              <w:rPr>
                <w:lang w:val="es-CO"/>
              </w:rPr>
            </w:pPr>
            <w:r>
              <w:rPr>
                <w:sz w:val="19"/>
                <w:szCs w:val="19"/>
                <w:lang w:val="es-CO"/>
              </w:rPr>
              <w:t xml:space="preserve">Se menciona porque es el tipo de obligación que se descubre tarde y cuesta caro, no porque quien escribe esto sea abogado. Conviene revisarlo con uno antes de firmar el primer contrato.</w:t>
            </w:r>
          </w:p>
        </w:tc>
      </w:tr>
    </w:tbl>
    <w:p w:rsidR="004634F8" w:rsidRPr="00485088" w:rsidRDefault="004634F8">
      <w:pPr>
        <w:spacing w:after="200"/>
        <w:rPr>
          <w:lang w:val="es-CO"/>
        </w:rPr>
      </w:pPr>
    </w:p>
    <w:p>
      <w:pPr>
        <w:pStyle w:val="Ttulo1"/>
      </w:pPr>
      <w:r>
        <w:t>8. Lo que decidió la fase 6</w:t>
      </w:r>
    </w:p>
    <w:p>
      <w:pPr/>
      <w:r>
        <w:t>La aplicación web se construye en cuatro rebanadas verticales —(1) sesión, aislamiento y una pantalla real; (2) recursos y APU; (3) la mesa de trabajo del presupuesto; (4) aprobación y exportación—, y la API se deriva de las pantallas del documento 02, no se construye completa primero. Estas decisiones se tomaron el 30 de septiembre y el 1 de octubre de 2026, antes de escribir la primera rebanada.</w:t>
      </w:r>
    </w:p>
    <w:p>
      <w:pPr>
        <w:pStyle w:val="Ttulo2"/>
      </w:pPr>
      <w:r>
        <w:t>8.1 La sesión</w:t>
      </w:r>
    </w:p>
    <w:p>
      <w:pPr/>
      <w:r>
        <w:t>Cookie firmada, HttpOnly, Secure y SameSite=Strict, con el usuario y la empresa dentro, que vence a las 8 horas. Sin tabla de sesiones. La clave de firma va en SESSION_SECRET del .env, que escribe el dueño y ningún asistente.</w:t>
      </w:r>
    </w:p>
    <w:p>
      <w:pPr/>
      <w:r>
        <w:t>Lo que reemplaza a la tabla es el sello de credenciales, app.usuario.credenciales_en (D-67). La cookie lleva el valor que el sello tenía al ingresar y el servidor lo compara con el de la fila en cada petición: si no coinciden, la cookie es vieja y se rechaza. Cambiar la contraseña invalida entonces todas las sesiones anteriores, y «cerrar sesión en todos los dispositivos» sale de ahí sin tabla ninguna. Lo escribe un disparador y no la aplicación, para que funcione aunque quien escriba ese código no se acuerde; y el mismo disparador rechaza que se escriba a mano, porque la conexión de la aplicación tiene UPDATE sobre toda app.usuario y sin esa rama podría fijar el sello en lo que llevara la cookie.</w:t>
      </w:r>
    </w:p>
    <w:p>
      <w:pPr/>
      <w:r>
        <w:t>SameSite=Strict queda con fecha de revisión. Cuando la fase 8 mande los avisos de cambio de estado (D-27), el primer clic desde esos correos va a mostrar al usuario como si no hubiera entrado, y probablemente haya que pasar a Lax. El enlace de recuperación no sufre ese problema, porque esa página no necesita sesión: el token viaja en la URL.</w:t>
      </w:r>
    </w:p>
    <w:p>
      <w:pPr>
        <w:pStyle w:val="Ttulo2"/>
      </w:pPr>
      <w:r>
        <w:t>8.2 Las contraseñas</w:t>
      </w:r>
    </w:p>
    <w:p>
      <w:pPr/>
      <w:r>
        <w:t>argon2id con @node-rs/argon2, y estos parámetros: memoria 19456 KiB, 2 iteraciones, paralelismo 1, salida de 32 bytes y sal de 16. Son el piso que recomienda OWASP, no un techo: si el servidor lo aguanta, se suben.</w:t>
      </w:r>
    </w:p>
    <w:p>
      <w:pPr/>
      <w:r>
        <w:t>Dos reglas van pegadas a esos números y sin ellas los números no sirven. La primera: el hash falso que se verifica cuando el correo no existe usa exactamente los mismos parámetros, leídos de la misma constante que los hashes reales. Si se separan, el tiempo de respuesta vuelve a delatar qué correos existen y la defensa deja de defender. La segunda: al ingresar, si el hash guardado se hizo con parámetros viejos, se rehace ahí mismo con los nuevos —Argon2 guarda sus parámetros dentro del propio hash, así que se puede saber—. Sin esa segunda regla, el día que se suban los números solo quedan protegidos los usuarios nuevos, y los viejos nunca.</w:t>
      </w:r>
    </w:p>
    <w:p>
      <w:pPr/>
      <w:r>
        <w:t>Un usuario PENDIENTE existe y no tiene contraseña: password_hash es nulo hasta que consume su enlace de activación. El documento 02 §3.2 le da su propio aviso, y ese aviso revela que el correo existe. Es una concesión aceptada y conviene que quede escrita: la indistinguibilidad cubre «el correo no existe» y «existe con contraseña incorrecta», no «existe y está pendiente».</w:t>
      </w:r>
    </w:p>
    <w:p>
      <w:r>
        <w:t xml:space="preserve">En el código eso se ve en el tipo: UsuarioAutenticado.passwordHash es string | null, no string, para que el compilador obligue a tratar el caso. El ingreso no le pasa nunca un nulo a Argon2: un hash nulo es «pendiente» y responde con el aviso de la §3.2. La corrección es del 1 de octubre de 2026; antes el tipo decía string y mentía sobre la columna.</w:t>
      </w:r>
    </w:p>
    <w:p>
      <w:pPr>
        <w:pStyle w:val="Ttulo2"/>
      </w:pPr>
      <w:r>
        <w:t>8.3 Dos conexiones, no una</w:t>
      </w:r>
    </w:p>
    <w:p>
      <w:pPr/>
      <w:r>
        <w:t>auth_login resuelve el ingreso y app_login hace todo lo demás. No es una preferencia de diseño que se pueda simplificar: app_login no alcanza fn_autenticar y la base lo rechaza (D-50). Una API con un solo agrupador de conexiones no puede autenticar, y descubrirlo tarde obliga a rehacer la capa de acceso.</w:t>
      </w:r>
    </w:p>
    <w:p>
      <w:pPr>
        <w:pStyle w:val="Ttulo2"/>
      </w:pPr>
      <w:r>
        <w:t>8.4 Los códigos de rechazo</w:t>
      </w:r>
    </w:p>
    <w:p>
      <w:pPr/>
      <w:r>
        <w:t>fn_exigir_permiso levanta un SQLSTATE propio por cada motivo (D-66). Antes de eso el esquema no usaba ni un ERRCODE y la única forma que tenía la API de distinguir un rechazo de otro era leer el mensaje en español, con lo que corregir una tilde rompía una pantalla. La traducción a HTTP vive en un solo módulo; si aparece en dos, ya se rompió. El árbitro de esta tabla es el COMMENT ON FUNCTION del esquema.</w:t>
      </w:r>
    </w:p>
    <w:tbl>
      <w:tblPr>
        <w:tblW w:type="auto" w:w="0"/>
        <w:tblLook w:firstColumn="1" w:firstRow="1" w:lastColumn="0" w:lastRow="0" w:noHBand="0" w:noVBand="1" w:val="04A0"/>
      </w:tblPr>
      <w:tblGrid>
        <w:gridCol w:w="3009"/>
        <w:gridCol w:w="3009"/>
        <w:gridCol w:w="3009"/>
      </w:tblGrid>
      <w:tr>
        <w:tc>
          <w:tcPr>
            <w:tcW w:type="dxa" w:w="3009"/>
          </w:tcPr>
          <w:p>
            <w:r>
              <w:rPr>
                <w:b/>
              </w:rPr>
              <w:t>SQLSTATE</w:t>
            </w:r>
          </w:p>
        </w:tc>
        <w:tc>
          <w:tcPr>
            <w:tcW w:type="dxa" w:w="3009"/>
          </w:tcPr>
          <w:p>
            <w:r>
              <w:rPr>
                <w:b/>
              </w:rPr>
              <w:t>Qué pasó</w:t>
            </w:r>
          </w:p>
        </w:tc>
        <w:tc>
          <w:tcPr>
            <w:tcW w:type="dxa" w:w="3009"/>
          </w:tcPr>
          <w:p>
            <w:r>
              <w:rPr>
                <w:b/>
              </w:rPr>
              <w:t>Respuesta HTTP</w:t>
            </w:r>
          </w:p>
        </w:tc>
      </w:tr>
      <w:tr>
        <w:tc>
          <w:tcPr>
            <w:tcW w:type="dxa" w:w="3009"/>
          </w:tcPr>
          <w:p>
            <w:r>
              <w:t>CS000</w:t>
            </w:r>
          </w:p>
        </w:tc>
        <w:tc>
          <w:tcPr>
            <w:tcW w:type="dxa" w:w="3009"/>
          </w:tcPr>
          <w:p>
            <w:r>
              <w:t>El permiso no existe en el catálogo. Es un error de programación, no una falta de autorización.</w:t>
            </w:r>
          </w:p>
        </w:tc>
        <w:tc>
          <w:tcPr>
            <w:tcW w:type="dxa" w:w="3009"/>
          </w:tcPr>
          <w:p>
            <w:r>
              <w:t>500. No se le muestra al usuario.</w:t>
            </w:r>
          </w:p>
        </w:tc>
      </w:tr>
      <w:tr>
        <w:tc>
          <w:tcPr>
            <w:tcW w:type="dxa" w:w="3009"/>
          </w:tcPr>
          <w:p>
            <w:r>
              <w:t>CS001</w:t>
            </w:r>
          </w:p>
        </w:tc>
        <w:tc>
          <w:tcPr>
            <w:tcW w:type="dxa" w:w="3009"/>
          </w:tcPr>
          <w:p>
            <w:r>
              <w:t>No hay usuario en el contexto de la transacción.</w:t>
            </w:r>
          </w:p>
        </w:tc>
        <w:tc>
          <w:tcPr>
            <w:tcW w:type="dxa" w:w="3009"/>
          </w:tcPr>
          <w:p>
            <w:r>
              <w:t>401</w:t>
            </w:r>
          </w:p>
        </w:tc>
      </w:tr>
      <w:tr>
        <w:tc>
          <w:tcPr>
            <w:tcW w:type="dxa" w:w="3009"/>
          </w:tcPr>
          <w:p>
            <w:r>
              <w:t>CS002</w:t>
            </w:r>
          </w:p>
        </w:tc>
        <w:tc>
          <w:tcPr>
            <w:tcW w:type="dxa" w:w="3009"/>
          </w:tcPr>
          <w:p>
            <w:r>
              <w:t>El usuario del contexto no es de esta empresa, o no existe. Bajo aislamiento las dos cosas son la misma.</w:t>
            </w:r>
          </w:p>
        </w:tc>
        <w:tc>
          <w:tcPr>
            <w:tcW w:type="dxa" w:w="3009"/>
          </w:tcPr>
          <w:p>
            <w:r>
              <w:t>401</w:t>
            </w:r>
          </w:p>
        </w:tc>
      </w:tr>
      <w:tr>
        <w:tc>
          <w:tcPr>
            <w:tcW w:type="dxa" w:w="3009"/>
          </w:tcPr>
          <w:p>
            <w:r>
              <w:t>CS003</w:t>
            </w:r>
          </w:p>
        </w:tc>
        <w:tc>
          <w:tcPr>
            <w:tcW w:type="dxa" w:w="3009"/>
          </w:tcPr>
          <w:p>
            <w:r>
              <w:t>La cuenta no está ACTIVA: está PENDIENTE o REVOCADA.</w:t>
            </w:r>
          </w:p>
        </w:tc>
        <w:tc>
          <w:tcPr>
            <w:tcW w:type="dxa" w:w="3009"/>
          </w:tcPr>
          <w:p>
            <w:r>
              <w:t>403, y se borra la cookie: esa sesión no se recupera.</w:t>
            </w:r>
          </w:p>
        </w:tc>
      </w:tr>
      <w:tr>
        <w:tc>
          <w:tcPr>
            <w:tcW w:type="dxa" w:w="3009"/>
          </w:tcPr>
          <w:p>
            <w:r>
              <w:t>CS004</w:t>
            </w:r>
          </w:p>
        </w:tc>
        <w:tc>
          <w:tcPr>
            <w:tcW w:type="dxa" w:w="3009"/>
          </w:tcPr>
          <w:p>
            <w:r>
              <w:t>El rol del usuario no tiene el permiso.</w:t>
            </w:r>
          </w:p>
        </w:tc>
        <w:tc>
          <w:tcPr>
            <w:tcW w:type="dxa" w:w="3009"/>
          </w:tcPr>
          <w:p>
            <w:r>
              <w:t>403</w:t>
            </w:r>
          </w:p>
        </w:tc>
      </w:tr>
      <w:tr>
        <w:tc>
          <w:tcPr>
            <w:tcW w:type="dxa" w:w="3009"/>
          </w:tcPr>
          <w:p>
            <w:r>
              <w:rPr/>
              <w:t xml:space="preserve">CS005</w:t>
            </w:r>
          </w:p>
        </w:tc>
        <w:tc>
          <w:tcPr>
            <w:tcW w:type="dxa" w:w="3009"/>
          </w:tcPr>
          <w:p>
            <w:r>
              <w:rPr/>
              <w:t xml:space="preserve">La cuenta está en solo lectura —la prueba terminó sin pago— y la acción escribe (D-65, D-76).</w:t>
            </w:r>
          </w:p>
        </w:tc>
        <w:tc>
          <w:tcPr>
            <w:tcW w:type="dxa" w:w="3009"/>
          </w:tcPr>
          <w:p>
            <w:r>
              <w:rPr/>
              <w:t xml:space="preserve">402</w:t>
            </w:r>
          </w:p>
        </w:tc>
      </w:tr>
      <w:tr>
        <w:tc>
          <w:tcPr>
            <w:tcW w:type="dxa" w:w="3009"/>
          </w:tcPr>
          <w:p>
            <w:r>
              <w:rPr/>
              <w:t xml:space="preserve">CS006</w:t>
            </w:r>
          </w:p>
        </w:tc>
        <w:tc>
          <w:tcPr>
            <w:tcW w:type="dxa" w:w="3009"/>
          </w:tcPr>
          <w:p>
            <w:r>
              <w:rPr/>
              <w:t xml:space="preserve">La cuenta está suspendida o cancelada y la acción no es la suscripción ni exportar (D-74, D-76).</w:t>
            </w:r>
          </w:p>
        </w:tc>
        <w:tc>
          <w:tcPr>
            <w:tcW w:type="dxa" w:w="3009"/>
          </w:tcPr>
          <w:p>
            <w:r>
              <w:rPr/>
              <w:t xml:space="preserve">423</w:t>
            </w:r>
          </w:p>
        </w:tc>
      </w:tr>
    </w:tbl>
    <w:p>
      <w:pPr/>
      <w:r>
        <w:t>Con la suscripción vencida (D-65) el sistema queda en solo lectura: consultar y exportar responden 200, y cualquier escritura devuelve 402. La regla no es una lista de excepciones sino una condición sobre app.permiso.accion, así que los permisos que agregue la fase 2 caen del lado correcto el día que se crean.</w:t>
      </w:r>
    </w:p>
    <w:p>
      <w:pPr/>
      <w:r>
        <w:t>CS005 se comprueba DESPUÉS de CS004, y el orden es parte de la decisión. Si fuera antes, un usuario cuyo rol nunca tuvo el permiso recibiría 402, la interfaz lo mandaría a la pantalla de suscripción, y esa pantalla —que exige CONFIG.SUSCRIPCION— lo rechazaría otra vez.</w:t>
      </w:r>
    </w:p>
    <w:p>
      <w:pPr/>
      <w:r>
        <w:t>Lo que esta tabla todavía no distingue: «el dato que mandaste no sirve» y «el mundo cambió debajo tuyo». Los rechazos de negocio de la base salen todos con el mismo SQLSTATE, así que «el presupuesto ya no está Abierto» —que ocurre cuando alguien lo activó en otra pestaña— llega a la interfaz como un 422 igual que una cantidad negativa, y la pantalla marca un campo que no tiene nada de malo en vez de recargar. Separarlos pide un SQLSTATE propio para el estado, o sea un cambio de esquema. Hasta que exista, la interfaz distingue por si el error trae el nombre de un campo o no.</w:t>
      </w:r>
    </w:p>
    <w:p>
      <w:pPr>
        <w:pStyle w:val="Ttulo2"/>
      </w:pPr>
      <w:r>
        <w:t>8.5 Lo que todavía no está construido</w:t>
      </w:r>
    </w:p>
    <w:p>
      <w:pPr/>
      <w:r>
        <w:t>El propósito RESTABLECIMIENTO de los tokens —el enlace que genera el administrador de la empresa, o el dueño, y que se entrega a mano; 24 horas de vigencia y una columna emitido_por— está aprobado de diseño y no está en el esquema, porque el documento 02 todavía no describe esa pantalla. emitido_por no será exclusiva de ese propósito: ACTIVACION también la emite una persona. Mientras no entre, un usuario que olvida su contraseña depende del dueño, que genera un token de RECUPERACION y lo entrega; ese vive 30 minutos, que para un envío a mano es apretado.</w:t>
      </w:r>
    </w:p>
    <w:p>
      <w:pPr>
        <w:pStyle w:val="Ttulo2"/>
      </w:pPr>
      <w:r>
        <w:t>8.6 Detalles de la rebanada 6.1</w:t>
      </w:r>
    </w:p>
    <w:p>
      <w:pPr/>
      <w:r>
        <w:t>Límite de intentos. Cinco fallos por correo y veinte por IP dentro de quince minutos en el ingreso, y diez enlaces inválidos por IP en la ruta que los consume. El bloqueo se mira ANTES de verificar la contraseña, así que mientras dura ni la correcta abre: si abriera, el bloqueo no frenaría nada. Un correo que no existe se bloquea igual, para que el bloqueo no delate qué correos tienen cuenta. El contador vive en la memoria del proceso, y eso tiene dos consecuencias: con más de una instancia cada una cuenta por su lado, y reiniciar el servidor borra los bloqueos, así que un proceso que se reinicia en bucle recupera presupuesto de intentos. Cualquiera de las dos es motivo para mover el contador a la base.</w:t>
      </w:r>
    </w:p>
    <w:p>
      <w:pPr/>
      <w:r>
        <w:t>Tokens. El enlace lleva 32 bytes de crypto.randomBytes en base64url; la base guarda su SHA-256 en hexadecimal. No hace falta Argon2: un token de 256 bits aleatorios no se adivina por fuerza bruta, a diferencia de una contraseña elegida por una persona. Lo que frena una serie de intentos contra los enlaces es el límite por IP de la ruta que los consume.</w:t>
      </w:r>
    </w:p>
    <w:p>
      <w:pPr/>
      <w:r>
        <w:t>Proxy. trustProxy nunca es true. Con true, Fastify cree cualquier X-Forwarded-For, y si la aplicación es alcanzable sin pasar por el proxy, un cliente escribe la IP que quiera y el límite de intentos por IP deja de existir —no protege menos: no protege nada—. Se configura con PROXIES_DE_CONFIANZA, que acepta solo la dirección o la subred del proxy concreto, y la API rechaza true al arrancar. Sin esa variable, la IP es la de la conexión, y detrás de un proxy todas las peticiones parecerían venir de él: el límite por IP bloquearía a todos los usuarios a la vez. Es lo primero que va a fallar en el primer despliegue.</w:t>
      </w:r>
    </w:p>
    <w:p>
      <w:pPr/>
      <w:r>
        <w:t>Mensajes de error. Los errores que levanta la base llegan con su SQLSTATE y los traduce un solo módulo (§8.4). Los que levanta el propio código son de dos clases: ErrorParaElUsuario, cuyo texto está escrito para la persona —un enlace vencido, un capítulo que no existe— y se muestra tal cual con 404 o 422; y cualquier otro error, que es de programación, responde 500 y nunca muestra su texto. El cuerpo es plano: { mensaje, campo? }, sin sobre envolvente, porque el estado HTTP ya dice que es un error.</w:t>
      </w:r>
    </w:p>
    <w:p>
      <w:pPr/>
      <w:r>
        <w:t>Términos provisionales. Mientras los términos no hayan pasado por un abogado, la versión se llama PROVISIONAL-&lt;fecha&gt; y la API se niega a arrancar con ella salvo que TERMINOS_PROVISIONALES=si esté escrito a mano: olvidarse de configurar algo no arranca. No depende de NODE_ENV. La página sirve el borrador completo de prototipo/legal.html —los cuatro documentos, leídos del archivo y no copiados— y cada documento empieza por un aviso de que el texto no pasó por revisión legal, que la instalación no es para uso real y a quién escribir. El aviso va dentro de cada documento y no en un campo aparte, para que ninguna pantalla pueda mostrar un documento sin él. Así las pantallas se construyen contra el largo real del contenido y el abogado recibe el texto en su contexto. Las firmas contra una versión provisional no se tratan aparte: al publicarse la versión revisada, el registro las ve como versión vieja y pide aceptar de nuevo.</w:t>
      </w:r>
    </w:p>
    <w:p>
      <w:pPr/>
      <w:r>
        <w:t>Y una consecuencia que no es obvia: mientras la API lea ese archivo, prototipo/legal.html deja de ser una maqueta descartable y pasa a ser contenido del que el arranque depende. Borrar la carpeta del prototipo —algo razonable de querer hacer con una maqueta— deja la API sin arrancar. El 4 de octubre de 2026 estuvo a punto de pasar: se iba a reemplazar prototipo/ por un clon más reciente que no tiene legal.html.</w:t>
      </w:r>
    </w:p>
    <w:p w:rsidR="004634F8" w:rsidRPr="00485088" w:rsidRDefault="00D71D5A">
      <w:pPr>
        <w:spacing w:after="120" w:line="276" w:lineRule="auto"/>
        <w:jc w:val="center"/>
        <w:rPr>
          <w:lang w:val="es-CO"/>
        </w:rPr>
      </w:pPr>
      <w:r>
        <w:rPr>
          <w:i/>
          <w:iCs/>
          <w:color w:val="7A8896"/>
          <w:lang w:val="es-CO"/>
        </w:rPr>
        <w:t>— Fin del documento —</w:t>
      </w:r>
    </w:p>
    <w:sectPr w:rsidR="004634F8" w:rsidRPr="00485088">
      <w:headerReference w:type="default" r:id="rId7"/>
      <w:footerReference w:type="default" r:id="rId8"/>
      <w:headerReference w:type="first" r:id="rId9"/>
      <w:footerReference w:type="first" r:id="rId10"/>
      <w:headerReference w:type="even" r:id="rId13"/>
      <w:footerReference w:type="even" r:id="rId1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1D5A" w:rsidRDefault="00D71D5A">
      <w:r>
        <w:separator/>
      </w:r>
    </w:p>
  </w:endnote>
  <w:endnote w:type="continuationSeparator" w:id="0">
    <w:p w:rsidR="00D71D5A" w:rsidRDefault="00D71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4F8" w:rsidRDefault="00D71D5A">
    <w:pPr>
      <w:jc w:val="center"/>
    </w:pPr>
    <w:r>
      <w:rPr>
        <w:color w:val="8A97A3"/>
        <w:sz w:val="16"/>
        <w:szCs w:val="16"/>
      </w:rPr>
      <w:fldChar w:fldCharType="begin"/>
    </w:r>
    <w:r>
      <w:rPr>
        <w:color w:val="8A97A3"/>
        <w:sz w:val="16"/>
        <w:szCs w:val="16"/>
      </w:rPr>
      <w:instrText>PAGE</w:instrText>
    </w:r>
    <w:r w:rsidR="00485088">
      <w:rPr>
        <w:color w:val="8A97A3"/>
        <w:sz w:val="16"/>
        <w:szCs w:val="16"/>
      </w:rPr>
      <w:fldChar w:fldCharType="separate"/>
    </w:r>
    <w:r w:rsidR="00485088">
      <w:rPr>
        <w:noProof/>
        <w:color w:val="8A97A3"/>
        <w:sz w:val="16"/>
        <w:szCs w:val="16"/>
      </w:rPr>
      <w:t>2</w:t>
    </w:r>
    <w:r>
      <w:rPr>
        <w:color w:val="8A97A3"/>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4F8" w:rsidRDefault="004634F8"/>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1D5A" w:rsidRDefault="00D71D5A">
      <w:r>
        <w:separator/>
      </w:r>
    </w:p>
  </w:footnote>
  <w:footnote w:type="continuationSeparator" w:id="0">
    <w:p w:rsidR="00D71D5A" w:rsidRDefault="00D71D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4F8" w:rsidRDefault="00D71D5A">
    <w:pPr>
      <w:pBdr>
        <w:bottom w:val="single" w:sz="4" w:space="4" w:color="D4DAE0"/>
      </w:pBdr>
      <w:jc w:val="right"/>
    </w:pPr>
    <w:r>
      <w:rPr>
        <w:color w:val="8A97A3"/>
        <w:sz w:val="15"/>
        <w:szCs w:val="15"/>
      </w:rPr>
      <w:t>CONSTRUSOFT · Decisiones técnicas y stack</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4F8" w:rsidRDefault="004634F8"/>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A3EB1"/>
    <w:multiLevelType w:val="hybridMultilevel"/>
    <w:tmpl w:val="933CD3A6"/>
    <w:lvl w:ilvl="0" w:tplc="0C72CA68">
      <w:start w:val="1"/>
      <w:numFmt w:val="bullet"/>
      <w:lvlText w:val="•"/>
      <w:lvlJc w:val="left"/>
      <w:pPr>
        <w:ind w:left="360" w:hanging="200"/>
      </w:pPr>
    </w:lvl>
    <w:lvl w:ilvl="1" w:tplc="6BE486B8">
      <w:numFmt w:val="decimal"/>
      <w:lvlText w:val=""/>
      <w:lvlJc w:val="left"/>
    </w:lvl>
    <w:lvl w:ilvl="2" w:tplc="E3EA3E10">
      <w:numFmt w:val="decimal"/>
      <w:lvlText w:val=""/>
      <w:lvlJc w:val="left"/>
    </w:lvl>
    <w:lvl w:ilvl="3" w:tplc="69020104">
      <w:numFmt w:val="decimal"/>
      <w:lvlText w:val=""/>
      <w:lvlJc w:val="left"/>
    </w:lvl>
    <w:lvl w:ilvl="4" w:tplc="30544B3A">
      <w:numFmt w:val="decimal"/>
      <w:lvlText w:val=""/>
      <w:lvlJc w:val="left"/>
    </w:lvl>
    <w:lvl w:ilvl="5" w:tplc="433492F0">
      <w:numFmt w:val="decimal"/>
      <w:lvlText w:val=""/>
      <w:lvlJc w:val="left"/>
    </w:lvl>
    <w:lvl w:ilvl="6" w:tplc="9B127E4C">
      <w:numFmt w:val="decimal"/>
      <w:lvlText w:val=""/>
      <w:lvlJc w:val="left"/>
    </w:lvl>
    <w:lvl w:ilvl="7" w:tplc="9366535A">
      <w:numFmt w:val="decimal"/>
      <w:lvlText w:val=""/>
      <w:lvlJc w:val="left"/>
    </w:lvl>
    <w:lvl w:ilvl="8" w:tplc="2452ACCE">
      <w:numFmt w:val="decimal"/>
      <w:lvlText w:val=""/>
      <w:lvlJc w:val="left"/>
    </w:lvl>
  </w:abstractNum>
  <w:abstractNum w:abstractNumId="1" w15:restartNumberingAfterBreak="0">
    <w:nsid w:val="763B0DBB"/>
    <w:multiLevelType w:val="hybridMultilevel"/>
    <w:tmpl w:val="E23CD94A"/>
    <w:lvl w:ilvl="0" w:tplc="78E44B64">
      <w:start w:val="1"/>
      <w:numFmt w:val="bullet"/>
      <w:lvlText w:val="●"/>
      <w:lvlJc w:val="left"/>
      <w:pPr>
        <w:ind w:left="720" w:hanging="360"/>
      </w:pPr>
    </w:lvl>
    <w:lvl w:ilvl="1" w:tplc="D41846DE">
      <w:start w:val="1"/>
      <w:numFmt w:val="bullet"/>
      <w:lvlText w:val="○"/>
      <w:lvlJc w:val="left"/>
      <w:pPr>
        <w:ind w:left="1440" w:hanging="360"/>
      </w:pPr>
    </w:lvl>
    <w:lvl w:ilvl="2" w:tplc="37F4F358">
      <w:start w:val="1"/>
      <w:numFmt w:val="bullet"/>
      <w:lvlText w:val="■"/>
      <w:lvlJc w:val="left"/>
      <w:pPr>
        <w:ind w:left="2160" w:hanging="360"/>
      </w:pPr>
    </w:lvl>
    <w:lvl w:ilvl="3" w:tplc="31E6B688">
      <w:start w:val="1"/>
      <w:numFmt w:val="bullet"/>
      <w:lvlText w:val="●"/>
      <w:lvlJc w:val="left"/>
      <w:pPr>
        <w:ind w:left="2880" w:hanging="360"/>
      </w:pPr>
    </w:lvl>
    <w:lvl w:ilvl="4" w:tplc="03B0EC66">
      <w:start w:val="1"/>
      <w:numFmt w:val="bullet"/>
      <w:lvlText w:val="○"/>
      <w:lvlJc w:val="left"/>
      <w:pPr>
        <w:ind w:left="3600" w:hanging="360"/>
      </w:pPr>
    </w:lvl>
    <w:lvl w:ilvl="5" w:tplc="C380ACA6">
      <w:start w:val="1"/>
      <w:numFmt w:val="bullet"/>
      <w:lvlText w:val="■"/>
      <w:lvlJc w:val="left"/>
      <w:pPr>
        <w:ind w:left="4320" w:hanging="360"/>
      </w:pPr>
    </w:lvl>
    <w:lvl w:ilvl="6" w:tplc="02C496E0">
      <w:start w:val="1"/>
      <w:numFmt w:val="bullet"/>
      <w:lvlText w:val="●"/>
      <w:lvlJc w:val="left"/>
      <w:pPr>
        <w:ind w:left="5040" w:hanging="360"/>
      </w:pPr>
    </w:lvl>
    <w:lvl w:ilvl="7" w:tplc="AE0C9204">
      <w:start w:val="1"/>
      <w:numFmt w:val="bullet"/>
      <w:lvlText w:val="●"/>
      <w:lvlJc w:val="left"/>
      <w:pPr>
        <w:ind w:left="5760" w:hanging="360"/>
      </w:pPr>
    </w:lvl>
    <w:lvl w:ilvl="8" w:tplc="055630D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4F8"/>
    <w:rsid w:val="004634F8"/>
    <w:rsid w:val="00485088"/>
    <w:rsid w:val="00D71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98BDE"/>
  <w15:docId w15:val="{0ACE43B2-CA67-4485-A28A-68BC1144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93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2014</Words>
  <Characters>11483</Characters>
  <Application>Microsoft Office Word</Application>
  <DocSecurity>0</DocSecurity>
  <Lines>95</Lines>
  <Paragraphs>26</Paragraphs>
  <ScaleCrop>false</ScaleCrop>
  <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Decisiones técnicas</dc:title>
  <dc:creator>Juan Sebastián Lopera Ayala</dc:creator>
  <cp:lastModifiedBy>Silvia Patricia Ayala</cp:lastModifiedBy>
  <cp:revision>3</cp:revision>
  <dcterms:created xsi:type="dcterms:W3CDTF">2026-09-15T04:51:00Z</dcterms:created>
  <dcterms:modified xsi:type="dcterms:W3CDTF">2026-09-15T21:49:00Z</dcterms:modified>
</cp:coreProperties>
</file>