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b/>
          <w:bCs/>
          <w:caps/>
          <w:color w:val="7A8896"/>
          <w:spacing w:val="60"/>
          <w:sz w:val="17"/>
          <w:szCs w:val="17"/>
        </w:rPr>
        <w:t xml:space="preserve">Paquete de desarrollo</w:t>
      </w:r>
    </w:p>
    <w:p>
      <w:pPr>
        <w:spacing w:after="120"/>
      </w:pPr>
      <w:r>
        <w:rPr>
          <w:b/>
          <w:bCs/>
          <w:color w:val="13496B"/>
          <w:sz w:val="44"/>
          <w:szCs w:val="44"/>
        </w:rPr>
        <w:t xml:space="preserve">Fórmulas y cálculos</w:t>
      </w:r>
    </w:p>
    <w:p>
      <w:pPr>
        <w:pBdr>
          <w:bottom w:val="single" w:color="13496B" w:sz="12" w:space="10"/>
        </w:pBdr>
        <w:spacing w:after="700"/>
      </w:pPr>
      <w:r>
        <w:rPr>
          <w:color w:val="3C4A57"/>
          <w:sz w:val="24"/>
          <w:szCs w:val="24"/>
        </w:rPr>
        <w:t xml:space="preserve">Todo lo que el sistema calcula, con su origen y su comprobación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Documento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06 de 07</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Fecha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16 de septiembre de 2026 · revisiones del 22 de septiembre, del 1 de octubre y del 16 de octubre de 2026 contra lo construido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Alcance</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Catorce operaciones: recursos, APU, presupuesto, AIU, IVA y suscripción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Verificación</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Todas las cifras de los ejemplos se ejecutaron sobre PostgreSQL 16, contra el esquema del archivo 05. La sección 9 las lista una por una para poder comprobarlas.</w:t>
            </w:r>
          </w:p>
        </w:tc>
      </w:tr>
    </w:tbl>
    <w:p>
      <w:pPr>
        <w:spacing w:before="160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Para qué sirve este documento</w:t>
            </w:r>
          </w:p>
          <w:p>
            <w:pPr>
              <w:spacing w:after="110" w:line="276"/>
              <w:jc w:val="both"/>
            </w:pPr>
            <w:r>
              <w:rPr>
                <w:sz w:val="19"/>
                <w:szCs w:val="19"/>
              </w:rPr>
              <w:t xml:space="preserve">Para que quien programe no tenga que deducir ninguna operación, y para que alguien ajeno al proyecto pueda auditar la aritmética sin abrir el código.</w:t>
            </w:r>
          </w:p>
          <w:p>
            <w:pPr>
              <w:spacing w:after="40" w:line="276"/>
              <w:jc w:val="both"/>
            </w:pPr>
            <w:r>
              <w:rPr>
                <w:sz w:val="19"/>
                <w:szCs w:val="19"/>
              </w:rPr>
              <w:t>Cada fórmula aparece enunciada en palabras, escrita como operación, localizada en el punto del sistema donde se ejecuta y aplicada sobre un ejemplo numérico. La sección 8 las encadena todas sobre un mismo presupuesto.</w:t>
            </w:r>
          </w:p>
        </w:tc>
      </w:tr>
    </w:tbl>
    <w:p>
      <w:r>
        <w:br w:type="page"/>
      </w:r>
    </w:p>
    <w:p>
      <w:pPr>
        <w:pStyle w:val="Heading1"/>
        <w:pBdr>
          <w:bottom w:val="single" w:color="13496B" w:sz="10" w:space="6"/>
        </w:pBdr>
        <w:spacing w:after="180" w:before="420"/>
      </w:pPr>
      <w:r>
        <w:rPr>
          <w:b/>
          <w:bCs/>
          <w:color w:val="13496B"/>
          <w:sz w:val="30"/>
          <w:szCs w:val="30"/>
        </w:rPr>
        <w:t xml:space="preserve">1. Cómo leer este documento</w:t>
      </w:r>
    </w:p>
    <w:p>
      <w:pPr>
        <w:spacing w:after="120" w:before="0" w:line="276"/>
        <w:jc w:val="both"/>
      </w:pPr>
      <w:r>
        <w:rPr>
          <w:sz w:val="20"/>
          <w:szCs w:val="20"/>
        </w:rPr>
        <w:t>Aquí está todo lo que el sistema calcula. Cada fórmula aparece cuatro veces: enunciada en palabras, escrita como operación, localizada en el punto del sistema donde se ejecuta, y aplicada sobre un ejemplo numérico. La sección 8 encadena todas sobre un mismo presupuesto, de la compra del cemento al valor ofertado.</w:t>
      </w:r>
    </w:p>
    <w:p>
      <w:pPr>
        <w:spacing w:after="120" w:before="0" w:line="276"/>
        <w:jc w:val="both"/>
      </w:pPr>
      <w:r>
        <w:rPr>
          <w:sz w:val="20"/>
          <w:szCs w:val="20"/>
        </w:rPr>
        <w:t xml:space="preserve">El documento sirve para dos cosas: que quien programe no tenga que deducir ninguna operación, y que alguien ajeno al proyecto pueda auditar la aritmética sin abrir el código.</w:t>
      </w:r>
    </w:p>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Qué manda si algo no coincide</w:t>
            </w:r>
          </w:p>
          <w:p>
            <w:pPr>
              <w:spacing w:after="110" w:line="276"/>
              <w:jc w:val="both"/>
            </w:pPr>
            <w:r>
              <w:rPr>
                <w:sz w:val="19"/>
                <w:szCs w:val="19"/>
              </w:rPr>
              <w:t>El archivo 05 - construsoft_mvp_schema.sql es la fuente de verdad. Si una fórmula de este documento no coincide con lo que hace el esquema, el error está en este documento y hay que corregirlo aquí, no en la base.</w:t>
            </w:r>
          </w:p>
          <w:p>
            <w:pPr>
              <w:spacing w:after="40" w:line="276"/>
              <w:jc w:val="both"/>
            </w:pPr>
            <w:r>
              <w:rPr>
                <w:sz w:val="19"/>
                <w:szCs w:val="19"/>
              </w:rPr>
              <w:t xml:space="preserve">Las cifras de los ejemplos no son inventadas: se ejecutaron sobre PostgreSQL 16 y salieron de ahí.</w:t>
            </w:r>
          </w:p>
        </w:tc>
      </w:tr>
    </w:tbl>
    <w:p>
      <w:pPr>
        <w:pStyle w:val="Heading2"/>
        <w:spacing w:after="120" w:before="300"/>
      </w:pPr>
      <w:r>
        <w:rPr>
          <w:b/>
          <w:bCs/>
          <w:color w:val="1F2933"/>
          <w:sz w:val="23"/>
          <w:szCs w:val="23"/>
        </w:rPr>
        <w:t xml:space="preserve">1.1 Notación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700"/>
        <w:gridCol w:w="7320"/>
      </w:tblGrid>
      <w:tr>
        <w:trPr>
          <w:cantSplit/>
          <w:tblHeader/>
        </w:trPr>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Símbolo</w:t>
            </w:r>
          </w:p>
        </w:tc>
        <w:tc>
          <w:tcPr>
            <w:tcW w:type="dxa" w:w="7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Significado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  ÷</w:t>
            </w:r>
          </w:p>
        </w:tc>
        <w:tc>
          <w:tcPr>
            <w:tcW w:type="dxa" w:w="7320"/>
            <w:shd w:fill="auto" w:color="auto" w:val="clear"/>
            <w:tcMar>
              <w:top w:type="dxa" w:w="70"/>
              <w:left w:type="dxa" w:w="110"/>
              <w:bottom w:type="dxa" w:w="70"/>
              <w:right w:type="dxa" w:w="110"/>
            </w:tcMar>
          </w:tcPr>
          <w:p>
            <w:pPr>
              <w:spacing w:after="40" w:before="40" w:line="240"/>
              <w:jc w:val="left"/>
            </w:pPr>
            <w:r>
              <w:rPr>
                <w:sz w:val="18"/>
                <w:szCs w:val="18"/>
              </w:rPr>
              <w:t xml:space="preserve">Multiplicación y división ordinarias.</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Σ</w:t>
            </w:r>
          </w:p>
        </w:tc>
        <w:tc>
          <w:tcPr>
            <w:tcW w:type="dxa" w:w="7320"/>
            <w:shd w:fill="F7F9FA" w:color="auto" w:val="clear"/>
            <w:tcMar>
              <w:top w:type="dxa" w:w="70"/>
              <w:left w:type="dxa" w:w="110"/>
              <w:bottom w:type="dxa" w:w="70"/>
              <w:right w:type="dxa" w:w="110"/>
            </w:tcMar>
          </w:tcPr>
          <w:p>
            <w:pPr>
              <w:spacing w:after="40" w:before="40" w:line="240"/>
              <w:jc w:val="left"/>
            </w:pPr>
            <w:r>
              <w:rPr>
                <w:sz w:val="18"/>
                <w:szCs w:val="18"/>
              </w:rPr>
              <w:t xml:space="preserve">Suma de todos los elementos del conjunto que se indica.</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%X</w:t>
            </w:r>
          </w:p>
        </w:tc>
        <w:tc>
          <w:tcPr>
            <w:tcW w:type="dxa" w:w="7320"/>
            <w:shd w:fill="auto" w:color="auto" w:val="clear"/>
            <w:tcMar>
              <w:top w:type="dxa" w:w="70"/>
              <w:left w:type="dxa" w:w="110"/>
              <w:bottom w:type="dxa" w:w="70"/>
              <w:right w:type="dxa" w:w="110"/>
            </w:tcMar>
          </w:tcPr>
          <w:p>
            <w:pPr>
              <w:spacing w:after="40" w:before="40" w:line="240"/>
              <w:jc w:val="left"/>
            </w:pPr>
            <w:r>
              <w:rPr>
                <w:sz w:val="18"/>
                <w:szCs w:val="18"/>
              </w:rPr>
              <w:t xml:space="preserve">Porcentaje X almacenado en PUNTOS: un 19% se guarda como 19, no como 0,19.</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CD · CI</w:t>
            </w:r>
          </w:p>
        </w:tc>
        <w:tc>
          <w:tcPr>
            <w:tcW w:type="dxa" w:w="7320"/>
            <w:shd w:fill="F7F9FA" w:color="auto" w:val="clear"/>
            <w:tcMar>
              <w:top w:type="dxa" w:w="70"/>
              <w:left w:type="dxa" w:w="110"/>
              <w:bottom w:type="dxa" w:w="70"/>
              <w:right w:type="dxa" w:w="110"/>
            </w:tcMar>
          </w:tcPr>
          <w:p>
            <w:pPr>
              <w:spacing w:after="40" w:before="40" w:line="240"/>
              <w:jc w:val="left"/>
            </w:pPr>
            <w:r>
              <w:rPr>
                <w:sz w:val="18"/>
                <w:szCs w:val="18"/>
              </w:rPr>
              <w:t xml:space="preserve">Costo Directo total y Costo Indirecto total del presupuesto.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 ⟧</w:t>
            </w:r>
          </w:p>
        </w:tc>
        <w:tc>
          <w:tcPr>
            <w:tcW w:type="dxa" w:w="7320"/>
            <w:shd w:fill="auto" w:color="auto" w:val="clear"/>
            <w:tcMar>
              <w:top w:type="dxa" w:w="70"/>
              <w:left w:type="dxa" w:w="110"/>
              <w:bottom w:type="dxa" w:w="70"/>
              <w:right w:type="dxa" w:w="110"/>
            </w:tcMar>
          </w:tcPr>
          <w:p>
            <w:pPr>
              <w:spacing w:after="40" w:before="40" w:line="240"/>
              <w:jc w:val="left"/>
            </w:pPr>
            <w:r>
              <w:rPr>
                <w:sz w:val="18"/>
                <w:szCs w:val="18"/>
              </w:rPr>
              <w:t xml:space="preserve">Nombre real de la columna o tabla en la base de datos.</w:t>
            </w:r>
          </w:p>
        </w:tc>
      </w:tr>
    </w:tbl>
    <w:p>
      <w:pPr>
        <w:pStyle w:val="Heading1"/>
        <w:pBdr>
          <w:bottom w:val="single" w:color="13496B" w:sz="10" w:space="6"/>
        </w:pBdr>
        <w:spacing w:after="180" w:before="420"/>
      </w:pPr>
      <w:r>
        <w:rPr>
          <w:b/>
          <w:bCs/>
          <w:color w:val="13496B"/>
          <w:sz w:val="30"/>
          <w:szCs w:val="30"/>
        </w:rPr>
        <w:t xml:space="preserve">2. Reglas numéricas que aplican a todo cálculo</w:t>
      </w:r>
    </w:p>
    <w:p>
      <w:pPr>
        <w:spacing w:after="120" w:before="0" w:line="276"/>
        <w:jc w:val="both"/>
      </w:pPr>
      <w:r>
        <w:rPr>
          <w:sz w:val="20"/>
          <w:szCs w:val="20"/>
        </w:rPr>
        <w:t xml:space="preserve">Estas cinco reglas gobiernan cualquier operación del sistema. No se repiten en cada fórmula: se dan por supuestas.</w:t>
      </w:r>
    </w:p>
    <w:p>
      <w:pPr>
        <w:pStyle w:val="Heading2"/>
        <w:spacing w:after="120" w:before="300"/>
      </w:pPr>
      <w:r>
        <w:rPr>
          <w:b/>
          <w:bCs/>
          <w:color w:val="1F2933"/>
          <w:sz w:val="23"/>
          <w:szCs w:val="23"/>
        </w:rPr>
        <w:t xml:space="preserve">2.1 Precisión de almacenamiento</w:t>
      </w:r>
    </w:p>
    <w:p>
      <w:pPr>
        <w:spacing w:after="120" w:before="0" w:line="276"/>
        <w:jc w:val="both"/>
      </w:pPr>
      <w:r>
        <w:rPr>
          <w:sz w:val="20"/>
          <w:szCs w:val="20"/>
        </w:rPr>
        <w:t>Todo valor monetario y toda cantidad se guardan como numeric(24,6): veinticuatro dígitos en total, seis de ellos decimales. Es el dominio ⟦app.dinero⟧ y ⟦app.cantidad⟧ del esquema.</w:t>
      </w:r>
    </w:p>
    <w:p>
      <w:pPr>
        <w:spacing w:after="0" w:before="0" w:line="276"/>
        <w:ind w:left="280"/>
        <w:jc w:val="left"/>
      </w:pPr>
      <w:r>
        <w:rPr>
          <w:rFonts w:ascii="Consolas" w:cs="Consolas" w:eastAsia="Consolas" w:hAnsi="Consolas"/>
          <w:color w:val="1F2933"/>
          <w:sz w:val="17"/>
          <w:szCs w:val="17"/>
        </w:rPr>
        <w:t>CREATE DOMAIN app.dinero     AS numeric(24,6);</w:t>
      </w:r>
    </w:p>
    <w:p>
      <w:pPr>
        <w:spacing w:after="0" w:before="0" w:line="276"/>
        <w:ind w:left="280"/>
        <w:jc w:val="left"/>
      </w:pPr>
      <w:r>
        <w:rPr>
          <w:rFonts w:ascii="Consolas" w:cs="Consolas" w:eastAsia="Consolas" w:hAnsi="Consolas"/>
          <w:color w:val="1F2933"/>
          <w:sz w:val="17"/>
          <w:szCs w:val="17"/>
        </w:rPr>
        <w:t>CREATE DOMAIN app.cantidad   AS numeric(24,6) CHECK (VALUE &gt;= 0);</w:t>
      </w:r>
    </w:p>
    <w:p>
      <w:pPr>
        <w:spacing w:after="140" w:before="0" w:line="276"/>
        <w:ind w:left="280"/>
        <w:jc w:val="left"/>
      </w:pPr>
      <w:r>
        <w:rPr>
          <w:rFonts w:ascii="Consolas" w:cs="Consolas" w:eastAsia="Consolas" w:hAnsi="Consolas"/>
          <w:color w:val="1F2933"/>
          <w:sz w:val="17"/>
          <w:szCs w:val="17"/>
        </w:rPr>
        <w:t xml:space="preserve">CREATE DOMAIN app.porcentaje AS numeric(9,6)  CHECK (VALUE &gt;= 0);</w:t>
      </w:r>
    </w:p>
    <w:p>
      <w:pPr>
        <w:spacing w:after="120" w:before="0" w:line="276"/>
        <w:jc w:val="both"/>
      </w:pPr>
      <w:r>
        <w:rPr>
          <w:sz w:val="20"/>
          <w:szCs w:val="20"/>
        </w:rPr>
        <w:t>Seis decimales no son un capricho. Un rendimiento de 0,000347 jornales por unidad es corriente en actividades pequeñas, y truncarlo a dos decimales lo convertiría en cero. Pero seis decimales también son un piso: el valor representable más pequeño distinto de cero es 0,000001. Un rendimiento menor se redondea a cero al guardarse y la base lo rechaza nombrando ese mínimo; el formulario debe avisarlo antes de enviar, para que el usuario no reciba un error sobre un cero que él no escribió. Y veinticuatro dígitos enteros, que ponen el tope fuera del alcance de cualquier obra: con dieciocho, el límite quedaba en poco menos de un billón de pesos, y ⟦presupuesto.valor_total⟧ es la primera columna que lo alcanzaría.</w:t>
      </w:r>
    </w:p>
    <w:p>
      <w:pPr>
        <w:pStyle w:val="Heading2"/>
        <w:spacing w:after="120" w:before="300"/>
      </w:pPr>
      <w:r>
        <w:rPr>
          <w:b/>
          <w:bCs/>
          <w:color w:val="1F2933"/>
          <w:sz w:val="23"/>
          <w:szCs w:val="23"/>
        </w:rPr>
        <w:t xml:space="preserve">2.2 El redondeo es solo de presentación</w:t>
      </w:r>
    </w:p>
    <w:p>
      <w:pPr>
        <w:spacing w:after="120" w:before="0" w:line="276"/>
        <w:jc w:val="both"/>
      </w:pPr>
      <w:r>
        <w:rPr>
          <w:sz w:val="20"/>
          <w:szCs w:val="20"/>
        </w:rPr>
        <w:t>El sistema no redondea a la unidad de presentación para calcular: arrastra la precisión completa y redondea una sola vez, al final, para mostrar el número en pantalla o en la exportación, con los decimales que la empresa haya configurado (0, 1 o 2 — ⟦configuracion_empresa.decimales_vista⟧). Dicho con exactitud, porque un auditor externo que lea la frase y después el DDL encontrará la diferencia: todo valor almacenado sí se redondea a seis decimales, que es la precisión del dominio. Un tercio guardado es 0,333333, no un tercio. El efecto sobre una cifra de obra es despreciable, pero conviene decirlo con precisión.</w:t>
      </w: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El error que esto evita</w:t>
            </w:r>
          </w:p>
          <w:p>
            <w:pPr>
              <w:spacing w:after="40" w:line="276"/>
              <w:jc w:val="both"/>
            </w:pPr>
            <w:r>
              <w:rPr>
                <w:sz w:val="19"/>
                <w:szCs w:val="19"/>
              </w:rPr>
              <w:t xml:space="preserve">Si cada subtotal de una línea de APU se redondeara a pesos antes de sumarse, un presupuesto de trescientas actividades acumularía una diferencia visible frente al mismo cálculo hecho en Excel. El cliente lo nota y no hay forma de explicarlo.</w:t>
            </w:r>
          </w:p>
        </w:tc>
      </w:tr>
    </w:tbl>
    <w:p>
      <w:pPr>
        <w:pStyle w:val="Heading2"/>
        <w:spacing w:after="120" w:before="300"/>
      </w:pPr>
      <w:r>
        <w:rPr>
          <w:b/>
          <w:bCs/>
          <w:color w:val="1F2933"/>
          <w:sz w:val="23"/>
          <w:szCs w:val="23"/>
        </w:rPr>
        <w:t xml:space="preserve">2.3 Los porcentajes se guardan en puntos</w:t>
      </w:r>
    </w:p>
    <w:p>
      <w:pPr>
        <w:spacing w:after="120" w:before="0" w:line="276"/>
        <w:jc w:val="both"/>
      </w:pPr>
      <w:r>
        <w:rPr>
          <w:sz w:val="20"/>
          <w:szCs w:val="20"/>
        </w:rPr>
        <w:t xml:space="preserve">Un IVA del 19% se almacena como 19. Un desperdicio del 5%, como 5. Por eso todas las fórmulas dividen entre cien de forma explícita. Es la convención de RNF-22 y no admite excepciones: mezclar 19 y 0,19 en el mismo sistema produce errores de dos órdenes de magnitud.</w:t>
      </w:r>
    </w:p>
    <w:p>
      <w:pPr>
        <w:pStyle w:val="Heading2"/>
        <w:spacing w:after="120" w:before="300"/>
      </w:pPr>
      <w:r>
        <w:rPr>
          <w:b/>
          <w:bCs/>
          <w:color w:val="1F2933"/>
          <w:sz w:val="23"/>
          <w:szCs w:val="23"/>
        </w:rPr>
        <w:t xml:space="preserve">2.4 El cálculo vive en el servidor</w:t>
      </w:r>
    </w:p>
    <w:p>
      <w:pPr>
        <w:spacing w:after="120" w:before="0" w:line="276"/>
        <w:jc w:val="both"/>
      </w:pPr>
      <w:r>
        <w:rPr>
          <w:sz w:val="20"/>
          <w:szCs w:val="20"/>
        </w:rPr>
        <w:t xml:space="preserve">La pantalla calcula mientras el usuario escribe, pero solo para previsualizar. La cifra que se guarda y la que vale es la que devuelve el servidor. El frontend nunca envía un total: envía los datos de entrada y recibe el resultado.</w:t>
      </w:r>
    </w:p>
    <w:p>
      <w:pPr>
        <w:spacing w:after="120" w:before="0" w:line="276"/>
        <w:jc w:val="both"/>
      </w:pPr>
      <w:r>
        <w:rPr>
          <w:sz w:val="20"/>
          <w:szCs w:val="20"/>
        </w:rPr>
        <w:t xml:space="preserve">En el backend, el controlador de PostgreSQL devuelve numeric como texto. Ese texto no se convierte a número nativo de JavaScript en ningún punto: el tipo de coma flotante no representa exactamente los decimales y un presupuesto de mil millones se desvía. Si hace falta aritmética fuera de SQL, se usa una biblioteca de decimales.</w:t>
      </w:r>
    </w:p>
    <w:p>
      <w:pPr>
        <w:pStyle w:val="Heading2"/>
        <w:spacing w:after="120" w:before="300"/>
      </w:pPr>
      <w:r>
        <w:rPr>
          <w:b/>
          <w:bCs/>
          <w:color w:val="1F2933"/>
          <w:sz w:val="23"/>
          <w:szCs w:val="23"/>
        </w:rPr>
        <w:t xml:space="preserve">2.5 Qué se almacena y qué se recalcula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2400"/>
        <w:gridCol w:w="40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Valor</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¿Guardado?</w:t>
            </w:r>
          </w:p>
        </w:tc>
        <w:tc>
          <w:tcPr>
            <w:tcW w:type="dxa" w:w="4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Por qué</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Subtotal de línea de APU</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⟦apu_version_recurso.subtotal⟧</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La versión del APU es inmutable: el subtotal es parte de la fotografía.</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Sí, ⟦apu_version.costo_directo⟧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 xml:space="preserve">Igual. Debe calcularse ANTES de insertar la versión, porque el trigger de inmutabilidad impide corregirlo después.</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Costo total del ítem</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⟦presupuesto_item.costo_total⟧</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Snapshot: si el precio del APU cambia mañana, este ítem no se mueve.</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Monto acumulado del capítulo</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Sí, ⟦wbs_nodo.monto_acumulado⟧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Evita recorrer el árbol en cada consulta de la vista maestra (RNF-06). Lo escribe app.fn_recalcular_presupuesto() en la misma llamada que el pie financiero.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CD, CI, AIU y valor total</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en ⟦presupuesto⟧</w:t>
            </w:r>
          </w:p>
        </w:tc>
        <w:tc>
          <w:tcPr>
            <w:tcW w:type="dxa" w:w="4020"/>
            <w:shd w:fill="auto" w:color="auto" w:val="clear"/>
            <w:tcMar>
              <w:top w:type="dxa" w:w="70"/>
              <w:left w:type="dxa" w:w="110"/>
              <w:bottom w:type="dxa" w:w="70"/>
              <w:right w:type="dxa" w:w="110"/>
            </w:tcMar>
          </w:tcPr>
          <w:p>
            <w:pPr>
              <w:spacing w:after="40" w:before="40" w:line="240"/>
              <w:jc w:val="left"/>
            </w:pPr>
            <w:r>
              <w:rPr>
                <w:sz w:val="18"/>
                <w:szCs w:val="18"/>
              </w:rPr>
              <w:t xml:space="preserve">Igual. Los recalcula app.fn_recalcular_presupuesto().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 de incidencia</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c>
          <w:tcPr>
            <w:tcW w:type="dxa" w:w="4020"/>
            <w:shd w:fill="F7F9FA" w:color="auto" w:val="clear"/>
            <w:tcMar>
              <w:top w:type="dxa" w:w="70"/>
              <w:left w:type="dxa" w:w="110"/>
              <w:bottom w:type="dxa" w:w="70"/>
              <w:right w:type="dxa" w:w="110"/>
            </w:tcMar>
          </w:tcPr>
          <w:p>
            <w:pPr>
              <w:spacing w:after="40" w:before="40" w:line="240"/>
              <w:jc w:val="left"/>
            </w:pPr>
            <w:r>
              <w:rPr>
                <w:sz w:val="18"/>
                <w:szCs w:val="18"/>
              </w:rPr>
              <w:t xml:space="preserve">Se deriva de dos valores ya guardados. Guardarlo sería duplicar un dato.</w:t>
            </w:r>
          </w:p>
        </w:tc>
      </w:tr>
    </w:tbl>
    <w:p>
      <w:pPr>
        <w:pStyle w:val="Heading1"/>
        <w:pBdr>
          <w:bottom w:val="single" w:color="13496B" w:sz="10" w:space="6"/>
        </w:pBdr>
        <w:spacing w:after="180" w:before="420"/>
      </w:pPr>
      <w:r>
        <w:rPr>
          <w:b/>
          <w:bCs/>
          <w:color w:val="13496B"/>
          <w:sz w:val="30"/>
          <w:szCs w:val="30"/>
        </w:rPr>
        <w:t xml:space="preserve">3. Recursos — el precio del insumo</w:t>
      </w:r>
    </w:p>
    <w:p>
      <w:pPr>
        <w:spacing w:after="120" w:before="0" w:line="276"/>
        <w:jc w:val="both"/>
      </w:pPr>
      <w:r>
        <w:rPr>
          <w:sz w:val="20"/>
          <w:szCs w:val="20"/>
        </w:rPr>
        <w:t xml:space="preserve">Un recurso es un material, un equipo, una persona o una actividad a todo costo. Tiene dos precios que representan lo mismo visto de dos maneras, y el usuario captura el que tenga a mano.</w:t>
      </w:r>
    </w:p>
    <w:p>
      <w:pPr>
        <w:pStyle w:val="Heading2"/>
        <w:spacing w:after="120" w:before="300"/>
      </w:pPr>
      <w:r>
        <w:rPr>
          <w:b/>
          <w:bCs/>
          <w:color w:val="1F2933"/>
          <w:sz w:val="23"/>
          <w:szCs w:val="23"/>
        </w:rPr>
        <w:t xml:space="preserve">3.1 Doble vía de captura</w:t>
      </w:r>
    </w:p>
    <w:p>
      <w:pPr>
        <w:spacing w:after="120" w:before="0" w:line="276"/>
        <w:jc w:val="both"/>
      </w:pPr>
      <w:r>
        <w:rPr>
          <w:sz w:val="20"/>
          <w:szCs w:val="20"/>
        </w:rPr>
        <w:t xml:space="preserve">El formulario ofrece dos casillas de precio y una de IVA. El usuario escribe en una y el sistema calcula la otra y la bloquea; si borra la que escribió, ambas se desbloquean (RF-REC-10).</w:t>
      </w:r>
    </w:p>
    <w:p>
      <w:pPr>
        <w:spacing w:after="40"/>
      </w:pPr>
    </w:p>
    <w:p>
      <w:pPr>
        <w:spacing w:after="120" w:before="0" w:line="276"/>
        <w:jc w:val="both"/>
      </w:pPr>
      <w:r>
        <w:rPr>
          <w:b/>
          <w:bCs/>
          <w:sz w:val="20"/>
          <w:szCs w:val="20"/>
        </w:rPr>
        <w:t xml:space="preserve">Vía A — el usuario conoce el precio antes de impuestos:</w:t>
      </w:r>
    </w:p>
    <w:p>
      <w:pPr>
        <w:spacing w:after="140" w:before="0" w:line="276"/>
        <w:ind w:left="280"/>
        <w:jc w:val="left"/>
      </w:pPr>
      <w:r>
        <w:rPr>
          <w:rFonts w:ascii="Consolas" w:cs="Consolas" w:eastAsia="Consolas" w:hAnsi="Consolas"/>
          <w:color w:val="1F2933"/>
          <w:sz w:val="17"/>
          <w:szCs w:val="17"/>
        </w:rPr>
        <w:t xml:space="preserve">precio_total = precio_base × (1 + iva_pct ÷ 100)</w:t>
      </w:r>
    </w:p>
    <w:p>
      <w:pPr>
        <w:spacing w:after="120" w:before="0" w:line="276"/>
        <w:jc w:val="both"/>
      </w:pPr>
      <w:r>
        <w:rPr>
          <w:b/>
          <w:bCs/>
          <w:sz w:val="20"/>
          <w:szCs w:val="20"/>
        </w:rPr>
        <w:t xml:space="preserve">Vía B — el usuario conoce el precio de la factura, con IVA incluido:</w:t>
      </w:r>
    </w:p>
    <w:p>
      <w:pPr>
        <w:spacing w:after="140" w:before="0" w:line="276"/>
        <w:ind w:left="280"/>
        <w:jc w:val="left"/>
      </w:pPr>
      <w:r>
        <w:rPr>
          <w:rFonts w:ascii="Consolas" w:cs="Consolas" w:eastAsia="Consolas" w:hAnsi="Consolas"/>
          <w:color w:val="1F2933"/>
          <w:sz w:val="17"/>
          <w:szCs w:val="17"/>
        </w:rPr>
        <w:t xml:space="preserve">precio_base = precio_total ÷ (1 + iva_pct ÷ 100)</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⟦app.recurso⟧ · columnas precio_base, iva_pct, precio_total, via_captura</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RF-REC-07, RF-REC-08, RF-REC-09, RF-REC-10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Restricción</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CHECK (precio_total &gt;= precio_base) — el IVA nunca es negativo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Si no hay IVA</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iva_pct = 0 y los dos precios coinciden (RF-REC-08)</w:t>
            </w:r>
          </w:p>
        </w:tc>
      </w:tr>
    </w:tbl>
    <w:p>
      <w:pPr>
        <w:spacing w:after="60"/>
      </w:pPr>
    </w:p>
    <w:p>
      <w:pPr>
        <w:spacing w:after="120" w:before="0" w:line="276"/>
        <w:jc w:val="both"/>
      </w:pPr>
      <w:r>
        <w:rPr>
          <w:b/>
          <w:bCs/>
          <w:sz w:val="20"/>
          <w:szCs w:val="20"/>
        </w:rPr>
        <w:t xml:space="preserve">Ejemplo:</w:t>
      </w:r>
    </w:p>
    <w:p>
      <w:pPr>
        <w:spacing w:after="0" w:before="0" w:line="276"/>
        <w:ind w:left="280"/>
        <w:jc w:val="left"/>
      </w:pPr>
      <w:r>
        <w:rPr>
          <w:rFonts w:ascii="Consolas" w:cs="Consolas" w:eastAsia="Consolas" w:hAnsi="Consolas"/>
          <w:color w:val="1F2933"/>
          <w:sz w:val="17"/>
          <w:szCs w:val="17"/>
        </w:rPr>
        <w:t xml:space="preserve">Cemento gris 50 kg — Vía A</w:t>
      </w:r>
    </w:p>
    <w:p>
      <w:pPr>
        <w:spacing w:after="0" w:before="0" w:line="276"/>
        <w:ind w:left="280"/>
        <w:jc w:val="left"/>
      </w:pPr>
      <w:r>
        <w:rPr>
          <w:rFonts w:ascii="Consolas" w:cs="Consolas" w:eastAsia="Consolas" w:hAnsi="Consolas"/>
          <w:color w:val="1F2933"/>
          <w:sz w:val="17"/>
          <w:szCs w:val="17"/>
        </w:rPr>
        <w:t xml:space="preserve">  precio_base  =  500.000        iva_pct = 19</w:t>
      </w:r>
    </w:p>
    <w:p>
      <w:pPr>
        <w:spacing w:after="0" w:before="0" w:line="276"/>
        <w:ind w:left="280"/>
        <w:jc w:val="left"/>
      </w:pPr>
      <w:r>
        <w:rPr>
          <w:rFonts w:ascii="Consolas" w:cs="Consolas" w:eastAsia="Consolas" w:hAnsi="Consolas"/>
          <w:color w:val="1F2933"/>
          <w:sz w:val="17"/>
          <w:szCs w:val="17"/>
        </w:rPr>
        <w:t xml:space="preserve">  precio_total =  500.000 × (1 + 19/100)  =  595.000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Oficial de obra (jornal) — Vía B, sin IVA</w:t>
      </w:r>
    </w:p>
    <w:p>
      <w:pPr>
        <w:spacing w:after="0" w:before="0" w:line="276"/>
        <w:ind w:left="280"/>
        <w:jc w:val="left"/>
      </w:pPr>
      <w:r>
        <w:rPr>
          <w:rFonts w:ascii="Consolas" w:cs="Consolas" w:eastAsia="Consolas" w:hAnsi="Consolas"/>
          <w:color w:val="1F2933"/>
          <w:sz w:val="17"/>
          <w:szCs w:val="17"/>
        </w:rPr>
        <w:t xml:space="preserve">  precio_total =  120.000        iva_pct = 0</w:t>
      </w:r>
    </w:p>
    <w:p>
      <w:pPr>
        <w:spacing w:after="140" w:before="0" w:line="276"/>
        <w:ind w:left="280"/>
        <w:jc w:val="left"/>
      </w:pPr>
      <w:r>
        <w:rPr>
          <w:rFonts w:ascii="Consolas" w:cs="Consolas" w:eastAsia="Consolas" w:hAnsi="Consolas"/>
          <w:color w:val="1F2933"/>
          <w:sz w:val="17"/>
          <w:szCs w:val="17"/>
        </w:rPr>
        <w:t xml:space="preserve">  precio_base  =  120.000 ÷ (1 + 0/100)   =  120.000</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Por qué se guarda via_captura</w:t>
            </w:r>
          </w:p>
          <w:p>
            <w:pPr>
              <w:spacing w:after="40" w:line="276"/>
              <w:jc w:val="both"/>
            </w:pPr>
            <w:r>
              <w:rPr>
                <w:sz w:val="19"/>
                <w:szCs w:val="19"/>
              </w:rPr>
              <w:t xml:space="preserve">La columna ⟦via_captura⟧ recuerda cuál de las dos casillas escribió el usuario. Sirve para reproducir el bloqueo cruzado cuando vuelve a abrir el formulario: si capturó por total, al reabrir debe encontrar bloqueada la casilla de base, no al revés. Sin ese dato el formulario tendría que adivinar.</w:t>
            </w:r>
          </w:p>
        </w:tc>
      </w:tr>
    </w:tbl>
    <w:p>
      <w:pPr>
        <w:pStyle w:val="Heading1"/>
        <w:pBdr>
          <w:bottom w:val="single" w:color="13496B" w:sz="10" w:space="6"/>
        </w:pBdr>
        <w:spacing w:after="180" w:before="420"/>
      </w:pPr>
      <w:r>
        <w:rPr>
          <w:b/>
          <w:bCs/>
          <w:color w:val="13496B"/>
          <w:sz w:val="30"/>
          <w:szCs w:val="30"/>
        </w:rPr>
        <w:t xml:space="preserve">4. APU — análisis de precio unitario</w:t>
      </w:r>
    </w:p>
    <w:p>
      <w:pPr>
        <w:spacing w:after="120" w:before="0" w:line="276"/>
        <w:jc w:val="both"/>
      </w:pPr>
      <w:r>
        <w:rPr>
          <w:sz w:val="20"/>
          <w:szCs w:val="20"/>
        </w:rPr>
        <w:t xml:space="preserve">Un APU responde a una sola pregunta: cuánto cuesta producir UNA unidad de una actividad de obra. Un metro cúbico de concreto, un metro cuadrado de muro. Ese costo es la suma de lo que consume cada recurso que interviene.</w:t>
      </w:r>
    </w:p>
    <w:p>
      <w:pPr>
        <w:pStyle w:val="Heading2"/>
        <w:spacing w:after="120" w:before="300"/>
      </w:pPr>
      <w:r>
        <w:rPr>
          <w:b/>
          <w:bCs/>
          <w:color w:val="1F2933"/>
          <w:sz w:val="23"/>
          <w:szCs w:val="23"/>
        </w:rPr>
        <w:t xml:space="preserve">4.1 Subtotal de una línea</w:t>
      </w:r>
    </w:p>
    <w:p>
      <w:pPr>
        <w:spacing w:after="120" w:before="0" w:line="276"/>
        <w:jc w:val="both"/>
      </w:pPr>
      <w:r>
        <w:rPr>
          <w:sz w:val="20"/>
          <w:szCs w:val="20"/>
        </w:rPr>
        <w:t xml:space="preserve">Es la fórmula más delicada del sistema, porque dos de sus campos se parecen y no significan lo mismo.</w:t>
      </w:r>
    </w:p>
    <w:p>
      <w:pPr>
        <w:spacing w:after="140" w:before="0" w:line="276"/>
        <w:ind w:left="280"/>
        <w:jc w:val="left"/>
      </w:pPr>
      <w:r>
        <w:rPr>
          <w:rFonts w:ascii="Consolas" w:cs="Consolas" w:eastAsia="Consolas" w:hAnsi="Consolas"/>
          <w:color w:val="1F2933"/>
          <w:sz w:val="17"/>
          <w:szCs w:val="17"/>
        </w:rPr>
        <w:t xml:space="preserve">subtotal = cantidad × rendimiento × (1 + desperdicio_pct ÷ 100) × precio_unitario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4620"/>
        <w:gridCol w:w="260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significa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cantidad</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Cuántas unidades del recurso intervienen a la vez en la actividad. Por defecto 1, que es el caso normal en materiales.</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2 oficiales; 1 mezcladora</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rendimiento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Cuánto consume UNA unidad de ese recurso por cada unidad de obra. Es el consumo unitario.</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0,05 jornal por m³; 7 bultos por m³</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desperdicio_pct</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Material que se pierde por encima del consumo teórico. Solo aplica a materiales.</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5% en concreto</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precio_unitario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Copia congelada del precio TOTAL del recurso, con IVA incluido (D-2).</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595.000</w:t>
            </w:r>
          </w:p>
        </w:tc>
      </w:tr>
    </w:tbl>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⟦app.apu_version_recurso⟧ · subtotal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RF-APU-08, RF-APU-19, RN-15 · decisión D-1</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Restricciones</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cantidad &gt; 0 · rendimiento &gt; 0 · desperdicio solo si recurso_tipo = MATERIAL</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 trampa: contar el consumo dos veces</w:t>
            </w:r>
          </w:p>
          <w:p>
            <w:pPr>
              <w:spacing w:after="110" w:line="276"/>
              <w:jc w:val="both"/>
            </w:pPr>
            <w:r>
              <w:rPr>
                <w:sz w:val="19"/>
                <w:szCs w:val="19"/>
              </w:rPr>
              <w:t xml:space="preserve">Si el usuario entiende que «cantidad» y «rendimiento» miden ambos el consumo, escribirá el mismo dato en los dos y el APU saldrá multiplicado por sí mismo, sin que nada falle ni avise. Por eso el campo Cantidad viene precargado en 1 y el formulario tiene que explicar la diferencia con texto de ayuda (RF-APU-19, RF-APU-20).</w:t>
            </w:r>
          </w:p>
          <w:p>
            <w:pPr>
              <w:spacing w:after="40" w:line="276"/>
              <w:jc w:val="both"/>
            </w:pPr>
            <w:r>
              <w:rPr>
                <w:sz w:val="19"/>
                <w:szCs w:val="19"/>
              </w:rPr>
              <w:t xml:space="preserve">Regla práctica: en un material el consumo entero va en el rendimiento y la cantidad se deja en 1. La cantidad solo se toca cuando de verdad intervienen varias unidades a la vez, como una cuadrilla de dos oficiales.</w:t>
            </w:r>
          </w:p>
        </w:tc>
      </w:tr>
    </w:tbl>
    <w:p>
      <w:pPr>
        <w:pStyle w:val="Heading2"/>
        <w:spacing w:after="120" w:before="300"/>
      </w:pPr>
      <w:r>
        <w:rPr>
          <w:b/>
          <w:bCs/>
          <w:color w:val="1F2933"/>
          <w:sz w:val="23"/>
          <w:szCs w:val="23"/>
        </w:rPr>
        <w:t xml:space="preserve">4.2 Costo directo del APU</w:t>
      </w:r>
    </w:p>
    <w:p>
      <w:pPr>
        <w:spacing w:after="140" w:before="0" w:line="276"/>
        <w:ind w:left="280"/>
        <w:jc w:val="left"/>
      </w:pPr>
      <w:r>
        <w:rPr>
          <w:rFonts w:ascii="Consolas" w:cs="Consolas" w:eastAsia="Consolas" w:hAnsi="Consolas"/>
          <w:color w:val="1F2933"/>
          <w:sz w:val="17"/>
          <w:szCs w:val="17"/>
        </w:rPr>
        <w:t xml:space="preserve">costo_directo = Σ subtotales de todas las líneas de la versión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⟦app.apu_version.costo_directo⟧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RF-APU-10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Orden obligatorio</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El backend calcula este valor ANTES de insertar la cabecera de la versión, y luego inserta las líneas. La tabla no admite UPDATE.</w:t>
            </w:r>
          </w:p>
        </w:tc>
      </w:tr>
    </w:tbl>
    <w:p>
      <w:pPr>
        <w:spacing w:after="60"/>
      </w:pPr>
    </w:p>
    <w:p>
      <w:pPr>
        <w:spacing w:after="120" w:before="0" w:line="276"/>
        <w:jc w:val="both"/>
      </w:pPr>
      <w:r>
        <w:rPr>
          <w:b/>
          <w:bCs/>
          <w:sz w:val="20"/>
          <w:szCs w:val="20"/>
        </w:rPr>
        <w:t xml:space="preserve">Ejemplo — Concreto 3000 PSI, unidad m³:</w:t>
      </w:r>
    </w:p>
    <w:p>
      <w:pPr>
        <w:spacing w:after="0" w:before="0" w:line="276"/>
        <w:ind w:left="280"/>
        <w:jc w:val="left"/>
      </w:pPr>
      <w:r>
        <w:rPr>
          <w:rFonts w:ascii="Consolas" w:cs="Consolas" w:eastAsia="Consolas" w:hAnsi="Consolas"/>
          <w:color w:val="1F2933"/>
          <w:sz w:val="17"/>
          <w:szCs w:val="17"/>
        </w:rPr>
        <w:t xml:space="preserve">Línea 1 · Concreto premezclado (MATERIAL)</w:t>
      </w:r>
    </w:p>
    <w:p>
      <w:pPr>
        <w:spacing w:after="0" w:before="0" w:line="276"/>
        <w:ind w:left="280"/>
        <w:jc w:val="left"/>
      </w:pPr>
      <w:r>
        <w:rPr>
          <w:rFonts w:ascii="Consolas" w:cs="Consolas" w:eastAsia="Consolas" w:hAnsi="Consolas"/>
          <w:color w:val="1F2933"/>
          <w:sz w:val="17"/>
          <w:szCs w:val="17"/>
        </w:rPr>
        <w:t xml:space="preserve">  1 × 1,00 m³/m³ × (1 + 5/100) × 595.000  =  624.750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Línea 2 · Cuadrilla de oficiales (PERSONAL)</w:t>
      </w:r>
    </w:p>
    <w:p>
      <w:pPr>
        <w:spacing w:after="0" w:before="0" w:line="276"/>
        <w:ind w:left="280"/>
        <w:jc w:val="left"/>
      </w:pPr>
      <w:r>
        <w:rPr>
          <w:rFonts w:ascii="Consolas" w:cs="Consolas" w:eastAsia="Consolas" w:hAnsi="Consolas"/>
          <w:color w:val="1F2933"/>
          <w:sz w:val="17"/>
          <w:szCs w:val="17"/>
        </w:rPr>
        <w:t xml:space="preserve">  2 × 0,05 jornal/m³ × (1 + 0/100) × 120.000  =   12.000</w:t>
      </w:r>
    </w:p>
    <w:p>
      <w:pPr>
        <w:spacing w:after="0" w:before="0" w:line="276"/>
        <w:ind w:left="280"/>
        <w:jc w:val="left"/>
      </w:pPr>
      <w:r>
        <w:rPr>
          <w:rFonts w:ascii="Consolas" w:cs="Consolas" w:eastAsia="Consolas" w:hAnsi="Consolas"/>
          <w:color w:val="1F2933"/>
          <w:sz w:val="17"/>
          <w:szCs w:val="17"/>
        </w:rPr>
        <w:t xml:space="preserve">                                                ─────────</w:t>
      </w:r>
    </w:p>
    <w:p>
      <w:pPr>
        <w:spacing w:after="140" w:before="0" w:line="276"/>
        <w:ind w:left="280"/>
        <w:jc w:val="left"/>
      </w:pPr>
      <w:r>
        <w:rPr>
          <w:rFonts w:ascii="Consolas" w:cs="Consolas" w:eastAsia="Consolas" w:hAnsi="Consolas"/>
          <w:color w:val="1F2933"/>
          <w:sz w:val="17"/>
          <w:szCs w:val="17"/>
        </w:rPr>
        <w:t xml:space="preserve">  costo_directo del APU                       =  636.750  por m³</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Por qué las versiones son inmutables</w:t>
            </w:r>
          </w:p>
          <w:p>
            <w:pPr>
              <w:spacing w:after="40" w:line="276"/>
              <w:jc w:val="both"/>
            </w:pPr>
            <w:r>
              <w:rPr>
                <w:sz w:val="19"/>
                <w:szCs w:val="19"/>
              </w:rPr>
              <w:t xml:space="preserve">Un APU se guarda como cabecera estable más versiones congeladas. Cuando el usuario edita un APU no se modifica nada: se crea una versión nueva. Los presupuestos ya activados siguen apuntando a la versión que usaron, de modo que su valor no cambia nunca por detrás. Es lo que sostiene la promesa de que la línea base es intocable.</w:t>
            </w:r>
          </w:p>
        </w:tc>
      </w:tr>
    </w:tbl>
    <w:p>
      <w:pPr>
        <w:pStyle w:val="Heading1"/>
        <w:pBdr>
          <w:bottom w:val="single" w:color="13496B" w:sz="10" w:space="6"/>
        </w:pBdr>
        <w:spacing w:after="180" w:before="420"/>
      </w:pPr>
      <w:r>
        <w:rPr>
          <w:b/>
          <w:bCs/>
          <w:color w:val="13496B"/>
          <w:sz w:val="30"/>
          <w:szCs w:val="30"/>
        </w:rPr>
        <w:t xml:space="preserve">5. Presupuesto — actividades y estructura</w:t>
      </w:r>
    </w:p>
    <w:p>
      <w:pPr>
        <w:pStyle w:val="Heading2"/>
        <w:spacing w:after="120" w:before="300"/>
      </w:pPr>
      <w:r>
        <w:rPr>
          <w:b/>
          <w:bCs/>
          <w:color w:val="1F2933"/>
          <w:sz w:val="23"/>
          <w:szCs w:val="23"/>
        </w:rPr>
        <w:t xml:space="preserve">5.1 Costo total de una actividad</w:t>
      </w:r>
    </w:p>
    <w:p>
      <w:pPr>
        <w:spacing w:after="140" w:before="0" w:line="276"/>
        <w:ind w:left="280"/>
        <w:jc w:val="left"/>
      </w:pPr>
      <w:r>
        <w:rPr>
          <w:rFonts w:ascii="Consolas" w:cs="Consolas" w:eastAsia="Consolas" w:hAnsi="Consolas"/>
          <w:color w:val="1F2933"/>
          <w:sz w:val="17"/>
          <w:szCs w:val="17"/>
        </w:rPr>
        <w:t xml:space="preserve">costo_total = cantidad_de_obra × precio_unitario</w:t>
      </w:r>
    </w:p>
    <w:p>
      <w:pPr>
        <w:spacing w:after="120" w:before="0" w:line="276"/>
        <w:jc w:val="both"/>
      </w:pPr>
      <w:r>
        <w:rPr>
          <w:sz w:val="20"/>
          <w:szCs w:val="20"/>
        </w:rPr>
        <w:t xml:space="preserve">El precio unitario es una copia congelada del costo directo del APU en el momento de agregar la actividad, no una consulta viva. Esa copia es lo que permite que un presupuesto activo conserve su valor aunque el catálogo suba de precio al día siguiente.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⟦app.presupuesto_item⟧ · costo_total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RF-PRE-18 · RNF-10</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Ancla</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El ítem guarda además apu_version_id: el precio está congelado, pero la composición exacta que lo produjo sigue siendo consultable.</w:t>
            </w:r>
          </w:p>
        </w:tc>
      </w:tr>
    </w:tbl>
    <w:p>
      <w:pPr>
        <w:spacing w:after="60"/>
      </w:pPr>
    </w:p>
    <w:p>
      <w:pPr>
        <w:spacing w:after="140" w:before="0" w:line="276"/>
        <w:ind w:left="280"/>
        <w:jc w:val="left"/>
      </w:pPr>
      <w:r>
        <w:rPr>
          <w:rFonts w:ascii="Consolas" w:cs="Consolas" w:eastAsia="Consolas" w:hAnsi="Consolas"/>
          <w:color w:val="1F2933"/>
          <w:sz w:val="17"/>
          <w:szCs w:val="17"/>
        </w:rPr>
        <w:t xml:space="preserve">100 m³ de concreto × 636.750  =  63.675.000</w:t>
      </w:r>
    </w:p>
    <w:p>
      <w:pPr>
        <w:pStyle w:val="Heading2"/>
        <w:spacing w:after="120" w:before="300"/>
      </w:pPr>
      <w:r>
        <w:rPr>
          <w:b/>
          <w:bCs/>
          <w:color w:val="1F2933"/>
          <w:sz w:val="23"/>
          <w:szCs w:val="23"/>
        </w:rPr>
        <w:t xml:space="preserve">5.2 Monto acumulado de un capítulo</w:t>
      </w:r>
    </w:p>
    <w:p>
      <w:pPr>
        <w:spacing w:after="120" w:before="0" w:line="276"/>
        <w:jc w:val="both"/>
      </w:pPr>
      <w:r>
        <w:rPr>
          <w:sz w:val="20"/>
          <w:szCs w:val="20"/>
        </w:rPr>
        <w:t xml:space="preserve">Cada nivel de la estructura muestra la suma de todo lo que cuelga de él, a cualquier profundidad.</w:t>
      </w:r>
    </w:p>
    <w:p>
      <w:pPr>
        <w:spacing w:after="0" w:before="0" w:line="276"/>
        <w:ind w:left="280"/>
        <w:jc w:val="left"/>
      </w:pPr>
      <w:r>
        <w:rPr>
          <w:rFonts w:ascii="Consolas" w:cs="Consolas" w:eastAsia="Consolas" w:hAnsi="Consolas"/>
          <w:color w:val="1F2933"/>
          <w:sz w:val="17"/>
          <w:szCs w:val="17"/>
        </w:rPr>
        <w:t xml:space="preserve">monto_acumulado(nodo) = Σ costo_total de sus actividades directas</w:t>
      </w:r>
    </w:p>
    <w:p>
      <w:pPr>
        <w:spacing w:after="140" w:before="0" w:line="276"/>
        <w:ind w:left="280"/>
        <w:jc w:val="left"/>
      </w:pPr>
      <w:r>
        <w:rPr>
          <w:rFonts w:ascii="Consolas" w:cs="Consolas" w:eastAsia="Consolas" w:hAnsi="Consolas"/>
          <w:color w:val="1F2933"/>
          <w:sz w:val="17"/>
          <w:szCs w:val="17"/>
        </w:rPr>
        <w:t xml:space="preserve">                      + Σ monto_acumulado de sus nodos hijos</w:t>
      </w:r>
    </w:p>
    <w:p>
      <w:pPr>
        <w:spacing w:after="120" w:before="0" w:line="276"/>
        <w:jc w:val="both"/>
      </w:pPr>
      <w:r>
        <w:rPr>
          <w:sz w:val="20"/>
          <w:szCs w:val="20"/>
        </w:rPr>
        <w:t>Se resuelve con una consulta recursiva única, no recorriendo el árbol nodo por nodo desde la aplicación: cien actividades serían cien consultas. Esa consulta vive en app.fn_recalcular_presupuesto(), y la dispara la propia base ante cualquier alta, cambio o baja de actividad de un presupuesto Abierto: el backend no tiene que acordarse de llamarla. Como el disparador es por sentencia y no por fila, una carga masiva de actividades se hace en una sola sentencia, no en un bucle.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⟦app.wbs_nodo.monto_acumulado⟧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RF-PRE-21 · RNF-06</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Profundidad</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Ilimitada. El árbol se referencia a sí mismo por padre_id.</w:t>
            </w:r>
          </w:p>
        </w:tc>
      </w:tr>
    </w:tbl>
    <w:p>
      <w:pPr>
        <w:pStyle w:val="Heading2"/>
        <w:spacing w:after="120" w:before="300"/>
      </w:pPr>
      <w:r>
        <w:rPr>
          <w:b/>
          <w:bCs/>
          <w:color w:val="1F2933"/>
          <w:sz w:val="23"/>
          <w:szCs w:val="23"/>
        </w:rPr>
        <w:t xml:space="preserve">5.3 Código de la estructura</w:t>
      </w:r>
    </w:p>
    <w:p>
      <w:pPr>
        <w:spacing w:after="120" w:before="0" w:line="276"/>
        <w:jc w:val="both"/>
      </w:pPr>
      <w:r>
        <w:rPr>
          <w:sz w:val="20"/>
          <w:szCs w:val="20"/>
        </w:rPr>
        <w:t xml:space="preserve">El sistema asigna y recalcula la codificación; el usuario nunca la escribe. Al agregar, mover, reordenar o eliminar un nivel, todo el árbol se renumera solo. Bajo un mismo padre van primero los subcapítulos y después las actividades; los dos comparten el contador, así que no chocan. Los ceros a la izquierda solo igualan el ancho de un nivel: aparecen cuando el padre con más hijos de ese nivel tiene diez o más. La actividad guarda su número en ⟦presupuesto_item.codigo_item⟧ como llave y orden, pero no se muestra: en la pantalla y en lo que se exporta se identifica con el código de su APU (D-75, 13 de octubre de 2026; antes, D-42).</w:t>
      </w:r>
    </w:p>
    <w:p>
      <w:pPr>
        <w:spacing w:after="0" w:before="0" w:line="276"/>
        <w:ind w:left="280"/>
        <w:jc w:val="left"/>
      </w:pPr>
      <w:r>
        <w:rPr>
          <w:rFonts w:ascii="Consolas" w:cs="Consolas" w:eastAsia="Consolas" w:hAnsi="Consolas"/>
          <w:color w:val="1F2933"/>
          <w:sz w:val="17"/>
          <w:szCs w:val="17"/>
        </w:rPr>
        <w:t>código(hijo) = prefijo(padre) + "." + posición entre hermanos</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Capítulo           1, 2, 3…   (01 … 12 si el nivel tiene diez o más)</w:t>
      </w:r>
    </w:p>
    <w:p>
      <w:pPr>
        <w:spacing w:after="0" w:before="0" w:line="276"/>
        <w:ind w:left="280"/>
        <w:jc w:val="left"/>
      </w:pPr>
      <w:r>
        <w:rPr>
          <w:rFonts w:ascii="Consolas" w:cs="Consolas" w:eastAsia="Consolas" w:hAnsi="Consolas"/>
          <w:color w:val="1F2933"/>
          <w:sz w:val="17"/>
          <w:szCs w:val="17"/>
        </w:rPr>
        <w:t xml:space="preserve">Subcapítulos       1.1, 1.2…   (van antes que las actividades del capítulo)</w:t>
      </w:r>
    </w:p>
    <w:p>
      <w:pPr>
        <w:spacing w:after="140" w:before="0" w:line="276"/>
        <w:ind w:left="280"/>
        <w:jc w:val="left"/>
      </w:pPr>
      <w:r>
        <w:rPr>
          <w:rFonts w:ascii="Consolas" w:cs="Consolas" w:eastAsia="Consolas" w:hAnsi="Consolas"/>
          <w:color w:val="1F2933"/>
          <w:sz w:val="17"/>
          <w:szCs w:val="17"/>
        </w:rPr>
        <w:t>Nivel inferior     1.1.1, 1.1.2…</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⟦app.wbs_nodo.codigo_wbs⟧ · UNIQUE (presupuesto_id, codigo_wbs)</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RF-PRE-12, RF-PRE-14</w:t>
            </w:r>
          </w:p>
        </w:tc>
      </w:tr>
    </w:tbl>
    <w:p>
      <w:pPr>
        <w:pStyle w:val="Heading1"/>
        <w:pBdr>
          <w:bottom w:val="single" w:color="13496B" w:sz="10" w:space="6"/>
        </w:pBdr>
        <w:spacing w:after="180" w:before="420"/>
      </w:pPr>
      <w:r>
        <w:rPr>
          <w:b/>
          <w:bCs/>
          <w:color w:val="13496B"/>
          <w:sz w:val="30"/>
          <w:szCs w:val="30"/>
        </w:rPr>
        <w:t xml:space="preserve">6. Pie financiero — de los capítulos al valor ofertado</w:t>
      </w:r>
    </w:p>
    <w:p>
      <w:pPr>
        <w:spacing w:after="120" w:before="0" w:line="276"/>
        <w:jc w:val="both"/>
      </w:pPr>
      <w:r>
        <w:rPr>
          <w:sz w:val="20"/>
          <w:szCs w:val="20"/>
        </w:rPr>
        <w:t xml:space="preserve">Es el cálculo que produce la cifra que se le entrega al cliente. Cinco pasos, en este orden.</w:t>
      </w:r>
    </w:p>
    <w:p>
      <w:pPr>
        <w:pStyle w:val="Heading2"/>
        <w:spacing w:after="120" w:before="300"/>
      </w:pPr>
      <w:r>
        <w:rPr>
          <w:b/>
          <w:bCs/>
          <w:color w:val="1F2933"/>
          <w:sz w:val="23"/>
          <w:szCs w:val="23"/>
        </w:rPr>
        <w:t xml:space="preserve">6.1 Los dos totales de costo</w:t>
      </w:r>
    </w:p>
    <w:p>
      <w:pPr>
        <w:spacing w:after="120" w:before="0" w:line="276"/>
        <w:jc w:val="both"/>
      </w:pPr>
      <w:r>
        <w:rPr>
          <w:sz w:val="20"/>
          <w:szCs w:val="20"/>
        </w:rPr>
        <w:t>Cada capítulo de primer nivel está clasificado como costo directo o costo indirecto, y sus subniveles heredan esa clasificación (D-8, D-16). Los dos totales se calculan por separado.</w:t>
      </w:r>
    </w:p>
    <w:p>
      <w:pPr>
        <w:spacing w:after="0" w:before="0" w:line="276"/>
        <w:ind w:left="280"/>
        <w:jc w:val="left"/>
      </w:pPr>
      <w:r>
        <w:rPr>
          <w:rFonts w:ascii="Consolas" w:cs="Consolas" w:eastAsia="Consolas" w:hAnsi="Consolas"/>
          <w:color w:val="1F2933"/>
          <w:sz w:val="17"/>
          <w:szCs w:val="17"/>
        </w:rPr>
        <w:t xml:space="preserve">Costo Directo   (CD) = Σ actividades bajo capítulos clasificados DIRECTO</w:t>
      </w:r>
    </w:p>
    <w:p>
      <w:pPr>
        <w:spacing w:after="140" w:before="0" w:line="276"/>
        <w:ind w:left="280"/>
        <w:jc w:val="left"/>
      </w:pPr>
      <w:r>
        <w:rPr>
          <w:rFonts w:ascii="Consolas" w:cs="Consolas" w:eastAsia="Consolas" w:hAnsi="Consolas"/>
          <w:color w:val="1F2933"/>
          <w:sz w:val="17"/>
          <w:szCs w:val="17"/>
        </w:rPr>
        <w:t xml:space="preserve">Costo Indirecto (CI) = Σ actividades bajo capítulos clasificados INDIRECTO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000"/>
        <w:gridCol w:w="7020"/>
      </w:tblGrid>
      <w:tr>
        <w:trPr>
          <w:cantSplit/>
          <w:tblHeader/>
        </w:trPr>
        <w:tc>
          <w:tcPr>
            <w:tcW w:type="dxa" w:w="2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7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contiene</w:t>
            </w:r>
          </w:p>
        </w:tc>
      </w:tr>
      <w:tr>
        <w:trPr>
          <w:cantSplit/>
        </w:trPr>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7020"/>
            <w:shd w:fill="auto" w:color="auto" w:val="clear"/>
            <w:tcMar>
              <w:top w:type="dxa" w:w="70"/>
              <w:left w:type="dxa" w:w="110"/>
              <w:bottom w:type="dxa" w:w="70"/>
              <w:right w:type="dxa" w:w="110"/>
            </w:tcMar>
          </w:tcPr>
          <w:p>
            <w:pPr>
              <w:spacing w:after="40" w:before="40" w:line="240"/>
              <w:jc w:val="left"/>
            </w:pPr>
            <w:r>
              <w:rPr>
                <w:sz w:val="18"/>
                <w:szCs w:val="18"/>
              </w:rPr>
              <w:t xml:space="preserve">Obra física atribuible a una actividad medible: cimentación, estructura, mampostería, instalaciones, acabados.</w:t>
            </w:r>
          </w:p>
        </w:tc>
      </w:tr>
      <w:tr>
        <w:trPr>
          <w:cantSplit/>
        </w:trPr>
        <w:tc>
          <w:tcPr>
            <w:tcW w:type="dxa" w:w="2000"/>
            <w:shd w:fill="F7F9FA"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7020"/>
            <w:shd w:fill="F7F9FA" w:color="auto" w:val="clear"/>
            <w:tcMar>
              <w:top w:type="dxa" w:w="70"/>
              <w:left w:type="dxa" w:w="110"/>
              <w:bottom w:type="dxa" w:w="70"/>
              <w:right w:type="dxa" w:w="110"/>
            </w:tcMar>
          </w:tcPr>
          <w:p>
            <w:pPr>
              <w:spacing w:after="40" w:before="40" w:line="240"/>
              <w:jc w:val="left"/>
            </w:pPr>
            <w:r>
              <w:rPr>
                <w:sz w:val="18"/>
                <w:szCs w:val="18"/>
              </w:rPr>
              <w:t xml:space="preserve">Costos necesarios para la obra que no son obra física: topografía, estudio de suelos, dirección de obra, pólizas, campamento.</w:t>
            </w:r>
          </w:p>
        </w:tc>
      </w:tr>
    </w:tbl>
    <w:p>
      <w:pPr>
        <w:pStyle w:val="Heading2"/>
        <w:spacing w:after="120" w:before="300"/>
      </w:pPr>
      <w:r>
        <w:rPr>
          <w:b/>
          <w:bCs/>
          <w:color w:val="1F2933"/>
          <w:sz w:val="23"/>
          <w:szCs w:val="23"/>
        </w:rPr>
        <w:t xml:space="preserve">6.2 El AIU</w:t>
      </w:r>
    </w:p>
    <w:p>
      <w:pPr>
        <w:spacing w:after="120" w:before="0" w:line="276"/>
        <w:jc w:val="both"/>
      </w:pPr>
      <w:r>
        <w:rPr>
          <w:sz w:val="20"/>
          <w:szCs w:val="20"/>
        </w:rPr>
        <w:t>Administración, Imprevistos y Utilidad. Los tres porcentajes se aplican, cada uno por separado, sobre el costo directo — y únicamente sobre él. Sobre la utilidad, y solo sobre ella, se calcula después el IVA.</w:t>
      </w:r>
    </w:p>
    <w:p>
      <w:pPr>
        <w:spacing w:after="0" w:before="0" w:line="276"/>
        <w:ind w:left="280"/>
        <w:jc w:val="left"/>
      </w:pPr>
      <w:r>
        <w:rPr>
          <w:rFonts w:ascii="Consolas" w:cs="Consolas" w:eastAsia="Consolas" w:hAnsi="Consolas"/>
          <w:color w:val="1F2933"/>
          <w:sz w:val="17"/>
          <w:szCs w:val="17"/>
        </w:rPr>
        <w:t xml:space="preserve">A   = CD × %A ÷ 100</w:t>
      </w:r>
    </w:p>
    <w:p>
      <w:pPr>
        <w:spacing w:after="0" w:before="0" w:line="276"/>
        <w:ind w:left="280"/>
        <w:jc w:val="left"/>
      </w:pPr>
      <w:r>
        <w:rPr>
          <w:rFonts w:ascii="Consolas" w:cs="Consolas" w:eastAsia="Consolas" w:hAnsi="Consolas"/>
          <w:color w:val="1F2933"/>
          <w:sz w:val="17"/>
          <w:szCs w:val="17"/>
        </w:rPr>
        <w:t xml:space="preserve">I   = CD × %I ÷ 100</w:t>
      </w:r>
    </w:p>
    <w:p>
      <w:pPr>
        <w:spacing w:after="0" w:before="0" w:line="276"/>
        <w:ind w:left="280"/>
        <w:jc w:val="left"/>
      </w:pPr>
      <w:r>
        <w:rPr>
          <w:rFonts w:ascii="Consolas" w:cs="Consolas" w:eastAsia="Consolas" w:hAnsi="Consolas"/>
          <w:color w:val="1F2933"/>
          <w:sz w:val="17"/>
          <w:szCs w:val="17"/>
        </w:rPr>
        <w:t xml:space="preserve">U   = CD × %U ÷ 100</w:t>
      </w:r>
    </w:p>
    <w:p>
      <w:pPr>
        <w:spacing w:after="140" w:before="0" w:line="276"/>
        <w:ind w:left="280"/>
        <w:jc w:val="left"/>
      </w:pPr>
      <w:r>
        <w:rPr>
          <w:rFonts w:ascii="Consolas" w:cs="Consolas" w:eastAsia="Consolas" w:hAnsi="Consolas"/>
          <w:color w:val="1F2933"/>
          <w:sz w:val="17"/>
          <w:szCs w:val="17"/>
        </w:rPr>
        <w:t xml:space="preserve">AIU = A + I + U</w:t>
      </w:r>
    </w:p>
    <w:p>
      <w:pPr>
        <w:spacing w:after="140" w:before="0" w:line="276"/>
        <w:ind w:left="280"/>
        <w:jc w:val="left"/>
      </w:pPr>
      <w:r>
        <w:rPr>
          <w:rFonts w:ascii="Consolas" w:cs="Consolas" w:eastAsia="Consolas" w:hAnsi="Consolas"/>
          <w:color w:val="1F2933"/>
          <w:sz w:val="17"/>
          <w:szCs w:val="17"/>
        </w:rPr>
        <w:t>IVA = U × %IVA ÷ 100</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Los capítulos indirectos NO entran en la base del AIU</w:t>
            </w:r>
          </w:p>
          <w:p>
            <w:pPr>
              <w:spacing w:after="110" w:line="276"/>
              <w:jc w:val="both"/>
            </w:pPr>
            <w:r>
              <w:rPr>
                <w:sz w:val="19"/>
                <w:szCs w:val="19"/>
              </w:rPr>
              <w:t xml:space="preserve">Si el sueldo del director de obra ya está cuantificado peso a peso dentro de un capítulo indirecto, aplicarle encima el porcentaje de Administración lo cobraría dos veces. La A del AIU existe para estimar la administración cuando no se detalla; donde sí se detalla, sobra.</w:t>
            </w:r>
          </w:p>
          <w:p>
            <w:pPr>
              <w:spacing w:after="40" w:line="276"/>
              <w:jc w:val="both"/>
            </w:pPr>
            <w:r>
              <w:rPr>
                <w:sz w:val="19"/>
                <w:szCs w:val="19"/>
              </w:rPr>
              <w:t>Sobre el ejemplo de la sección 8: con la base correcta el AIU da 21.098.000. Si la base incluyera los indirectos daría 31.698.000, y el cliente pagaría 10.600.000 de más por una administración que ya le facturaron en detalle.</w:t>
            </w:r>
          </w:p>
        </w:tc>
      </w:tr>
    </w:tbl>
    <w:p>
      <w:pPr>
        <w:spacing w:after="40"/>
      </w:pPr>
    </w:p>
    <w:p>
      <w:pPr>
        <w:pStyle w:val="Heading2"/>
        <w:spacing w:after="120" w:before="300"/>
      </w:pPr>
      <w:r>
        <w:rPr>
          <w:b/>
          <w:bCs/>
          <w:color w:val="1F2933"/>
          <w:sz w:val="23"/>
          <w:szCs w:val="23"/>
        </w:rPr>
        <w:t xml:space="preserve">6.3 Valor total</w:t>
      </w:r>
    </w:p>
    <w:p>
      <w:pPr>
        <w:spacing w:after="140" w:before="0" w:line="276"/>
        <w:ind w:left="280"/>
        <w:jc w:val="left"/>
      </w:pPr>
      <w:r>
        <w:rPr>
          <w:rFonts w:ascii="Consolas" w:cs="Consolas" w:eastAsia="Consolas" w:hAnsi="Consolas"/>
          <w:color w:val="1F2933"/>
          <w:sz w:val="17"/>
          <w:szCs w:val="17"/>
        </w:rPr>
        <w:t>Valor Total = CD + CI + AIU + IVA</w:t>
      </w:r>
    </w:p>
    <w:p>
      <w:pPr>
        <w:spacing w:after="120" w:before="0" w:line="276"/>
        <w:jc w:val="both"/>
      </w:pPr>
      <w:r>
        <w:rPr>
          <w:sz w:val="20"/>
          <w:szCs w:val="20"/>
        </w:rPr>
        <w:t>La aritmética no fija el orden en que esto se muestra, y el orden cambió. Hasta el 30 de septiembre de 2026 el pie ponía el costo directo primero, con el AIU pegado a él —que es lo único sobre lo que se calcula— y el costo indirecto al final, sin porcentaje encima. Por decisión del dueño del proyecto, de esa fecha, el orden es ahora: costo indirecto, costo directo, Administración, Imprevistos, Utilidad, AIU, IVA, VALOR TOTAL. La sección 8.4 lo muestra con cifras.</w:t>
      </w:r>
    </w:p>
    <w:p>
      <w:pPr/>
      <w:r>
        <w:t>Ese orden tiene un costo que conviene tener presente, porque lo paga el cliente que lee la oferta: con el AIU separado de la Utilidad por un renglón, y con la etiqueta corta «IVA (19,00 %)» que el mismo acuerdo fijó, la línea del IVA ya no dice sobre qué se calculó. La base sigue siendo la Utilidad y solo la Utilidad —la fórmula de 6.2 no cambió—, pero quien reciba el PDF no lo lee ahí: lo tiene que saber o preguntar. Es una concesión deliberada a la limpieza del pie, no un descuido, y este documento es el lugar donde queda dicho.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⟦app.presupuesto⟧ · total_costo_directo, total_costo_indirecto, total_aiu, total_iva, valor_total</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Función</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 xml:space="preserve">app.fn_recalcular_presupuesto(presupuesto_id)</w:t>
            </w:r>
          </w:p>
        </w:tc>
      </w:tr>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RF-PRE-22, RN-08, RN-16 · decisiones D-3 y D-16</w:t>
            </w:r>
          </w:p>
        </w:tc>
      </w:tr>
    </w:tbl>
    <w:p>
      <w:pPr>
        <w:pStyle w:val="Heading2"/>
        <w:spacing w:after="120" w:before="300"/>
      </w:pPr>
      <w:r>
        <w:rPr>
          <w:b/>
          <w:bCs/>
          <w:color w:val="1F2933"/>
          <w:sz w:val="23"/>
          <w:szCs w:val="23"/>
        </w:rPr>
        <w:t>6.4 Los porcentajes del AIU y del IVA son un campo, no una constante</w:t>
      </w:r>
    </w:p>
    <w:p>
      <w:pPr>
        <w:spacing w:after="120" w:before="0" w:line="276"/>
        <w:jc w:val="both"/>
      </w:pPr>
      <w:r>
        <w:rPr>
          <w:sz w:val="20"/>
          <w:szCs w:val="20"/>
        </w:rPr>
        <w:t>Los cuatro viven en cada presupuesto porque varían con cada obra, y no hay AIU estándar de la empresa que los precargue (D-41). Quedan editables mientras el presupuesto esté Abierto.</w:t>
      </w:r>
    </w:p>
    <w:p>
      <w:pPr>
        <w:spacing w:after="120" w:before="0" w:line="276"/>
        <w:jc w:val="both"/>
      </w:pPr>
      <w:r>
        <w:rPr>
          <w:sz w:val="20"/>
          <w:szCs w:val="20"/>
        </w:rPr>
        <w:t>El valor por defecto de los tres del AIU es cero. No existen en la empresa: la D-41 los sacó de la configuración general a propósito, así que viven solo en cada presupuesto; el del IVA es 19 %, porque esa tarifa la pone la ley y no el ingeniero. El sistema no inventa un AIU del 25% ni ningún otro número: un AIU puesto por el programa y no revisado por el ingeniero es peor que un cero, que salta a la vista. Al activar un proyecto con el AIU en cero, la confirmación lo advierte (RF-PRE-35).</w:t>
      </w:r>
    </w:p>
    <w:p>
      <w:pPr>
        <w:pStyle w:val="Heading2"/>
        <w:spacing w:after="120" w:before="300"/>
      </w:pPr>
      <w:r>
        <w:rPr>
          <w:b/>
          <w:bCs/>
          <w:color w:val="1F2933"/>
          <w:sz w:val="23"/>
          <w:szCs w:val="23"/>
        </w:rPr>
        <w:t xml:space="preserve">6.5 Porcentaje de incidencia</w:t>
      </w:r>
    </w:p>
    <w:p>
      <w:pPr>
        <w:spacing w:after="120" w:before="0" w:line="276"/>
        <w:jc w:val="both"/>
      </w:pPr>
      <w:r>
        <w:rPr>
          <w:sz w:val="20"/>
          <w:szCs w:val="20"/>
        </w:rPr>
        <w:t xml:space="preserve">El peso de un capítulo dentro de la obra. Sirve para comparar: si la estructura pesa un 35% en este proyecto y un 50% en otro parecido, hay algo que revisar.</w:t>
      </w:r>
    </w:p>
    <w:p>
      <w:pPr>
        <w:spacing w:after="140" w:before="0" w:line="276"/>
        <w:ind w:left="280"/>
        <w:jc w:val="left"/>
      </w:pPr>
      <w:r>
        <w:rPr>
          <w:rFonts w:ascii="Consolas" w:cs="Consolas" w:eastAsia="Consolas" w:hAnsi="Consolas"/>
          <w:color w:val="1F2933"/>
          <w:sz w:val="17"/>
          <w:szCs w:val="17"/>
        </w:rPr>
        <w:t xml:space="preserve">% incidencia(capítulo) = monto_acumulado(capítulo) ÷ CD × 100</w:t>
      </w:r>
    </w:p>
    <w:p>
      <w:pPr>
        <w:spacing w:after="120" w:before="0" w:line="276"/>
        <w:jc w:val="both"/>
      </w:pPr>
      <w:r>
        <w:rPr>
          <w:sz w:val="20"/>
          <w:szCs w:val="20"/>
        </w:rPr>
        <w:t>El denominador es el costo directo total. Ni el AIU ni los capítulos indirectos entran en él. La consecuencia es que los capítulos directos de primer nivel suman exactamente 100% cuando se suman con precisión completa. En pantalla no siempre: con tres capítulos iguales y dos decimales de vista, 33,33 % × 3 da 99,99 %. Por eso la comprobación del 100 % se hace sobre los montos, no sobre los porcentajes redondeados, y la interfaz no debe avisar de un error de cálculo por una diferencia menor a un punto de la última cifra mostrada: sería una falsa alarma diaria.</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Un capítulo indirecto puede pesar la mitad del costo directo y no es un error</w:t>
            </w:r>
          </w:p>
          <w:p>
            <w:pPr>
              <w:spacing w:after="40" w:line="276"/>
              <w:jc w:val="both"/>
            </w:pPr>
            <w:r>
              <w:rPr>
                <w:sz w:val="19"/>
                <w:szCs w:val="19"/>
              </w:rPr>
              <w:t>Los capítulos indirectos se miden contra esa misma base pero quedan fuera del 100%. Son dos naturalezas distintas y no se suman en el mismo porcentaje. Ver el ejemplo de la sección 8, donde preliminares da 50,24% mientras los dos capítulos directos suman 100%.</w:t>
            </w:r>
          </w:p>
        </w:tc>
      </w:tr>
    </w:tbl>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900"/>
        <w:gridCol w:w="7120"/>
      </w:tblGrid>
      <w:tr>
        <w:trPr>
          <w:cantSplit/>
        </w:trPr>
        <w:tc>
          <w:tcPr>
            <w:tcW w:type="dxa" w:w="1900"/>
            <w:shd w:fill="auto" w:color="auto" w:val="clear"/>
            <w:tcMar>
              <w:top w:type="dxa" w:w="70"/>
              <w:left w:type="dxa" w:w="110"/>
              <w:bottom w:type="dxa" w:w="70"/>
              <w:right w:type="dxa" w:w="110"/>
            </w:tcMar>
          </w:tcPr>
          <w:p>
            <w:pPr>
              <w:spacing w:after="40" w:before="40" w:line="240"/>
              <w:jc w:val="left"/>
            </w:pPr>
            <w:r>
              <w:rPr>
                <w:sz w:val="18"/>
                <w:szCs w:val="18"/>
              </w:rPr>
              <w:t xml:space="preserve">Dónde</w:t>
            </w:r>
          </w:p>
        </w:tc>
        <w:tc>
          <w:tcPr>
            <w:tcW w:type="dxa" w:w="7120"/>
            <w:shd w:fill="auto" w:color="auto" w:val="clear"/>
            <w:tcMar>
              <w:top w:type="dxa" w:w="70"/>
              <w:left w:type="dxa" w:w="110"/>
              <w:bottom w:type="dxa" w:w="70"/>
              <w:right w:type="dxa" w:w="110"/>
            </w:tcMar>
          </w:tcPr>
          <w:p>
            <w:pPr>
              <w:spacing w:after="40" w:before="40" w:line="240"/>
              <w:jc w:val="left"/>
            </w:pPr>
            <w:r>
              <w:rPr>
                <w:sz w:val="18"/>
                <w:szCs w:val="18"/>
              </w:rPr>
              <w:t xml:space="preserve">Derivado, no almacenado. Se calcula al pintar la mesa de trabajo.</w:t>
            </w:r>
          </w:p>
        </w:tc>
      </w:tr>
      <w:tr>
        <w:trPr>
          <w:cantSplit/>
        </w:trPr>
        <w:tc>
          <w:tcPr>
            <w:tcW w:type="dxa" w:w="1900"/>
            <w:shd w:fill="F7F9FA" w:color="auto" w:val="clear"/>
            <w:tcMar>
              <w:top w:type="dxa" w:w="70"/>
              <w:left w:type="dxa" w:w="110"/>
              <w:bottom w:type="dxa" w:w="70"/>
              <w:right w:type="dxa" w:w="110"/>
            </w:tcMar>
          </w:tcPr>
          <w:p>
            <w:pPr>
              <w:spacing w:after="40" w:before="40" w:line="240"/>
              <w:jc w:val="left"/>
            </w:pPr>
            <w:r>
              <w:rPr>
                <w:sz w:val="18"/>
                <w:szCs w:val="18"/>
              </w:rPr>
              <w:t xml:space="preserve">Requisitos</w:t>
            </w:r>
          </w:p>
        </w:tc>
        <w:tc>
          <w:tcPr>
            <w:tcW w:type="dxa" w:w="7120"/>
            <w:shd w:fill="F7F9FA" w:color="auto" w:val="clear"/>
            <w:tcMar>
              <w:top w:type="dxa" w:w="70"/>
              <w:left w:type="dxa" w:w="110"/>
              <w:bottom w:type="dxa" w:w="70"/>
              <w:right w:type="dxa" w:w="110"/>
            </w:tcMar>
          </w:tcPr>
          <w:p>
            <w:pPr>
              <w:spacing w:after="40" w:before="40" w:line="240"/>
              <w:jc w:val="left"/>
            </w:pPr>
            <w:r>
              <w:rPr>
                <w:sz w:val="18"/>
                <w:szCs w:val="18"/>
              </w:rPr>
              <w:t>RF-PRE-21, RN-17 · decisión D-9</w:t>
            </w:r>
          </w:p>
        </w:tc>
      </w:tr>
    </w:tbl>
    <w:p>
      <w:pPr>
        <w:pStyle w:val="Heading2"/>
        <w:spacing w:after="120" w:before="300"/>
      </w:pPr>
      <w:r>
        <w:rPr>
          <w:b/>
          <w:bCs/>
          <w:color w:val="1F2933"/>
          <w:sz w:val="23"/>
          <w:szCs w:val="23"/>
        </w:rPr>
        <w:t>6.6 La división que puede dar cero</w:t>
      </w:r>
    </w:p>
    <w:p>
      <w:pPr>
        <w:spacing w:after="120" w:before="0" w:line="276"/>
        <w:jc w:val="both"/>
      </w:pPr>
      <w:r>
        <w:rPr>
          <w:sz w:val="20"/>
          <w:szCs w:val="20"/>
        </w:rPr>
        <w:t>El sistema hace dos divisiones por un valor variable. Solo una de ellas —la que divide por el costo directo— puede recibir un cero en el divisor, y es la que hay que blindar; la que divide por 1 + IVA ÷ 100 nunca lo recibe.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300"/>
        <w:gridCol w:w="2400"/>
        <w:gridCol w:w="4320"/>
      </w:tblGrid>
      <w:tr>
        <w:trPr>
          <w:cantSplit/>
          <w:tblHeader/>
        </w:trPr>
        <w:tc>
          <w:tcPr>
            <w:tcW w:type="dxa" w:w="2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Divide por</w:t>
            </w:r>
          </w:p>
        </w:tc>
        <w:tc>
          <w:tcPr>
            <w:tcW w:type="dxa" w:w="4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¿Puede ser cero?</w:t>
            </w:r>
          </w:p>
        </w:tc>
      </w:tr>
      <w:tr>
        <w:trPr>
          <w:cantSplit/>
        </w:trPr>
        <w:tc>
          <w:tcPr>
            <w:tcW w:type="dxa" w:w="2300"/>
            <w:shd w:fill="auto" w:color="auto" w:val="clear"/>
            <w:tcMar>
              <w:top w:type="dxa" w:w="70"/>
              <w:left w:type="dxa" w:w="110"/>
              <w:bottom w:type="dxa" w:w="70"/>
              <w:right w:type="dxa" w:w="110"/>
            </w:tcMar>
          </w:tcPr>
          <w:p>
            <w:pPr>
              <w:spacing w:after="40" w:before="40" w:line="240"/>
              <w:jc w:val="left"/>
            </w:pPr>
            <w:r>
              <w:rPr>
                <w:sz w:val="18"/>
                <w:szCs w:val="18"/>
              </w:rPr>
              <w:t xml:space="preserve">% de incidencia</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Costo directo total</w:t>
            </w:r>
          </w:p>
        </w:tc>
        <w:tc>
          <w:tcPr>
            <w:tcW w:type="dxa" w:w="4320"/>
            <w:shd w:fill="auto" w:color="auto" w:val="clear"/>
            <w:tcMar>
              <w:top w:type="dxa" w:w="70"/>
              <w:left w:type="dxa" w:w="110"/>
              <w:bottom w:type="dxa" w:w="70"/>
              <w:right w:type="dxa" w:w="110"/>
            </w:tcMar>
          </w:tcPr>
          <w:p>
            <w:pPr>
              <w:spacing w:after="40" w:before="40" w:line="240"/>
              <w:jc w:val="left"/>
            </w:pPr>
            <w:r>
              <w:rPr>
                <w:sz w:val="18"/>
                <w:szCs w:val="18"/>
              </w:rPr>
              <w:t xml:space="preserve">Sí — presupuesto vacío, o con todos los capítulos indirectos</w:t>
            </w:r>
          </w:p>
        </w:tc>
      </w:tr>
      <w:tr>
        <w:trPr>
          <w:cantSplit/>
        </w:trPr>
        <w:tc>
          <w:tcPr>
            <w:tcW w:type="dxa" w:w="2300"/>
            <w:shd w:fill="F7F9FA" w:color="auto" w:val="clear"/>
            <w:tcMar>
              <w:top w:type="dxa" w:w="70"/>
              <w:left w:type="dxa" w:w="110"/>
              <w:bottom w:type="dxa" w:w="70"/>
              <w:right w:type="dxa" w:w="110"/>
            </w:tcMar>
          </w:tcPr>
          <w:p>
            <w:pPr>
              <w:spacing w:after="40" w:before="40" w:line="240"/>
              <w:jc w:val="left"/>
            </w:pPr>
            <w:r>
              <w:rPr>
                <w:sz w:val="18"/>
                <w:szCs w:val="18"/>
              </w:rPr>
              <w:t xml:space="preserve">Precio base desde el total</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(1 + IVA ÷ 100)</w:t>
            </w:r>
          </w:p>
        </w:tc>
        <w:tc>
          <w:tcPr>
            <w:tcW w:type="dxa" w:w="4320"/>
            <w:shd w:fill="F7F9FA" w:color="auto" w:val="clear"/>
            <w:tcMar>
              <w:top w:type="dxa" w:w="70"/>
              <w:left w:type="dxa" w:w="110"/>
              <w:bottom w:type="dxa" w:w="70"/>
              <w:right w:type="dxa" w:w="110"/>
            </w:tcMar>
          </w:tcPr>
          <w:p>
            <w:pPr>
              <w:spacing w:after="40" w:before="40" w:line="240"/>
              <w:jc w:val="left"/>
            </w:pPr>
            <w:r>
              <w:rPr>
                <w:sz w:val="18"/>
                <w:szCs w:val="18"/>
              </w:rPr>
              <w:t xml:space="preserve">No — el IVA nunca es negativo, el divisor es ≥ 1</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El peligro no es que reviente: es que no reviente</w:t>
            </w:r>
          </w:p>
          <w:p>
            <w:pPr>
              <w:spacing w:after="40" w:line="276"/>
              <w:jc w:val="both"/>
            </w:pPr>
            <w:r>
              <w:rPr>
                <w:sz w:val="19"/>
                <w:szCs w:val="19"/>
              </w:rPr>
              <w:t xml:space="preserve">PostgreSQL lanza un error ante una división por cero y el problema se ve. Pero si ese cálculo se hace en el navegador, JavaScript devuelve Infinity o NaN y la pantalla muestra «Infinity %» sin que nada falle. Un error silencioso en una cifra que el usuario le va a enseñar a un cliente es peor que una caída.</w:t>
            </w:r>
          </w:p>
        </w:tc>
      </w:tr>
    </w:tbl>
    <w:p>
      <w:pPr>
        <w:spacing w:after="120" w:before="0" w:line="276"/>
        <w:jc w:val="both"/>
      </w:pPr>
      <w:r>
        <w:rPr>
          <w:sz w:val="20"/>
          <w:szCs w:val="20"/>
        </w:rPr>
        <w:t>Por eso la división se hace en SQL y el divisor pasa siempre por NULLIF:</w:t>
      </w:r>
    </w:p>
    <w:p>
      <w:pPr>
        <w:spacing w:after="0" w:before="0" w:line="276"/>
        <w:ind w:left="280"/>
        <w:jc w:val="left"/>
      </w:pPr>
      <w:r>
        <w:rPr>
          <w:rFonts w:ascii="Consolas" w:cs="Consolas" w:eastAsia="Consolas" w:hAnsi="Consolas"/>
          <w:color w:val="1F2933"/>
          <w:sz w:val="17"/>
          <w:szCs w:val="17"/>
        </w:rPr>
        <w:t xml:space="preserve">-- incidencia</w:t>
      </w:r>
    </w:p>
    <w:p>
      <w:pPr>
        <w:spacing w:after="0" w:before="0" w:line="276"/>
        <w:ind w:left="280"/>
        <w:jc w:val="left"/>
      </w:pPr>
      <w:r>
        <w:rPr>
          <w:rFonts w:ascii="Consolas" w:cs="Consolas" w:eastAsia="Consolas" w:hAnsi="Consolas"/>
          <w:color w:val="1F2933"/>
          <w:sz w:val="17"/>
          <w:szCs w:val="17"/>
        </w:rPr>
        <w:t xml:space="preserve">n.monto_acumulado / NULLIF(p.total_costo_directo, 0) * 100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 xml:space="preserve"/>
      </w:r>
    </w:p>
    <w:p>
      <w:pPr>
        <w:spacing w:after="120" w:before="0" w:line="276"/>
        <w:jc w:val="both"/>
      </w:pPr>
      <w:r>
        <w:rPr>
          <w:sz w:val="20"/>
          <w:szCs w:val="20"/>
        </w:rPr>
        <w:t xml:space="preserve">NULLIF(x, 0) devuelve NULL cuando x vale cero, y cualquier operación con NULL da NULL. La consulta no falla: devuelve vacío, y la interfaz pinta un guion.</w:t>
      </w:r>
    </w:p>
    <w:p>
      <w:pPr>
        <w:spacing w:after="120" w:before="0" w:line="276"/>
        <w:jc w:val="both"/>
      </w:pPr>
      <w:r>
        <w:rPr>
          <w:sz w:val="20"/>
          <w:szCs w:val="20"/>
        </w:rPr>
        <w:t xml:space="preserve">Un guion y no un cero, deliberadamente. Un cero significaría que ese capítulo no pesa nada dentro de la obra, cuando puede ser el presupuesto entero. El guion dice lo único cierto: que el porcentaje no se puede calcular.</w:t>
      </w:r>
    </w:p>
    <w:p>
      <w:pPr>
        <w:pStyle w:val="Heading2"/>
        <w:spacing w:after="120" w:before="300"/>
      </w:pPr>
      <w:r>
        <w:rPr>
          <w:b/>
          <w:bCs/>
          <w:color w:val="1F2933"/>
          <w:sz w:val="23"/>
          <w:szCs w:val="23"/>
        </w:rPr>
        <w:t xml:space="preserve">6.7 Un presupuesto sin capítulos directos</w:t>
      </w:r>
    </w:p>
    <w:p>
      <w:pPr>
        <w:spacing w:after="120" w:before="0" w:line="276"/>
        <w:jc w:val="both"/>
      </w:pPr>
      <w:r>
        <w:rPr>
          <w:sz w:val="20"/>
          <w:szCs w:val="20"/>
        </w:rPr>
        <w:t xml:space="preserve">Es el caso que hace cero al costo directo, y tiene una consecuencia que va más allá de la incidencia: si la base del AIU es cero, el AIU da cero. Aritméticamente es correcto —no hay base sobre la que aplicarlo— pero comercialmente es un desastre: el constructor configura 10/5/5, ve un AIU en cero y pierde toda su utilidad sin que nada le avise.</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Casi siempre es un error de clasificación, no del sistema</w:t>
            </w:r>
          </w:p>
          <w:p>
            <w:pPr>
              <w:spacing w:after="110" w:line="276"/>
              <w:jc w:val="both"/>
            </w:pPr>
            <w:r>
              <w:rPr>
                <w:sz w:val="19"/>
                <w:szCs w:val="19"/>
              </w:rPr>
              <w:t xml:space="preserve">«Indirecto» es relativo al objeto del contrato. El sueldo del director de obra es un costo indirecto en un contrato de construcción, pero el equipo profesional ES el costo directo de un contrato de interventoría o de consultoría.</w:t>
            </w:r>
          </w:p>
          <w:p>
            <w:pPr>
              <w:spacing w:after="40" w:line="276"/>
              <w:jc w:val="both"/>
            </w:pPr>
            <w:r>
              <w:rPr>
                <w:sz w:val="19"/>
                <w:szCs w:val="19"/>
              </w:rPr>
              <w:t xml:space="preserve">Quien presupueste un servicio y clasifique todo como indirecto está aplicando la lógica de un contrato de obra a otro que no lo es. El sistema no puede corregirlo por él, pero sí puede decírselo.</w:t>
            </w:r>
          </w:p>
        </w:tc>
      </w:tr>
    </w:tbl>
    <w:p>
      <w:pPr>
        <w:spacing w:after="120" w:before="0" w:line="276"/>
        <w:jc w:val="both"/>
      </w:pPr>
      <w:r>
        <w:rPr>
          <w:sz w:val="20"/>
          <w:szCs w:val="20"/>
        </w:rPr>
        <w:t>Por eso el pie financiero muestra un aviso permanente, no bloqueante, cuando el presupuesto no tiene ningún capítulo directo y el AIU está configurado con porcentajes mayores que cero (RF-PRE-36). El texto señala la causa probable en vez de limitarse a avisar del cero.</w:t>
      </w:r>
    </w:p>
    <w:p>
      <w:pPr/>
      <w:r>
        <w:t>Y tiene que seguir a la vista. Desde el 30 de septiembre de 2026 el pie de la mesa de trabajo muestra solo dos renglones —costo directo y valor total— y el desglose vive en un panel lateral. Este aviso NO se va al panel: un aviso que hay que abrir para verlo no avisa, y justamente el error que señala —un capítulo clasificado como indirecto cuando era directo— es de los que no producen ningún otro síntoma.</w:t>
      </w:r>
    </w:p>
    <w:p>
      <w:pPr>
        <w:spacing w:after="0" w:before="0" w:line="276"/>
        <w:ind w:left="280"/>
        <w:jc w:val="left"/>
      </w:pPr>
      <w:r>
        <w:rPr>
          <w:rFonts w:ascii="Consolas" w:cs="Consolas" w:eastAsia="Consolas" w:hAnsi="Consolas"/>
          <w:color w:val="1F2933"/>
          <w:sz w:val="17"/>
          <w:szCs w:val="17"/>
        </w:rPr>
        <w:t xml:space="preserve">sin_base = (total_costo_directo = 0)</w:t>
      </w:r>
    </w:p>
    <w:p>
      <w:pPr>
        <w:spacing w:after="140" w:before="0" w:line="276"/>
        <w:ind w:left="280"/>
        <w:jc w:val="left"/>
      </w:pPr>
      <w:r>
        <w:rPr>
          <w:rFonts w:ascii="Consolas" w:cs="Consolas" w:eastAsia="Consolas" w:hAnsi="Consolas"/>
          <w:color w:val="1F2933"/>
          <w:sz w:val="17"/>
          <w:szCs w:val="17"/>
        </w:rPr>
        <w:t xml:space="preserve">           Y (aiu_administracion + aiu_imprevistos + aiu_utilidad &gt; 0)</w:t>
      </w:r>
    </w:p>
    <w:p>
      <w:pPr>
        <w:spacing w:after="120" w:before="0" w:line="276"/>
        <w:jc w:val="both"/>
      </w:pPr>
      <w:r>
        <w:rPr>
          <w:sz w:val="20"/>
          <w:szCs w:val="20"/>
        </w:rPr>
        <w:t>El MVP presupuesta obra de construcción y nada más, así que este caso es siempre una señal de que algo se clasificó mal. Cuando el sistema admita otros tipos de proyecto —la columna ⟦presupuesto.tipo_proyecto⟧ está preparada para ello (D-17)— el aviso podrá afinarse según el tipo.</w:t>
      </w:r>
    </w:p>
    <w:p>
      <w:pPr>
        <w:pStyle w:val="Heading1"/>
        <w:pBdr>
          <w:bottom w:val="single" w:color="13496B" w:sz="10" w:space="6"/>
        </w:pBdr>
        <w:spacing w:after="180" w:before="420"/>
      </w:pPr>
      <w:r>
        <w:rPr>
          <w:b/>
          <w:bCs/>
          <w:color w:val="13496B"/>
          <w:sz w:val="30"/>
          <w:szCs w:val="30"/>
        </w:rPr>
        <w:t>7. Suscripción y acceso</w:t>
      </w:r>
    </w:p>
    <w:p>
      <w:pPr>
        <w:spacing w:after="120" w:before="0" w:line="276"/>
        <w:jc w:val="both"/>
      </w:pPr>
      <w:r>
        <w:rPr>
          <w:sz w:val="20"/>
          <w:szCs w:val="20"/>
        </w:rPr>
        <w:t xml:space="preserve">No es aritmética de obra, pero es cálculo del sistema y decide si el usuario entra o no.</w:t>
      </w:r>
    </w:p>
    <w:p>
      <w:pPr>
        <w:pStyle w:val="Heading2"/>
        <w:spacing w:after="120" w:before="300"/>
      </w:pPr>
      <w:r>
        <w:rPr>
          <w:b/>
          <w:bCs/>
          <w:color w:val="1F2933"/>
          <w:sz w:val="23"/>
          <w:szCs w:val="23"/>
        </w:rPr>
        <w:t>7.1 Vigencia</w:t>
      </w:r>
    </w:p>
    <w:p>
      <w:pPr>
        <w:spacing w:after="140" w:before="0" w:line="276"/>
        <w:ind w:left="280"/>
        <w:jc w:val="left"/>
      </w:pPr>
      <w:r>
        <w:rPr>
          <w:rFonts w:ascii="Consolas" w:cs="Consolas" w:eastAsia="Consolas" w:hAnsi="Consolas"/>
          <w:color w:val="1F2933"/>
          <w:sz w:val="17"/>
          <w:szCs w:val="17"/>
        </w:rPr>
        <w:t xml:space="preserve">estado, acceso, plazos = plataforma.fn_ciclo_suscripcion(tenant_id)</w:t>
        <w:br/>
        <w:t xml:space="preserve"/>
        <w:br/>
        <w:t xml:space="preserve">En prueba    hoy ≤ vencimiento                                → completo</w:t>
        <w:br/>
        <w:t xml:space="preserve">Vencida      hasta vencimiento + PRUEBA_SOLO_LECTURA días          → solo lectura</w:t>
        <w:br/>
        <w:t xml:space="preserve">Activa       hoy ≤ vencimiento                                → completo</w:t>
        <w:br/>
        <w:t xml:space="preserve">Por pagar    hasta vencimiento + GRACIA_PAGO días hábiles          → completo</w:t>
        <w:br/>
        <w:t xml:space="preserve">Suspendida   desde el día siguiente; se elimina el</w:t>
        <w:br/>
        <w:t xml:space="preserve">             suspendida_desde + SUSPENSION días                → solo la suscripción</w:t>
        <w:br/>
        <w:t xml:space="preserve">Cancelada    hasta la fecha pagada                            → completo</w:t>
        <w:br/>
        <w:t xml:space="preserve">             después, REACTIVACION días                        → solo reactivar</w:t>
        <w:br/>
        <w:t xml:space="preserve">Rechazo de un pago reportado a tiempo: el plazo llega al menos a</w:t>
        <w:br/>
        <w:t xml:space="preserve">             rechazo + PLAZO_TRAS_RECHAZO días hábiles</w:t>
        <w:br/>
        <w:t xml:space="preserve">(La única función que calcula el estado de una empresa: la pantalla, el rechazo del servidor y el panel leen de ella, así que no pueden discrepar. No hay un proceso que cambie estados: todo se deriva de las fechas (D-74). Un pago reportado a tiempo y todavía sin verificar mantiene el estado mientras se verifica. La suspensión del superadministrador tapa el estado y el acceso, no los plazos.)</w:t>
      </w:r>
    </w:p>
    <w:p>
      <w:pPr>
        <w:spacing w:after="120" w:before="0" w:line="276"/>
        <w:jc w:val="both"/>
      </w:pPr>
      <w:r>
        <w:rPr>
          <w:sz w:val="20"/>
          <w:szCs w:val="20"/>
        </w:rPr>
        <w:t xml:space="preserve">Los nombres en mayúsculas son plazos con vigencia (D-78, documento 07): cada uno se cuenta con el valor que regía el día desde el que corre, así que un cambio solo alcanza a los plazos que empiecen después. Valores iniciales: GRACIA_PAGO 2 días hábiles, PLAZO_TRAS_RECHAZO 2 días hábiles, SUSPENSION 60 días, PRUEBA_SOLO_LECTURA 10 días, REACTIVACION 10 días. Los días hábiles son de lunes a viernes, sin los festivos de Colombia, que la base calcula (Ley Emiliani y Pascua).</w:t>
      </w:r>
    </w:p>
    <w:p>
      <w:pPr>
        <w:spacing w:after="120" w:before="0" w:line="276"/>
        <w:jc w:val="both"/>
      </w:pPr>
      <w:r>
        <w:rPr>
          <w:sz w:val="20"/>
          <w:szCs w:val="20"/>
        </w:rPr>
        <w:t xml:space="preserve">Con la prueba vencida la empresa queda en SOLO LECTURA: abre Recursos, APU y Presupuestos, los consulta y los exporta, y cualquier cosa que escriba se rechaza. Hasta el 30 de septiembre de 2026 este documento decía que no los abría en absoluto; la decisión del dueño, de esa fecha, es que sí —porque los datos son del cliente—. Lo que pasa y lo que no lo decide una condición sobre la acción del permiso: pasan VER y EXPORTAR, se rechaza el resto (D-65). Suspendida, o cancelada después de su fecha pagada, solo entra a la suscripción y a exportar sus proyectos (D-74, D-76). La verificación se repite en el servidor en cada petición y no solo al ingresar (RF-AUT-14, RF-AUT-15, RN-18), y vive dentro de app.fn_exigir_permiso, que lee la misma función con la que la pantalla decide qué mostrar: así no pueden contradecirse.</w:t>
      </w:r>
    </w:p>
    <w:p>
      <w:pPr>
        <w:pStyle w:val="Heading2"/>
        <w:spacing w:after="120" w:before="300"/>
      </w:pPr>
      <w:r>
        <w:rPr>
          <w:b/>
          <w:bCs/>
          <w:color w:val="1F2933"/>
          <w:sz w:val="23"/>
          <w:szCs w:val="23"/>
        </w:rPr>
        <w:t>7.2 Período de prueba</w:t>
      </w:r>
    </w:p>
    <w:p>
      <w:pPr>
        <w:spacing w:after="0" w:before="0" w:line="276"/>
        <w:ind w:left="280"/>
        <w:jc w:val="left"/>
      </w:pPr>
      <w:r>
        <w:rPr>
          <w:rFonts w:ascii="Consolas" w:cs="Consolas" w:eastAsia="Consolas" w:hAnsi="Consolas"/>
          <w:color w:val="1F2933"/>
          <w:sz w:val="17"/>
          <w:szCs w:val="17"/>
        </w:rPr>
        <w:t xml:space="preserve">fecha_vencimiento = fecha_registro + plan.dias_prueba        (15 por defecto)</w:t>
      </w:r>
    </w:p>
    <w:p>
      <w:pPr>
        <w:spacing w:after="140" w:before="0" w:line="276"/>
        <w:ind w:left="280"/>
        <w:jc w:val="left"/>
      </w:pPr>
      <w:r>
        <w:rPr>
          <w:rFonts w:ascii="Consolas" w:cs="Consolas" w:eastAsia="Consolas" w:hAnsi="Consolas"/>
          <w:color w:val="1F2933"/>
          <w:sz w:val="17"/>
          <w:szCs w:val="17"/>
        </w:rPr>
        <w:t xml:space="preserve">fecha_de_aviso    = fecha_vencimiento − 2 días</w:t>
      </w:r>
    </w:p>
    <w:p>
      <w:pPr>
        <w:spacing w:after="120" w:before="0" w:line="276"/>
        <w:jc w:val="both"/>
      </w:pPr>
      <w:r>
        <w:rPr>
          <w:sz w:val="20"/>
          <w:szCs w:val="20"/>
        </w:rPr>
        <w:t>Los días de prueba son un campo del plan, no una constante del código: cambiarlos no exige tocar el sistema (D-14, RF-SAD-11).</w:t>
      </w:r>
    </w:p>
    <w:p>
      <w:pPr>
        <w:spacing w:after="120" w:before="0" w:line="276"/>
        <w:jc w:val="both"/>
      </w:pPr>
      <w:r>
        <w:rPr>
          <w:sz w:val="20"/>
          <w:szCs w:val="20"/>
        </w:rPr>
        <w:t xml:space="preserve">Al terminar la prueba sin pago, la empresa tiene PRUEBA_SOLO_LECTURA días (10 al inicio) en solo lectura para decidir. Si no paga, queda cancelada y la purga diaria elimina sus datos al día siguiente del plazo. Un pago reportado dentro del plazo la protege mientras se verifica, y un rechazo le da PLAZO_TRAS_RECHAZO días hábiles para reenviarlo (D-76, 13 de octubre de 2026).</w:t>
      </w:r>
    </w:p>
    <w:p>
      <w:pPr>
        <w:pStyle w:val="Heading2"/>
        <w:spacing w:after="120" w:before="300"/>
      </w:pPr>
      <w:r>
        <w:rPr>
          <w:b/>
          <w:bCs/>
          <w:color w:val="1F2933"/>
          <w:sz w:val="23"/>
          <w:szCs w:val="23"/>
        </w:rPr>
        <w:t>7.3 Registro de un pago</w:t>
      </w:r>
    </w:p>
    <w:p>
      <w:pPr>
        <w:spacing w:after="0" w:before="0" w:line="276"/>
        <w:ind w:left="280"/>
        <w:jc w:val="left"/>
      </w:pPr>
      <w:r>
        <w:rPr>
          <w:rFonts w:ascii="Consolas" w:cs="Consolas" w:eastAsia="Consolas" w:hAnsi="Consolas"/>
          <w:color w:val="1F2933"/>
          <w:sz w:val="17"/>
          <w:szCs w:val="17"/>
        </w:rPr>
        <w:t>cubre_hasta = max(fecha_vencimiento anterior, hoy) + periodo_meses</w:t>
        <w:br/>
        <w:t>(El máximo es lo que devuelve el acceso a quien paga con retraso: sin él, una prueba vencida el 30 de junio que paga treinta días el 15 de septiembre quedaría cubierta hasta el 30 de julio, es decir, seguiría bloqueada después de pagar. Implementada en plataforma.fn_registrar_pago(), que además limpia las dos marcas de aviso.)</w:t>
      </w:r>
    </w:p>
    <w:p>
      <w:pPr>
        <w:spacing w:after="140" w:before="0" w:line="276"/>
        <w:ind w:left="280"/>
        <w:jc w:val="left"/>
      </w:pPr>
      <w:r>
        <w:rPr>
          <w:rFonts w:ascii="Consolas" w:cs="Consolas" w:eastAsia="Consolas" w:hAnsi="Consolas"/>
          <w:color w:val="1F2933"/>
          <w:sz w:val="17"/>
          <w:szCs w:val="17"/>
        </w:rPr>
        <w:t xml:space="preserve">estado                  = ACTIVA</w:t>
      </w:r>
    </w:p>
    <w:p>
      <w:pPr>
        <w:spacing w:after="120" w:before="0" w:line="276"/>
        <w:jc w:val="both"/>
      </w:pPr>
      <w:r>
        <w:rPr>
          <w:sz w:val="20"/>
          <w:szCs w:val="20"/>
        </w:rPr>
        <w:t>El cobro es manual: el cliente paga por transferencia o PSE y el superadministrador registra el pago, lo que extiende el vencimiento. No hay pasarela de pagos en el MVP (D-13, RF-SAD-12). El corte de acceso sí lo hace el sistema solo, por fecha.</w:t>
      </w:r>
    </w:p>
    <w:p>
      <w:pPr>
        <w:spacing w:after="120" w:before="0" w:line="276"/>
        <w:jc w:val="both"/>
      </w:pPr>
      <w:r>
        <w:rPr>
          <w:sz w:val="20"/>
          <w:szCs w:val="20"/>
        </w:rPr>
        <w:t xml:space="preserve">Desde el 11 de octubre de 2026 la empresa también reporta su pago, con el comprobante. Reportar no mueve la suscripción ni un día: cuando el superadministrador lo confirma, plataforma.fn_confirmar_pago aplica la misma fórmula de cubre_hasta; si lo rechaza, el motivo le llega a la empresa (D-73).</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Qué borra datos, y cuándo</w:t>
            </w:r>
          </w:p>
          <w:p>
            <w:pPr>
              <w:spacing w:after="40" w:line="276"/>
              <w:jc w:val="both"/>
            </w:pPr>
            <w:r>
              <w:rPr>
                <w:sz w:val="19"/>
                <w:szCs w:val="19"/>
              </w:rPr>
              <w:t xml:space="preserve">Perder el acceso no es perder la información de inmediato. Desde el 11 y el 13 de octubre de 2026 (D-74, D-76) una purga diaria, plataforma.fn_purgar_empresas, elimina los datos en tres casos y en ningún otro: la empresa suspendida por falta de pago al vencer su plazo de suspensión, la cancelada que no se reactivó en su plazo y la prueba que terminó sus días de solo lectura sin pago. Un pago reportado y pendiente detiene la purga, y hasta el último día la empresa puede exportar sus proyectos. El superadministrador también puede eliminar a mano, con justificación (RF-SAD-15).</w:t>
            </w:r>
          </w:p>
        </w:tc>
      </w:tr>
    </w:tbl>
    <w:p>
      <w:pPr>
        <w:pStyle w:val="Heading1"/>
        <w:pBdr>
          <w:bottom w:val="single" w:color="13496B" w:sz="10" w:space="6"/>
        </w:pBdr>
        <w:spacing w:after="180" w:before="420"/>
      </w:pPr>
      <w:r>
        <w:rPr>
          <w:b/>
          <w:bCs/>
          <w:color w:val="13496B"/>
          <w:sz w:val="30"/>
          <w:szCs w:val="30"/>
        </w:rPr>
        <w:t>8. Ejemplo completo, de punta a punta</w:t>
      </w:r>
    </w:p>
    <w:p>
      <w:pPr>
        <w:spacing w:after="120" w:before="0" w:line="276"/>
        <w:jc w:val="both"/>
      </w:pPr>
      <w:r>
        <w:rPr>
          <w:sz w:val="20"/>
          <w:szCs w:val="20"/>
        </w:rPr>
        <w:t xml:space="preserve">Un mismo presupuesto recorrido por todas las fórmulas anteriores. Las cifras se ejecutaron sobre PostgreSQL 16 y son las que devuelve el sistema.</w:t>
      </w:r>
    </w:p>
    <w:p>
      <w:pPr>
        <w:pStyle w:val="Heading2"/>
        <w:spacing w:after="120" w:before="300"/>
      </w:pPr>
      <w:r>
        <w:rPr>
          <w:b/>
          <w:bCs/>
          <w:color w:val="1F2933"/>
          <w:sz w:val="23"/>
          <w:szCs w:val="23"/>
        </w:rPr>
        <w:t>8.1 Recursos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700"/>
        <w:gridCol w:w="1300"/>
        <w:gridCol w:w="1000"/>
        <w:gridCol w:w="1400"/>
        <w:gridCol w:w="800"/>
        <w:gridCol w:w="1820"/>
      </w:tblGrid>
      <w:tr>
        <w:trPr>
          <w:cantSplit/>
          <w:tblHeader/>
        </w:trPr>
        <w:tc>
          <w:tcPr>
            <w:tcW w:type="dxa" w:w="2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1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Tipo</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Unidad</w:t>
            </w:r>
          </w:p>
        </w:tc>
        <w:tc>
          <w:tcPr>
            <w:tcW w:type="dxa" w:w="1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Base</w:t>
            </w:r>
          </w:p>
        </w:tc>
        <w:tc>
          <w:tcPr>
            <w:tcW w:type="dxa" w:w="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IVA</w:t>
            </w:r>
          </w:p>
        </w:tc>
        <w:tc>
          <w:tcPr>
            <w:tcW w:type="dxa" w:w="18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Total</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sz w:val="18"/>
                <w:szCs w:val="18"/>
              </w:rPr>
              <w:t xml:space="preserve">Concreto premezclado 3000 PSI</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Material</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m³</w:t>
            </w:r>
          </w:p>
        </w:tc>
        <w:tc>
          <w:tcPr>
            <w:tcW w:type="dxa" w:w="1400"/>
            <w:shd w:fill="auto" w:color="auto" w:val="clear"/>
            <w:tcMar>
              <w:top w:type="dxa" w:w="70"/>
              <w:left w:type="dxa" w:w="110"/>
              <w:bottom w:type="dxa" w:w="70"/>
              <w:right w:type="dxa" w:w="110"/>
            </w:tcMar>
          </w:tcPr>
          <w:p>
            <w:pPr>
              <w:spacing w:after="40" w:before="40" w:line="240"/>
              <w:jc w:val="left"/>
            </w:pPr>
            <w:r>
              <w:rPr>
                <w:sz w:val="18"/>
                <w:szCs w:val="18"/>
              </w:rPr>
              <w:t xml:space="preserve">500.000</w:t>
            </w:r>
          </w:p>
        </w:tc>
        <w:tc>
          <w:tcPr>
            <w:tcW w:type="dxa" w:w="800"/>
            <w:shd w:fill="auto" w:color="auto" w:val="clear"/>
            <w:tcMar>
              <w:top w:type="dxa" w:w="70"/>
              <w:left w:type="dxa" w:w="110"/>
              <w:bottom w:type="dxa" w:w="70"/>
              <w:right w:type="dxa" w:w="110"/>
            </w:tcMar>
          </w:tcPr>
          <w:p>
            <w:pPr>
              <w:spacing w:after="40" w:before="40" w:line="240"/>
              <w:jc w:val="left"/>
            </w:pPr>
            <w:r>
              <w:rPr>
                <w:sz w:val="18"/>
                <w:szCs w:val="18"/>
              </w:rPr>
              <w:t xml:space="preserve">19%</w:t>
            </w:r>
          </w:p>
        </w:tc>
        <w:tc>
          <w:tcPr>
            <w:tcW w:type="dxa" w:w="1820"/>
            <w:shd w:fill="auto" w:color="auto" w:val="clear"/>
            <w:tcMar>
              <w:top w:type="dxa" w:w="70"/>
              <w:left w:type="dxa" w:w="110"/>
              <w:bottom w:type="dxa" w:w="70"/>
              <w:right w:type="dxa" w:w="110"/>
            </w:tcMar>
          </w:tcPr>
          <w:p>
            <w:pPr>
              <w:spacing w:after="40" w:before="40" w:line="240"/>
              <w:jc w:val="left"/>
            </w:pPr>
            <w:r>
              <w:rPr>
                <w:sz w:val="18"/>
                <w:szCs w:val="18"/>
              </w:rPr>
              <w:t xml:space="preserve">595.000</w:t>
            </w:r>
          </w:p>
        </w:tc>
      </w:tr>
      <w:tr>
        <w:trPr>
          <w:cantSplit/>
        </w:trPr>
        <w:tc>
          <w:tcPr>
            <w:tcW w:type="dxa" w:w="2700"/>
            <w:shd w:fill="F7F9FA" w:color="auto" w:val="clear"/>
            <w:tcMar>
              <w:top w:type="dxa" w:w="70"/>
              <w:left w:type="dxa" w:w="110"/>
              <w:bottom w:type="dxa" w:w="70"/>
              <w:right w:type="dxa" w:w="110"/>
            </w:tcMar>
          </w:tcPr>
          <w:p>
            <w:pPr>
              <w:spacing w:after="40" w:before="40" w:line="240"/>
              <w:jc w:val="left"/>
            </w:pPr>
            <w:r>
              <w:rPr>
                <w:sz w:val="18"/>
                <w:szCs w:val="18"/>
              </w:rPr>
              <w:t xml:space="preserve">Oficial de obra</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Personal</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Jr</w:t>
            </w:r>
          </w:p>
        </w:tc>
        <w:tc>
          <w:tcPr>
            <w:tcW w:type="dxa" w:w="140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c>
          <w:tcPr>
            <w:tcW w:type="dxa" w:w="800"/>
            <w:shd w:fill="F7F9FA" w:color="auto" w:val="clear"/>
            <w:tcMar>
              <w:top w:type="dxa" w:w="70"/>
              <w:left w:type="dxa" w:w="110"/>
              <w:bottom w:type="dxa" w:w="70"/>
              <w:right w:type="dxa" w:w="110"/>
            </w:tcMar>
          </w:tcPr>
          <w:p>
            <w:pPr>
              <w:spacing w:after="40" w:before="40" w:line="240"/>
              <w:jc w:val="left"/>
            </w:pPr>
            <w:r>
              <w:rPr>
                <w:sz w:val="18"/>
                <w:szCs w:val="18"/>
              </w:rPr>
              <w:t xml:space="preserve">0%</w:t>
            </w:r>
          </w:p>
        </w:tc>
        <w:tc>
          <w:tcPr>
            <w:tcW w:type="dxa" w:w="182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r>
    </w:tbl>
    <w:p>
      <w:pPr>
        <w:pStyle w:val="Heading2"/>
        <w:spacing w:after="120" w:before="300"/>
      </w:pPr>
      <w:r>
        <w:rPr>
          <w:b/>
          <w:bCs/>
          <w:color w:val="1F2933"/>
          <w:sz w:val="23"/>
          <w:szCs w:val="23"/>
        </w:rPr>
        <w:t>8.2 APU — Concreto 3000 PSI para zapatas (m³)</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700"/>
        <w:gridCol w:w="900"/>
        <w:gridCol w:w="1000"/>
        <w:gridCol w:w="900"/>
        <w:gridCol w:w="1600"/>
        <w:gridCol w:w="1920"/>
      </w:tblGrid>
      <w:tr>
        <w:trPr>
          <w:cantSplit/>
          <w:tblHeader/>
        </w:trPr>
        <w:tc>
          <w:tcPr>
            <w:tcW w:type="dxa" w:w="2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Rend.</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Desp.</w:t>
            </w:r>
          </w:p>
        </w:tc>
        <w:tc>
          <w:tcPr>
            <w:tcW w:type="dxa" w:w="1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Precio</w:t>
            </w:r>
          </w:p>
        </w:tc>
        <w:tc>
          <w:tcPr>
            <w:tcW w:type="dxa" w:w="19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Subtotal</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sz w:val="18"/>
                <w:szCs w:val="18"/>
              </w:rPr>
              <w:t xml:space="preserve">Concreto premezclado</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1,00</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595.000</w:t>
            </w:r>
          </w:p>
        </w:tc>
        <w:tc>
          <w:tcPr>
            <w:tcW w:type="dxa" w:w="1920"/>
            <w:shd w:fill="auto" w:color="auto" w:val="clear"/>
            <w:tcMar>
              <w:top w:type="dxa" w:w="70"/>
              <w:left w:type="dxa" w:w="110"/>
              <w:bottom w:type="dxa" w:w="70"/>
              <w:right w:type="dxa" w:w="110"/>
            </w:tcMar>
          </w:tcPr>
          <w:p>
            <w:pPr>
              <w:spacing w:after="40" w:before="40" w:line="240"/>
              <w:jc w:val="left"/>
            </w:pPr>
            <w:r>
              <w:rPr>
                <w:sz w:val="18"/>
                <w:szCs w:val="18"/>
              </w:rPr>
              <w:t xml:space="preserve">624.750</w:t>
            </w:r>
          </w:p>
        </w:tc>
      </w:tr>
      <w:tr>
        <w:trPr>
          <w:cantSplit/>
        </w:trPr>
        <w:tc>
          <w:tcPr>
            <w:tcW w:type="dxa" w:w="2700"/>
            <w:shd w:fill="F7F9FA" w:color="auto" w:val="clear"/>
            <w:tcMar>
              <w:top w:type="dxa" w:w="70"/>
              <w:left w:type="dxa" w:w="110"/>
              <w:bottom w:type="dxa" w:w="70"/>
              <w:right w:type="dxa" w:w="110"/>
            </w:tcMar>
          </w:tcPr>
          <w:p>
            <w:pPr>
              <w:spacing w:after="40" w:before="40" w:line="240"/>
              <w:jc w:val="left"/>
            </w:pPr>
            <w:r>
              <w:rPr>
                <w:sz w:val="18"/>
                <w:szCs w:val="18"/>
              </w:rPr>
              <w:t xml:space="preserve">Oficial de obra</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0,05</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0%</w:t>
            </w:r>
          </w:p>
        </w:tc>
        <w:tc>
          <w:tcPr>
            <w:tcW w:type="dxa" w:w="1600"/>
            <w:shd w:fill="F7F9FA" w:color="auto" w:val="clear"/>
            <w:tcMar>
              <w:top w:type="dxa" w:w="70"/>
              <w:left w:type="dxa" w:w="110"/>
              <w:bottom w:type="dxa" w:w="70"/>
              <w:right w:type="dxa" w:w="110"/>
            </w:tcMar>
          </w:tcPr>
          <w:p>
            <w:pPr>
              <w:spacing w:after="40" w:before="40" w:line="240"/>
              <w:jc w:val="left"/>
            </w:pPr>
            <w:r>
              <w:rPr>
                <w:sz w:val="18"/>
                <w:szCs w:val="18"/>
              </w:rPr>
              <w:t xml:space="preserve">120.000</w:t>
            </w:r>
          </w:p>
        </w:tc>
        <w:tc>
          <w:tcPr>
            <w:tcW w:type="dxa" w:w="1920"/>
            <w:shd w:fill="F7F9FA" w:color="auto" w:val="clear"/>
            <w:tcMar>
              <w:top w:type="dxa" w:w="70"/>
              <w:left w:type="dxa" w:w="110"/>
              <w:bottom w:type="dxa" w:w="70"/>
              <w:right w:type="dxa" w:w="110"/>
            </w:tcMar>
          </w:tcPr>
          <w:p>
            <w:pPr>
              <w:spacing w:after="40" w:before="40" w:line="240"/>
              <w:jc w:val="left"/>
            </w:pPr>
            <w:r>
              <w:rPr>
                <w:sz w:val="18"/>
                <w:szCs w:val="18"/>
              </w:rPr>
              <w:t xml:space="preserve">12.000</w:t>
            </w:r>
          </w:p>
        </w:tc>
      </w:tr>
      <w:tr>
        <w:trPr>
          <w:cantSplit/>
        </w:trPr>
        <w:tc>
          <w:tcPr>
            <w:tcW w:type="dxa" w:w="2700"/>
            <w:shd w:fill="auto" w:color="auto" w:val="clear"/>
            <w:tcMar>
              <w:top w:type="dxa" w:w="70"/>
              <w:left w:type="dxa" w:w="110"/>
              <w:bottom w:type="dxa" w:w="70"/>
              <w:right w:type="dxa" w:w="110"/>
            </w:tcMar>
          </w:tcPr>
          <w:p>
            <w:pPr>
              <w:spacing w:after="40" w:before="40" w:line="240"/>
              <w:jc w:val="left"/>
            </w:pPr>
            <w:r>
              <w:rPr>
                <w:b/>
                <w:bCs/>
                <w:sz w:val="18"/>
                <w:szCs w:val="18"/>
              </w:rPr>
              <w:t xml:space="preserve">Costo directo del APU</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920"/>
            <w:shd w:fill="auto" w:color="auto" w:val="clear"/>
            <w:tcMar>
              <w:top w:type="dxa" w:w="70"/>
              <w:left w:type="dxa" w:w="110"/>
              <w:bottom w:type="dxa" w:w="70"/>
              <w:right w:type="dxa" w:w="110"/>
            </w:tcMar>
          </w:tcPr>
          <w:p>
            <w:pPr>
              <w:spacing w:after="40" w:before="40" w:line="240"/>
              <w:jc w:val="left"/>
            </w:pPr>
            <w:r>
              <w:rPr>
                <w:b/>
                <w:bCs/>
                <w:sz w:val="18"/>
                <w:szCs w:val="18"/>
              </w:rPr>
              <w:t xml:space="preserve">636.750</w:t>
            </w:r>
          </w:p>
        </w:tc>
      </w:tr>
    </w:tbl>
    <w:p>
      <w:pPr>
        <w:pStyle w:val="Heading2"/>
        <w:spacing w:after="120" w:before="300"/>
      </w:pPr>
      <w:r>
        <w:rPr>
          <w:b/>
          <w:bCs/>
          <w:color w:val="1F2933"/>
          <w:sz w:val="23"/>
          <w:szCs w:val="23"/>
        </w:rPr>
        <w:t>8.3 Presupuesto — Casa campestre El Retiro</w:t>
      </w:r>
    </w:p>
    <w:p>
      <w:pPr>
        <w:spacing w:after="120" w:before="0" w:line="276"/>
        <w:jc w:val="both"/>
      </w:pPr>
      <w:r>
        <w:rPr>
          <w:sz w:val="20"/>
          <w:szCs w:val="20"/>
        </w:rPr>
        <w:t xml:space="preserve">Con tres capítulos el código es 1, 2, 3, sin ceros (D-75). En el sistema cada actividad se identifica con el código de su APU; este ejemplo no les asignó uno, así que su casilla va vacía.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700"/>
        <w:gridCol w:w="4000"/>
        <w:gridCol w:w="1300"/>
        <w:gridCol w:w="1000"/>
        <w:gridCol w:w="2020"/>
      </w:tblGrid>
      <w:tr>
        <w:trPr>
          <w:cantSplit/>
          <w:tblHeader/>
        </w:trPr>
        <w:tc>
          <w:tcPr>
            <w:tcW w:type="dxa" w:w="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Cód.</w:t>
            </w:r>
          </w:p>
        </w:tc>
        <w:tc>
          <w:tcPr>
            <w:tcW w:type="dxa" w:w="4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Capítulo / actividad</w:t>
            </w:r>
          </w:p>
        </w:tc>
        <w:tc>
          <w:tcPr>
            <w:tcW w:type="dxa" w:w="13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w:t>
            </w:r>
          </w:p>
        </w:tc>
        <w:tc>
          <w:tcPr>
            <w:tcW w:type="dxa" w:w="1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w:t>
            </w:r>
          </w:p>
        </w:tc>
        <w:tc>
          <w:tcPr>
            <w:tcW w:type="dxa" w:w="2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Valor</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4000"/>
            <w:shd w:fill="auto" w:color="auto" w:val="clear"/>
            <w:tcMar>
              <w:top w:type="dxa" w:w="70"/>
              <w:left w:type="dxa" w:w="110"/>
              <w:bottom w:type="dxa" w:w="70"/>
              <w:right w:type="dxa" w:w="110"/>
            </w:tcMar>
          </w:tcPr>
          <w:p>
            <w:pPr>
              <w:spacing w:after="40" w:before="40" w:line="240"/>
              <w:jc w:val="left"/>
            </w:pPr>
            <w:r>
              <w:rPr>
                <w:b/>
                <w:bCs/>
                <w:sz w:val="18"/>
                <w:szCs w:val="18"/>
              </w:rPr>
              <w:t xml:space="preserve">PRELIMINARES</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auto" w:color="auto" w:val="clear"/>
            <w:tcMar>
              <w:top w:type="dxa" w:w="70"/>
              <w:left w:type="dxa" w:w="110"/>
              <w:bottom w:type="dxa" w:w="70"/>
              <w:right w:type="dxa" w:w="110"/>
            </w:tcMar>
          </w:tcPr>
          <w:p>
            <w:pPr>
              <w:spacing w:after="40" w:before="40" w:line="240"/>
              <w:jc w:val="left"/>
            </w:pPr>
            <w:r>
              <w:rPr>
                <w:b/>
                <w:bCs/>
                <w:sz w:val="18"/>
                <w:szCs w:val="18"/>
              </w:rPr>
              <w:t xml:space="preserve">53.000.000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Topografía y replanteo (Glb)</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3.200.000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Estudio de suelos (Glb)</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4.800.000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Director de obra (Ms)</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6</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45.000.000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4000"/>
            <w:shd w:fill="auto" w:color="auto" w:val="clear"/>
            <w:tcMar>
              <w:top w:type="dxa" w:w="70"/>
              <w:left w:type="dxa" w:w="110"/>
              <w:bottom w:type="dxa" w:w="70"/>
              <w:right w:type="dxa" w:w="110"/>
            </w:tcMar>
          </w:tcPr>
          <w:p>
            <w:pPr>
              <w:spacing w:after="40" w:before="40" w:line="240"/>
              <w:jc w:val="left"/>
            </w:pPr>
            <w:r>
              <w:rPr>
                <w:b/>
                <w:bCs/>
                <w:sz w:val="18"/>
                <w:szCs w:val="18"/>
              </w:rPr>
              <w:t xml:space="preserve">CIMENTACIÓN</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auto" w:color="auto" w:val="clear"/>
            <w:tcMar>
              <w:top w:type="dxa" w:w="70"/>
              <w:left w:type="dxa" w:w="110"/>
              <w:bottom w:type="dxa" w:w="70"/>
              <w:right w:type="dxa" w:w="110"/>
            </w:tcMar>
          </w:tcPr>
          <w:p>
            <w:pPr>
              <w:spacing w:after="40" w:before="40" w:line="240"/>
              <w:jc w:val="left"/>
            </w:pPr>
            <w:r>
              <w:rPr>
                <w:b/>
                <w:bCs/>
                <w:sz w:val="18"/>
                <w:szCs w:val="18"/>
              </w:rPr>
              <w:t xml:space="preserve">68.295.000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Excavación manual (m³)</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120</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4.620.000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Concreto 3000 PSI para zapatas (m³)</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100</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63.675.000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4000"/>
            <w:shd w:fill="F7F9FA" w:color="auto" w:val="clear"/>
            <w:tcMar>
              <w:top w:type="dxa" w:w="70"/>
              <w:left w:type="dxa" w:w="110"/>
              <w:bottom w:type="dxa" w:w="70"/>
              <w:right w:type="dxa" w:w="110"/>
            </w:tcMar>
          </w:tcPr>
          <w:p>
            <w:pPr>
              <w:spacing w:after="40" w:before="40" w:line="240"/>
              <w:jc w:val="left"/>
            </w:pPr>
            <w:r>
              <w:rPr>
                <w:b/>
                <w:bCs/>
                <w:sz w:val="18"/>
                <w:szCs w:val="18"/>
              </w:rPr>
              <w:t xml:space="preserve">ESTRUCTURA</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020"/>
            <w:shd w:fill="F7F9FA" w:color="auto" w:val="clear"/>
            <w:tcMar>
              <w:top w:type="dxa" w:w="70"/>
              <w:left w:type="dxa" w:w="110"/>
              <w:bottom w:type="dxa" w:w="70"/>
              <w:right w:type="dxa" w:w="110"/>
            </w:tcMar>
          </w:tcPr>
          <w:p>
            <w:pPr>
              <w:spacing w:after="40" w:before="40" w:line="240"/>
              <w:jc w:val="left"/>
            </w:pPr>
            <w:r>
              <w:rPr>
                <w:b/>
                <w:bCs/>
                <w:sz w:val="18"/>
                <w:szCs w:val="18"/>
              </w:rPr>
              <w:t xml:space="preserve">37.195.000</w:t>
            </w:r>
          </w:p>
        </w:tc>
      </w:tr>
      <w:tr>
        <w:trPr>
          <w:cantSplit/>
        </w:trPr>
        <w:tc>
          <w:tcPr>
            <w:tcW w:type="dxa" w:w="700"/>
            <w:shd w:fill="auto" w:color="auto" w:val="clear"/>
            <w:tcMar>
              <w:top w:type="dxa" w:w="70"/>
              <w:left w:type="dxa" w:w="110"/>
              <w:bottom w:type="dxa" w:w="70"/>
              <w:right w:type="dxa" w:w="110"/>
            </w:tcMar>
          </w:tcPr>
          <w:p>
            <w:pPr>
              <w:spacing w:after="40" w:before="40" w:line="240"/>
              <w:jc w:val="left"/>
            </w:pPr>
          </w:p>
        </w:tc>
        <w:tc>
          <w:tcPr>
            <w:tcW w:type="dxa" w:w="4000"/>
            <w:shd w:fill="auto" w:color="auto" w:val="clear"/>
            <w:tcMar>
              <w:top w:type="dxa" w:w="70"/>
              <w:left w:type="dxa" w:w="110"/>
              <w:bottom w:type="dxa" w:w="70"/>
              <w:right w:type="dxa" w:w="110"/>
            </w:tcMar>
          </w:tcPr>
          <w:p>
            <w:pPr>
              <w:spacing w:after="40" w:before="40" w:line="240"/>
              <w:jc w:val="left"/>
            </w:pPr>
            <w:r>
              <w:rPr>
                <w:sz w:val="18"/>
                <w:szCs w:val="18"/>
              </w:rPr>
              <w:t xml:space="preserve">Acero de refuerzo 60.000 PSI (Kg)</w:t>
            </w:r>
          </w:p>
        </w:tc>
        <w:tc>
          <w:tcPr>
            <w:tcW w:type="dxa" w:w="13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auto" w:color="auto" w:val="clear"/>
            <w:tcMar>
              <w:top w:type="dxa" w:w="70"/>
              <w:left w:type="dxa" w:w="110"/>
              <w:bottom w:type="dxa" w:w="70"/>
              <w:right w:type="dxa" w:w="110"/>
            </w:tcMar>
          </w:tcPr>
          <w:p>
            <w:pPr>
              <w:spacing w:after="40" w:before="40" w:line="240"/>
              <w:jc w:val="left"/>
            </w:pPr>
            <w:r>
              <w:rPr>
                <w:sz w:val="18"/>
                <w:szCs w:val="18"/>
              </w:rPr>
              <w:t xml:space="preserve">4.500</w:t>
            </w:r>
          </w:p>
        </w:tc>
        <w:tc>
          <w:tcPr>
            <w:tcW w:type="dxa" w:w="2020"/>
            <w:shd w:fill="auto" w:color="auto" w:val="clear"/>
            <w:tcMar>
              <w:top w:type="dxa" w:w="70"/>
              <w:left w:type="dxa" w:w="110"/>
              <w:bottom w:type="dxa" w:w="70"/>
              <w:right w:type="dxa" w:w="110"/>
            </w:tcMar>
          </w:tcPr>
          <w:p>
            <w:pPr>
              <w:spacing w:after="40" w:before="40" w:line="240"/>
              <w:jc w:val="left"/>
            </w:pPr>
            <w:r>
              <w:rPr>
                <w:sz w:val="18"/>
                <w:szCs w:val="18"/>
              </w:rPr>
              <w:t xml:space="preserve">30.825.000</w:t>
            </w:r>
          </w:p>
        </w:tc>
      </w:tr>
      <w:tr>
        <w:trPr>
          <w:cantSplit/>
        </w:trPr>
        <w:tc>
          <w:tcPr>
            <w:tcW w:type="dxa" w:w="700"/>
            <w:shd w:fill="F7F9FA" w:color="auto" w:val="clear"/>
            <w:tcMar>
              <w:top w:type="dxa" w:w="70"/>
              <w:left w:type="dxa" w:w="110"/>
              <w:bottom w:type="dxa" w:w="70"/>
              <w:right w:type="dxa" w:w="110"/>
            </w:tcMar>
          </w:tcPr>
          <w:p>
            <w:pPr>
              <w:spacing w:after="40" w:before="40" w:line="240"/>
              <w:jc w:val="left"/>
            </w:pPr>
          </w:p>
        </w:tc>
        <w:tc>
          <w:tcPr>
            <w:tcW w:type="dxa" w:w="4000"/>
            <w:shd w:fill="F7F9FA" w:color="auto" w:val="clear"/>
            <w:tcMar>
              <w:top w:type="dxa" w:w="70"/>
              <w:left w:type="dxa" w:w="110"/>
              <w:bottom w:type="dxa" w:w="70"/>
              <w:right w:type="dxa" w:w="110"/>
            </w:tcMar>
          </w:tcPr>
          <w:p>
            <w:pPr>
              <w:spacing w:after="40" w:before="40" w:line="240"/>
              <w:jc w:val="left"/>
            </w:pPr>
            <w:r>
              <w:rPr>
                <w:sz w:val="18"/>
                <w:szCs w:val="18"/>
              </w:rPr>
              <w:t xml:space="preserve">Formaleta metálica (m²)</w:t>
            </w:r>
          </w:p>
        </w:tc>
        <w:tc>
          <w:tcPr>
            <w:tcW w:type="dxa" w:w="13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000"/>
            <w:shd w:fill="F7F9FA" w:color="auto" w:val="clear"/>
            <w:tcMar>
              <w:top w:type="dxa" w:w="70"/>
              <w:left w:type="dxa" w:w="110"/>
              <w:bottom w:type="dxa" w:w="70"/>
              <w:right w:type="dxa" w:w="110"/>
            </w:tcMar>
          </w:tcPr>
          <w:p>
            <w:pPr>
              <w:spacing w:after="40" w:before="40" w:line="240"/>
              <w:jc w:val="left"/>
            </w:pPr>
            <w:r>
              <w:rPr>
                <w:sz w:val="18"/>
                <w:szCs w:val="18"/>
              </w:rPr>
              <w:t xml:space="preserve">350</w:t>
            </w:r>
          </w:p>
        </w:tc>
        <w:tc>
          <w:tcPr>
            <w:tcW w:type="dxa" w:w="2020"/>
            <w:shd w:fill="F7F9FA" w:color="auto" w:val="clear"/>
            <w:tcMar>
              <w:top w:type="dxa" w:w="70"/>
              <w:left w:type="dxa" w:w="110"/>
              <w:bottom w:type="dxa" w:w="70"/>
              <w:right w:type="dxa" w:w="110"/>
            </w:tcMar>
          </w:tcPr>
          <w:p>
            <w:pPr>
              <w:spacing w:after="40" w:before="40" w:line="240"/>
              <w:jc w:val="left"/>
            </w:pPr>
            <w:r>
              <w:rPr>
                <w:sz w:val="18"/>
                <w:szCs w:val="18"/>
              </w:rPr>
              <w:t xml:space="preserve">6.370.000</w:t>
            </w:r>
          </w:p>
        </w:tc>
      </w:tr>
    </w:tbl>
    <w:p>
      <w:pPr>
        <w:pStyle w:val="Heading2"/>
        <w:spacing w:after="120" w:before="300"/>
      </w:pPr>
      <w:r>
        <w:rPr>
          <w:b/>
          <w:bCs/>
          <w:color w:val="1F2933"/>
          <w:sz w:val="23"/>
          <w:szCs w:val="23"/>
        </w:rPr>
        <w:t>8.4 Pie financiero</w:t>
      </w:r>
    </w:p>
    <w:p>
      <w:pPr>
        <w:spacing w:after="0" w:before="0" w:line="276"/>
        <w:ind w:left="280"/>
        <w:jc w:val="left"/>
      </w:pPr>
      <w:r>
        <w:rPr>
          <w:rFonts w:ascii="Consolas" w:cs="Consolas" w:eastAsia="Consolas" w:hAnsi="Consolas"/>
          <w:color w:val="1F2933"/>
          <w:sz w:val="17"/>
          <w:szCs w:val="17"/>
        </w:rPr>
        <w:t>Costo Indirecto                                  =   53.000.000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Costo Directo      = 68.295.000 + 37.195.000     =  105.490.000</w:t>
      </w:r>
    </w:p>
    <w:p>
      <w:pPr>
        <w:spacing w:after="0" w:before="0" w:line="276"/>
        <w:ind w:left="280"/>
        <w:jc w:val="left"/>
      </w:pPr>
      <w:r>
        <w:rPr>
          <w:rFonts w:ascii="Consolas" w:cs="Consolas" w:eastAsia="Consolas" w:hAnsi="Consolas"/>
          <w:color w:val="1F2933"/>
          <w:sz w:val="17"/>
          <w:szCs w:val="17"/>
        </w:rPr>
        <w:t>Administración 10% = 105.490.000 × 10 ÷ 100      =   10.549.000</w:t>
      </w:r>
    </w:p>
    <w:p>
      <w:pPr>
        <w:spacing w:after="0" w:before="0" w:line="276"/>
        <w:ind w:left="280"/>
        <w:jc w:val="left"/>
      </w:pPr>
      <w:r>
        <w:rPr>
          <w:rFonts w:ascii="Consolas" w:cs="Consolas" w:eastAsia="Consolas" w:hAnsi="Consolas"/>
          <w:color w:val="1F2933"/>
          <w:sz w:val="17"/>
          <w:szCs w:val="17"/>
        </w:rPr>
        <w:t>Imprevistos     5% = 105.490.000 ×  5 ÷ 100      =    5.274.500</w:t>
      </w:r>
    </w:p>
    <w:p>
      <w:pPr>
        <w:spacing w:after="0" w:before="0" w:line="276"/>
        <w:ind w:left="280"/>
        <w:jc w:val="left"/>
      </w:pPr>
      <w:r>
        <w:rPr>
          <w:rFonts w:ascii="Consolas" w:cs="Consolas" w:eastAsia="Consolas" w:hAnsi="Consolas"/>
          <w:color w:val="1F2933"/>
          <w:sz w:val="17"/>
          <w:szCs w:val="17"/>
        </w:rPr>
        <w:t>Utilidad        5% = 105.490.000 ×  5 ÷ 100      =    5.274.500</w:t>
      </w:r>
    </w:p>
    <w:p>
      <w:pPr>
        <w:spacing w:after="0" w:before="0" w:line="276"/>
        <w:ind w:left="280"/>
        <w:jc w:val="left"/>
      </w:pPr>
      <w:r>
        <w:rPr>
          <w:rFonts w:ascii="Consolas" w:cs="Consolas" w:eastAsia="Consolas" w:hAnsi="Consolas"/>
          <w:color w:val="1F2933"/>
          <w:sz w:val="17"/>
          <w:szCs w:val="17"/>
        </w:rPr>
        <w:t xml:space="preserve"/>
      </w:r>
    </w:p>
    <w:p>
      <w:pPr>
        <w:spacing w:after="0" w:before="0" w:line="276"/>
        <w:ind w:left="280"/>
        <w:jc w:val="left"/>
      </w:pPr>
      <w:r>
        <w:rPr>
          <w:rFonts w:ascii="Consolas" w:cs="Consolas" w:eastAsia="Consolas" w:hAnsi="Consolas"/>
          <w:color w:val="1F2933"/>
          <w:sz w:val="17"/>
          <w:szCs w:val="17"/>
        </w:rPr>
        <w:t>AIU                = 10.549.000 + 5.274.500 + 5.274.500  =   21.098.000</w:t>
      </w:r>
    </w:p>
    <w:p>
      <w:pPr>
        <w:spacing w:after="0" w:before="0" w:line="276"/>
        <w:ind w:left="280"/>
        <w:jc w:val="left"/>
      </w:pPr>
      <w:r>
        <w:rPr>
          <w:rFonts w:ascii="Consolas" w:cs="Consolas" w:eastAsia="Consolas" w:hAnsi="Consolas"/>
          <w:color w:val="1F2933"/>
          <w:sz w:val="17"/>
          <w:szCs w:val="17"/>
        </w:rPr>
        <w:t>IVA 19%            = 5.274.500 × 19 ÷ 100        =    1.002.155</w:t>
      </w:r>
    </w:p>
    <w:p>
      <w:pPr>
        <w:spacing w:after="0" w:before="0" w:line="276"/>
        <w:ind w:left="280"/>
        <w:jc w:val="left"/>
      </w:pPr>
      <w:r>
        <w:rPr>
          <w:rFonts w:ascii="Consolas" w:cs="Consolas" w:eastAsia="Consolas" w:hAnsi="Consolas"/>
          <w:color w:val="1F2933"/>
          <w:sz w:val="17"/>
          <w:szCs w:val="17"/>
        </w:rPr>
        <w:t xml:space="preserve">                                                    ────────────</w:t>
      </w:r>
    </w:p>
    <w:p>
      <w:pPr>
        <w:spacing w:after="0" w:before="0" w:line="276"/>
        <w:ind w:left="280"/>
        <w:jc w:val="left"/>
      </w:pPr>
      <w:r>
        <w:rPr>
          <w:rFonts w:ascii="Consolas" w:cs="Consolas" w:eastAsia="Consolas" w:hAnsi="Consolas"/>
          <w:color w:val="1F2933"/>
          <w:sz w:val="17"/>
          <w:szCs w:val="17"/>
        </w:rPr>
        <w:t>VALOR TOTAL        = 53.000.000 + 105.490.000 + 21.098.000 + 1.002.155</w:t>
      </w:r>
    </w:p>
    <w:p>
      <w:pPr>
        <w:spacing w:after="140" w:before="0" w:line="276"/>
        <w:ind w:left="280"/>
        <w:jc w:val="left"/>
      </w:pPr>
      <w:r>
        <w:rPr>
          <w:rFonts w:ascii="Consolas" w:cs="Consolas" w:eastAsia="Consolas" w:hAnsi="Consolas"/>
          <w:color w:val="1F2933"/>
          <w:sz w:val="17"/>
          <w:szCs w:val="17"/>
        </w:rPr>
        <w:t xml:space="preserve">                                                 =  180.590.155</w:t>
      </w:r>
    </w:p>
    <w:p>
      <w:pPr/>
      <w:r/>
    </w:p>
    <w:p>
      <w:pPr/>
      <w:r>
        <w:t>Ocho renglones en el orden y con las etiquetas que salen impresas. La del IVA dice «IVA (19,00 %)» en el PDF y en el Excel, sin nombrar su base: la base es la Utilidad —5.274.500 aquí— y está dos renglones más arriba. El AIU es la suma de los tres componentes, no una repetición de ellos. Y el VALOR TOTAL suma los cuatro bloques una sola vez: el costo indirecto no lleva porcentaje encima, así que entra tal cual.</w:t>
      </w:r>
    </w:p>
    <w:p>
      <w:pPr>
        <w:pStyle w:val="Heading2"/>
        <w:spacing w:after="120" w:before="300"/>
      </w:pPr>
      <w:r>
        <w:rPr>
          <w:b/>
          <w:bCs/>
          <w:color w:val="1F2933"/>
          <w:sz w:val="23"/>
          <w:szCs w:val="23"/>
        </w:rPr>
        <w:t>8.5 Incidencias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1700"/>
        <w:gridCol w:w="3400"/>
        <w:gridCol w:w="15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Capítulo</w:t>
            </w:r>
          </w:p>
        </w:tc>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3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15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Incidencia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2 · CIMENTACIÓN</w:t>
            </w:r>
          </w:p>
        </w:tc>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3400"/>
            <w:shd w:fill="auto" w:color="auto" w:val="clear"/>
            <w:tcMar>
              <w:top w:type="dxa" w:w="70"/>
              <w:left w:type="dxa" w:w="110"/>
              <w:bottom w:type="dxa" w:w="70"/>
              <w:right w:type="dxa" w:w="110"/>
            </w:tcMar>
          </w:tcPr>
          <w:p>
            <w:pPr>
              <w:spacing w:after="40" w:before="40" w:line="240"/>
              <w:jc w:val="left"/>
            </w:pPr>
            <w:r>
              <w:rPr>
                <w:sz w:val="18"/>
                <w:szCs w:val="18"/>
              </w:rPr>
              <w:t xml:space="preserve">68.295.000 ÷ 105.490.000 × 100</w:t>
            </w:r>
          </w:p>
        </w:tc>
        <w:tc>
          <w:tcPr>
            <w:tcW w:type="dxa" w:w="1520"/>
            <w:shd w:fill="auto" w:color="auto" w:val="clear"/>
            <w:tcMar>
              <w:top w:type="dxa" w:w="70"/>
              <w:left w:type="dxa" w:w="110"/>
              <w:bottom w:type="dxa" w:w="70"/>
              <w:right w:type="dxa" w:w="110"/>
            </w:tcMar>
          </w:tcPr>
          <w:p>
            <w:pPr>
              <w:spacing w:after="40" w:before="40" w:line="240"/>
              <w:jc w:val="left"/>
            </w:pPr>
            <w:r>
              <w:rPr>
                <w:sz w:val="18"/>
                <w:szCs w:val="18"/>
              </w:rPr>
              <w:t xml:space="preserve">64,74%</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3 · ESTRUCTURA</w:t>
            </w:r>
          </w:p>
        </w:tc>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Directo</w:t>
            </w:r>
          </w:p>
        </w:tc>
        <w:tc>
          <w:tcPr>
            <w:tcW w:type="dxa" w:w="3400"/>
            <w:shd w:fill="F7F9FA" w:color="auto" w:val="clear"/>
            <w:tcMar>
              <w:top w:type="dxa" w:w="70"/>
              <w:left w:type="dxa" w:w="110"/>
              <w:bottom w:type="dxa" w:w="70"/>
              <w:right w:type="dxa" w:w="110"/>
            </w:tcMar>
          </w:tcPr>
          <w:p>
            <w:pPr>
              <w:spacing w:after="40" w:before="40" w:line="240"/>
              <w:jc w:val="left"/>
            </w:pPr>
            <w:r>
              <w:rPr>
                <w:sz w:val="18"/>
                <w:szCs w:val="18"/>
              </w:rPr>
              <w:t xml:space="preserve">37.195.000 ÷ 105.490.000 × 100</w:t>
            </w:r>
          </w:p>
        </w:tc>
        <w:tc>
          <w:tcPr>
            <w:tcW w:type="dxa" w:w="1520"/>
            <w:shd w:fill="F7F9FA" w:color="auto" w:val="clear"/>
            <w:tcMar>
              <w:top w:type="dxa" w:w="70"/>
              <w:left w:type="dxa" w:w="110"/>
              <w:bottom w:type="dxa" w:w="70"/>
              <w:right w:type="dxa" w:w="110"/>
            </w:tcMar>
          </w:tcPr>
          <w:p>
            <w:pPr>
              <w:spacing w:after="40" w:before="40" w:line="240"/>
              <w:jc w:val="left"/>
            </w:pPr>
            <w:r>
              <w:rPr>
                <w:sz w:val="18"/>
                <w:szCs w:val="18"/>
              </w:rPr>
              <w:t xml:space="preserve">35,26%</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b/>
                <w:bCs/>
                <w:sz w:val="18"/>
                <w:szCs w:val="18"/>
              </w:rPr>
              <w:t xml:space="preserve">Suma de los directos</w:t>
            </w:r>
          </w:p>
        </w:tc>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34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520"/>
            <w:shd w:fill="auto" w:color="auto" w:val="clear"/>
            <w:tcMar>
              <w:top w:type="dxa" w:w="70"/>
              <w:left w:type="dxa" w:w="110"/>
              <w:bottom w:type="dxa" w:w="70"/>
              <w:right w:type="dxa" w:w="110"/>
            </w:tcMar>
          </w:tcPr>
          <w:p>
            <w:pPr>
              <w:spacing w:after="40" w:before="40" w:line="240"/>
              <w:jc w:val="left"/>
            </w:pPr>
            <w:r>
              <w:rPr>
                <w:b/>
                <w:bCs/>
                <w:sz w:val="18"/>
                <w:szCs w:val="18"/>
              </w:rPr>
              <w:t xml:space="preserve">100,00%</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1 · PRELIMINARES</w:t>
            </w:r>
          </w:p>
        </w:tc>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Indirecto</w:t>
            </w:r>
          </w:p>
        </w:tc>
        <w:tc>
          <w:tcPr>
            <w:tcW w:type="dxa" w:w="3400"/>
            <w:shd w:fill="F7F9FA" w:color="auto" w:val="clear"/>
            <w:tcMar>
              <w:top w:type="dxa" w:w="70"/>
              <w:left w:type="dxa" w:w="110"/>
              <w:bottom w:type="dxa" w:w="70"/>
              <w:right w:type="dxa" w:w="110"/>
            </w:tcMar>
          </w:tcPr>
          <w:p>
            <w:pPr>
              <w:spacing w:after="40" w:before="40" w:line="240"/>
              <w:jc w:val="left"/>
            </w:pPr>
            <w:r>
              <w:rPr>
                <w:sz w:val="18"/>
                <w:szCs w:val="18"/>
              </w:rPr>
              <w:t xml:space="preserve">53.000.000 ÷ 105.490.000 × 100</w:t>
            </w:r>
          </w:p>
        </w:tc>
        <w:tc>
          <w:tcPr>
            <w:tcW w:type="dxa" w:w="1520"/>
            <w:shd w:fill="F7F9FA" w:color="auto" w:val="clear"/>
            <w:tcMar>
              <w:top w:type="dxa" w:w="70"/>
              <w:left w:type="dxa" w:w="110"/>
              <w:bottom w:type="dxa" w:w="70"/>
              <w:right w:type="dxa" w:w="110"/>
            </w:tcMar>
          </w:tcPr>
          <w:p>
            <w:pPr>
              <w:spacing w:after="40" w:before="40" w:line="240"/>
              <w:jc w:val="left"/>
            </w:pPr>
            <w:r>
              <w:rPr>
                <w:sz w:val="18"/>
                <w:szCs w:val="18"/>
              </w:rPr>
              <w:t xml:space="preserve">50,24%</w:t>
            </w:r>
          </w:p>
        </w:tc>
      </w:tr>
    </w:tbl>
    <w:p>
      <w:pPr>
        <w:spacing w:after="120" w:before="0" w:line="276"/>
        <w:jc w:val="both"/>
      </w:pPr>
      <w:r>
        <w:rPr>
          <w:sz w:val="20"/>
          <w:szCs w:val="20"/>
        </w:rPr>
        <w:t xml:space="preserve">Los dos capítulos directos suman exactamente cien. El capítulo indirecto se mide contra la misma base pero queda fuera de esa suma: no es un error de cálculo, es que mide otra cosa.</w:t>
      </w:r>
    </w:p>
    <w:p>
      <w:pPr>
        <w:pStyle w:val="Heading1"/>
        <w:pBdr>
          <w:bottom w:val="single" w:color="13496B" w:sz="10" w:space="6"/>
        </w:pBdr>
        <w:spacing w:after="180" w:before="420"/>
      </w:pPr>
      <w:r>
        <w:rPr>
          <w:b/>
          <w:bCs/>
          <w:color w:val="13496B"/>
          <w:sz w:val="30"/>
          <w:szCs w:val="30"/>
        </w:rPr>
        <w:t>9. Lista de verificación</w:t>
      </w:r>
    </w:p>
    <w:p>
      <w:pPr>
        <w:spacing w:after="120" w:before="0" w:line="276"/>
        <w:jc w:val="both"/>
      </w:pPr>
      <w:r>
        <w:rPr>
          <w:sz w:val="20"/>
          <w:szCs w:val="20"/>
        </w:rPr>
        <w:t>Las catorce operaciones del sistema, para marcar una por una contra el código cuando esté construido. Si alguna no coincide, el esquema manda.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600"/>
        <w:gridCol w:w="3600"/>
        <w:gridCol w:w="4820"/>
      </w:tblGrid>
      <w:tr>
        <w:trPr>
          <w:cantSplit/>
          <w:tblHeader/>
        </w:trPr>
        <w:tc>
          <w:tcPr>
            <w:tcW w:type="dxa" w:w="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w:t>
            </w:r>
          </w:p>
        </w:tc>
        <w:tc>
          <w:tcPr>
            <w:tcW w:type="dxa" w:w="3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c>
          <w:tcPr>
            <w:tcW w:type="dxa" w:w="48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Comprobación rápida</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precio_total desde precio_base</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500.000 con IVA 19% → 595.000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precio_base desde precio_total</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595.000 con IVA 19% → 500.000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Subtotal de línea de APU</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 × 1,00 × 1,05 × 595.000 → 624.750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Desperdicio solo en materiales</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Desperdicio 5% en un recurso de personal → la base lo rechaza</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Cantidad y rendimiento mayores que cero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Rendimiento 0 → la base lo rechaza</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6</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624.750 + 12.000 → 636.750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7</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Costo total de la actividad</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100 × 636.750 → 63.675.000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8</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Monto acumulado del capítulo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4.620.000 + 63.675.000 → 68.295.000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9</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Costo Directo del proyecto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Solo capítulos DIRECTO → 105.490.000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10</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Costo Indirecto del proyecto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Solo capítulos INDIRECTO → 53.000.000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11</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AIU sobre el costo directo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105.490.000 con 10/5/5 → 21.098.000</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11b</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IVA sobre la utilidad</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5.274.500 con 19% → 1.002.155</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12</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Valor total</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105.490.000 + 53.000.000 + 21.098.000 + 1.002.155 → 180.590.155</w:t>
            </w:r>
          </w:p>
        </w:tc>
      </w:tr>
      <w:tr>
        <w:trPr>
          <w:cantSplit/>
        </w:trPr>
        <w:tc>
          <w:tcPr>
            <w:tcW w:type="dxa" w:w="600"/>
            <w:shd w:fill="auto" w:color="auto" w:val="clear"/>
            <w:tcMar>
              <w:top w:type="dxa" w:w="70"/>
              <w:left w:type="dxa" w:w="110"/>
              <w:bottom w:type="dxa" w:w="70"/>
              <w:right w:type="dxa" w:w="110"/>
            </w:tcMar>
          </w:tcPr>
          <w:p>
            <w:pPr>
              <w:spacing w:after="40" w:before="40" w:line="240"/>
              <w:jc w:val="left"/>
            </w:pPr>
            <w:r>
              <w:rPr>
                <w:sz w:val="18"/>
                <w:szCs w:val="18"/>
              </w:rPr>
              <w:t xml:space="preserve">13</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Incidencia de capítulo directo</w:t>
            </w:r>
          </w:p>
        </w:tc>
        <w:tc>
          <w:tcPr>
            <w:tcW w:type="dxa" w:w="4820"/>
            <w:shd w:fill="auto" w:color="auto" w:val="clear"/>
            <w:tcMar>
              <w:top w:type="dxa" w:w="70"/>
              <w:left w:type="dxa" w:w="110"/>
              <w:bottom w:type="dxa" w:w="70"/>
              <w:right w:type="dxa" w:w="110"/>
            </w:tcMar>
          </w:tcPr>
          <w:p>
            <w:pPr>
              <w:spacing w:after="40" w:before="40" w:line="240"/>
              <w:jc w:val="left"/>
            </w:pPr>
            <w:r>
              <w:rPr>
                <w:sz w:val="18"/>
                <w:szCs w:val="18"/>
              </w:rPr>
              <w:t xml:space="preserve">Los directos suman 100,00%</w:t>
            </w:r>
          </w:p>
        </w:tc>
      </w:tr>
      <w:tr>
        <w:trPr>
          <w:cantSplit/>
        </w:trPr>
        <w:tc>
          <w:tcPr>
            <w:tcW w:type="dxa" w:w="600"/>
            <w:shd w:fill="F7F9FA" w:color="auto" w:val="clear"/>
            <w:tcMar>
              <w:top w:type="dxa" w:w="70"/>
              <w:left w:type="dxa" w:w="110"/>
              <w:bottom w:type="dxa" w:w="70"/>
              <w:right w:type="dxa" w:w="110"/>
            </w:tcMar>
          </w:tcPr>
          <w:p>
            <w:pPr>
              <w:spacing w:after="40" w:before="40" w:line="240"/>
              <w:jc w:val="left"/>
            </w:pPr>
            <w:r>
              <w:rPr>
                <w:sz w:val="18"/>
                <w:szCs w:val="18"/>
              </w:rPr>
              <w:t xml:space="preserve">13b</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Incidencia con costo directo en cero</w:t>
            </w:r>
          </w:p>
        </w:tc>
        <w:tc>
          <w:tcPr>
            <w:tcW w:type="dxa" w:w="4820"/>
            <w:shd w:fill="F7F9FA" w:color="auto" w:val="clear"/>
            <w:tcMar>
              <w:top w:type="dxa" w:w="70"/>
              <w:left w:type="dxa" w:w="110"/>
              <w:bottom w:type="dxa" w:w="70"/>
              <w:right w:type="dxa" w:w="110"/>
            </w:tcMar>
          </w:tcPr>
          <w:p>
            <w:pPr>
              <w:spacing w:after="40" w:before="40" w:line="240"/>
              <w:jc w:val="left"/>
            </w:pPr>
            <w:r>
              <w:rPr>
                <w:sz w:val="18"/>
                <w:szCs w:val="18"/>
              </w:rPr>
              <w:t xml:space="preserve">Presupuesto de solo indirectos → guion, no error de división</w:t>
            </w:r>
          </w:p>
        </w:tc>
      </w:tr>
    </w:tbl>
    <w:p>
      <w:pPr>
        <w:spacing w:after="12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Tres pruebas que no son de aritmética pero deben pasar igual</w:t>
            </w:r>
          </w:p>
          <w:p>
            <w:pPr>
              <w:spacing w:after="110" w:line="276"/>
              <w:jc w:val="both"/>
            </w:pPr>
            <w:r>
              <w:rPr>
                <w:sz w:val="19"/>
                <w:szCs w:val="19"/>
              </w:rPr>
              <w:t xml:space="preserve">Un capítulo de primer nivel sin clasificar debe ser rechazado por la base, no por la interfaz.</w:t>
            </w:r>
          </w:p>
          <w:p>
            <w:pPr>
              <w:spacing w:after="110" w:line="276"/>
              <w:jc w:val="both"/>
            </w:pPr>
            <w:r>
              <w:rPr>
                <w:sz w:val="19"/>
                <w:szCs w:val="19"/>
              </w:rPr>
              <w:t xml:space="preserve">Un subcapítulo con clasificación propia debe ser rechazado: la clasificación vive solo en el capítulo raíz.</w:t>
            </w:r>
          </w:p>
          <w:p>
            <w:pPr>
              <w:spacing w:after="40" w:line="276"/>
              <w:jc w:val="both"/>
            </w:pPr>
            <w:r>
              <w:rPr>
                <w:sz w:val="19"/>
                <w:szCs w:val="19"/>
              </w:rPr>
              <w:t>Un presupuesto Activo no admite ningún cambio en su línea base: ni cantidades, ni precios, ni estructura, ni porcentajes.</w:t>
            </w:r>
          </w:p>
        </w:tc>
      </w:tr>
    </w:tbl>
    <w:p>
      <w:pPr>
        <w:spacing w:after="200"/>
      </w:pPr>
    </w:p>
    <w:p>
      <w:pPr>
        <w:spacing w:after="120" w:before="0" w:line="276"/>
        <w:jc w:val="center"/>
      </w:pPr>
      <w:r>
        <w:rPr>
          <w:i/>
          <w:iCs/>
          <w:color w:val="7A8896"/>
          <w:sz w:val="20"/>
          <w:szCs w:val="20"/>
        </w:rPr>
        <w:t xml:space="preserve">— Fin del documento —</w:t>
      </w:r>
    </w:p>
    <w:sectPr>
      <w:headerReference w:type="default" r:id="rId7"/>
      <w:headerReference w:type="first" r:id="rId8"/>
      <w:footerReference w:type="default" r:id="rId9"/>
      <w:footerReference w:type="first" r:id="rId10"/>
      <w:headerReference w:type="even" r:id="rId12"/>
      <w:footerReference w:type="even" r:id="rId13"/>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4"/>
      </w:pBdr>
      <w:jc w:val="right"/>
    </w:pPr>
    <w:r>
      <w:rPr>
        <w:color w:val="8A97A3"/>
        <w:sz w:val="15"/>
        <w:szCs w:val="15"/>
      </w:rPr>
      <w:t>CONSTRUSOFT · Fórmulas y cálculos del sistema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Fórmulas y cálculos</dc:title>
  <dc:creator>Juan Sebastián Lopera Ayala</dc:creator>
  <cp:lastModifiedBy>Un-named</cp:lastModifiedBy>
  <cp:revision>1</cp:revision>
  <dcterms:created xsi:type="dcterms:W3CDTF">2026-09-15T05:20:09.657Z</dcterms:created>
  <dcterms:modified xsi:type="dcterms:W3CDTF">2026-09-15T05:20:09.657Z</dcterms:modified>
</cp:coreProperties>
</file>

<file path=docProps/custom.xml><?xml version="1.0" encoding="utf-8"?>
<Properties xmlns="http://schemas.openxmlformats.org/officeDocument/2006/custom-properties" xmlns:vt="http://schemas.openxmlformats.org/officeDocument/2006/docPropsVTypes"/>
</file>