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pPr>
      <w:r>
        <w:rPr>
          <w:b/>
          <w:bCs/>
          <w:caps/>
          <w:color w:val="7A8896"/>
          <w:spacing w:val="60"/>
          <w:sz w:val="17"/>
          <w:szCs w:val="17"/>
        </w:rPr>
        <w:t xml:space="preserve">Paquete de desarrollo</w:t>
      </w:r>
    </w:p>
    <w:p>
      <w:pPr>
        <w:spacing w:after="120"/>
      </w:pPr>
      <w:r>
        <w:rPr>
          <w:b/>
          <w:bCs/>
          <w:color w:val="13496B"/>
          <w:sz w:val="44"/>
          <w:szCs w:val="44"/>
        </w:rPr>
        <w:t xml:space="preserve">Comportamiento de interfaz</w:t>
      </w:r>
    </w:p>
    <w:p>
      <w:pPr>
        <w:pBdr>
          <w:bottom w:val="single" w:color="13496B" w:sz="12" w:space="10"/>
        </w:pBdr>
        <w:spacing w:after="700"/>
      </w:pPr>
      <w:r>
        <w:rPr>
          <w:color w:val="3C4A57"/>
          <w:sz w:val="24"/>
          <w:szCs w:val="24"/>
        </w:rPr>
        <w:t xml:space="preserve">Cómo se ve y cómo se comporta cada pantalla del MVP</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Documento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02 de 07</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Versión</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Definitiva</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Fecha</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16 de septiembre de 2026 · revisiones del 22 de septiembre, del 1 y del 13 de octubre, y del 16 de octubre de 2026 contra lo construido</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Documento que manda</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01 - Alcance del MVP, en todo lo relativo al alcance</w:t>
            </w:r>
          </w:p>
        </w:tc>
      </w:tr>
    </w:tbl>
    <w:p>
      <w:pPr>
        <w:spacing w:before="1600"/>
      </w:pP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Qué responde este documento</w:t>
            </w:r>
          </w:p>
          <w:p>
            <w:pPr>
              <w:spacing w:after="110" w:line="276"/>
              <w:jc w:val="both"/>
            </w:pPr>
            <w:r>
              <w:rPr>
                <w:sz w:val="19"/>
                <w:szCs w:val="19"/>
              </w:rPr>
              <w:t xml:space="preserve">Responde al «cómo»: qué componentes tiene cada pantalla, qué pasa al pulsar cada botón, qué valida el sistema y qué mensaje muestra.</w:t>
            </w:r>
          </w:p>
          <w:p>
            <w:pPr>
              <w:spacing w:after="40" w:line="276"/>
              <w:jc w:val="both"/>
            </w:pPr>
            <w:r>
              <w:rPr>
                <w:sz w:val="19"/>
                <w:szCs w:val="19"/>
              </w:rPr>
              <w:t>No responde al «qué». El alcance lo define el documento 01 (Alcance del MVP) y ante cualquier diferencia manda ese documento.</w:t>
            </w:r>
          </w:p>
        </w:tc>
      </w:tr>
    </w:tbl>
    <w:p>
      <w:r>
        <w:br w:type="page"/>
      </w:r>
    </w:p>
    <w:p>
      <w:pPr>
        <w:pStyle w:val="Heading1"/>
        <w:pBdr>
          <w:bottom w:val="single" w:color="13496B" w:sz="10" w:space="6"/>
        </w:pBdr>
        <w:spacing w:after="180" w:before="420"/>
      </w:pPr>
      <w:r>
        <w:rPr>
          <w:b/>
          <w:bCs/>
          <w:color w:val="13496B"/>
          <w:sz w:val="30"/>
          <w:szCs w:val="30"/>
        </w:rPr>
        <w:t xml:space="preserve">1. Cómo usar este documento</w:t>
      </w:r>
    </w:p>
    <w:p>
      <w:pPr>
        <w:spacing w:after="120" w:before="0" w:line="276"/>
        <w:jc w:val="both"/>
      </w:pPr>
      <w:r>
        <w:rPr>
          <w:sz w:val="20"/>
          <w:szCs w:val="20"/>
        </w:rPr>
        <w:t>Este documento describe cómo se ve y cómo se comporta cada pantalla del MVP. Responde a la pregunta «cómo», no a la pregunta «qué»: el alcance —qué se construye y qué no— lo define el documento 01 (Alcance del MVP), y ante cualquier diferencia manda ese documento.</w:t>
      </w:r>
    </w:p>
    <w:p>
      <w:pPr>
        <w:spacing w:after="120" w:before="0" w:line="276"/>
        <w:jc w:val="both"/>
      </w:pPr>
      <w:r>
        <w:rPr>
          <w:sz w:val="20"/>
          <w:szCs w:val="20"/>
        </w:rPr>
        <w:t>Es la única descripción válida del comportamiento de pantalla. Cualquier documento de flujo que esté fuera de esta carpeta no forma parte del paquete y no debe usarse como referencia.</w:t>
      </w:r>
    </w:p>
    <w:p>
      <w:pPr>
        <w:spacing w:after="120" w:before="0" w:line="276"/>
        <w:jc w:val="both"/>
      </w:pPr>
      <w:r>
        <w:rPr>
          <w:sz w:val="20"/>
          <w:szCs w:val="20"/>
        </w:rPr>
        <w:t>Cambios de octubre de 2026. Por decisión del dueño (6 de octubre), lo que la persona crea, abre, duplica, archiva y activa se llama «proyecto» en toda la interfaz, y el menú dice «Proyectos». «Presupuesto» se queda para las cifras del proyecto: el desglose, los totales, la línea base. Las rutas y los nombres del esquema no cambian. Donde este documento todavía diga «presupuesto» para nombrar la cosa, léase «proyecto».</w:t>
      </w:r>
    </w:p>
    <w:p>
      <w:pPr>
        <w:spacing w:after="100"/>
      </w:pPr>
    </w:p>
    <w:p>
      <w:pPr>
        <w:pStyle w:val="Heading1"/>
        <w:pBdr>
          <w:bottom w:val="single" w:color="13496B" w:sz="10" w:space="6"/>
        </w:pBdr>
        <w:spacing w:after="180" w:before="420"/>
      </w:pPr>
      <w:r>
        <w:rPr>
          <w:b/>
          <w:bCs/>
          <w:color w:val="13496B"/>
          <w:sz w:val="30"/>
          <w:szCs w:val="30"/>
        </w:rPr>
        <w:t xml:space="preserve">2. Principios transversales</w:t>
      </w:r>
    </w:p>
    <w:p>
      <w:pPr>
        <w:spacing w:after="120" w:before="0" w:line="276"/>
        <w:jc w:val="both"/>
      </w:pPr>
      <w:r>
        <w:rPr>
          <w:sz w:val="20"/>
          <w:szCs w:val="20"/>
        </w:rPr>
        <w:t xml:space="preserve">Estas reglas aplican en todas las pantallas. No se repiten en cada sección; se dan por supuestas.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100"/>
        <w:gridCol w:w="6920"/>
      </w:tblGrid>
      <w:tr>
        <w:trPr>
          <w:cantSplit/>
          <w:tblHeader/>
        </w:trPr>
        <w:tc>
          <w:tcPr>
            <w:tcW w:type="dxa" w:w="21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Regla</w:t>
            </w:r>
          </w:p>
        </w:tc>
        <w:tc>
          <w:tcPr>
            <w:tcW w:type="dxa" w:w="69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 esperado</w:t>
            </w:r>
          </w:p>
        </w:tc>
      </w:tr>
      <w:tr>
        <w:trPr>
          <w:cantSplit/>
        </w:trPr>
        <w:tc>
          <w:tcPr>
            <w:tcW w:type="dxa" w:w="2100"/>
            <w:shd w:fill="auto" w:color="auto" w:val="clear"/>
            <w:tcMar>
              <w:top w:type="dxa" w:w="70"/>
              <w:left w:type="dxa" w:w="110"/>
              <w:bottom w:type="dxa" w:w="70"/>
              <w:right w:type="dxa" w:w="110"/>
            </w:tcMar>
          </w:tcPr>
          <w:p>
            <w:pPr>
              <w:spacing w:after="40" w:before="40" w:line="240"/>
              <w:jc w:val="left"/>
            </w:pPr>
            <w:r>
              <w:rPr>
                <w:sz w:val="18"/>
                <w:szCs w:val="18"/>
              </w:rPr>
              <w:t xml:space="preserve">Ventanas flotantes</w:t>
            </w:r>
          </w:p>
        </w:tc>
        <w:tc>
          <w:tcPr>
            <w:tcW w:type="dxa" w:w="6920"/>
            <w:shd w:fill="auto" w:color="auto" w:val="clear"/>
            <w:tcMar>
              <w:top w:type="dxa" w:w="70"/>
              <w:left w:type="dxa" w:w="110"/>
              <w:bottom w:type="dxa" w:w="70"/>
              <w:right w:type="dxa" w:w="110"/>
            </w:tcMar>
          </w:tcPr>
          <w:p>
            <w:pPr>
              <w:spacing w:after="40" w:before="40" w:line="240"/>
              <w:jc w:val="left"/>
            </w:pPr>
            <w:r>
              <w:rPr>
                <w:sz w:val="18"/>
                <w:szCs w:val="18"/>
              </w:rPr>
              <w:t xml:space="preserve">Crear y editar nunca cambia de pantalla completa. Se abre un pop-out superpuesto, pequeño, con botón «X» o «Cerrar» que aborta sin guardar. Si desde un pop-out se abre otro (crear un recurso desde un APU, por ejemplo), al cerrar el segundo se vuelve al primero sin perder lo digitado.</w:t>
            </w:r>
          </w:p>
        </w:tc>
      </w:tr>
      <w:tr>
        <w:trPr>
          <w:cantSplit/>
        </w:trPr>
        <w:tc>
          <w:tcPr>
            <w:tcW w:type="dxa" w:w="2100"/>
            <w:shd w:fill="F7F9FA" w:color="auto" w:val="clear"/>
            <w:tcMar>
              <w:top w:type="dxa" w:w="70"/>
              <w:left w:type="dxa" w:w="110"/>
              <w:bottom w:type="dxa" w:w="70"/>
              <w:right w:type="dxa" w:w="110"/>
            </w:tcMar>
          </w:tcPr>
          <w:p>
            <w:pPr>
              <w:spacing w:after="40" w:before="40" w:line="240"/>
              <w:jc w:val="left"/>
            </w:pPr>
            <w:r>
              <w:rPr>
                <w:sz w:val="18"/>
                <w:szCs w:val="18"/>
              </w:rPr>
              <w:t xml:space="preserve">Botón Volver</w:t>
            </w:r>
          </w:p>
        </w:tc>
        <w:tc>
          <w:tcPr>
            <w:tcW w:type="dxa" w:w="6920"/>
            <w:shd w:fill="F7F9FA" w:color="auto" w:val="clear"/>
            <w:tcMar>
              <w:top w:type="dxa" w:w="70"/>
              <w:left w:type="dxa" w:w="110"/>
              <w:bottom w:type="dxa" w:w="70"/>
              <w:right w:type="dxa" w:w="110"/>
            </w:tcMar>
          </w:tcPr>
          <w:p>
            <w:pPr>
              <w:spacing w:after="40" w:before="40" w:line="240"/>
              <w:jc w:val="left"/>
            </w:pPr>
            <w:r>
              <w:rPr>
                <w:sz w:val="18"/>
                <w:szCs w:val="18"/>
              </w:rPr>
              <w:t xml:space="preserve">Visible en toda pantalla, sección, pestaña o nivel de navegación. Regresa a la sección inmediatamente anterior sin alterar la sesión.</w:t>
            </w:r>
          </w:p>
        </w:tc>
      </w:tr>
      <w:tr>
        <w:trPr>
          <w:cantSplit/>
        </w:trPr>
        <w:tc>
          <w:tcPr>
            <w:tcW w:type="dxa" w:w="2100"/>
            <w:shd w:fill="auto" w:color="auto" w:val="clear"/>
            <w:tcMar>
              <w:top w:type="dxa" w:w="70"/>
              <w:left w:type="dxa" w:w="110"/>
              <w:bottom w:type="dxa" w:w="70"/>
              <w:right w:type="dxa" w:w="110"/>
            </w:tcMar>
          </w:tcPr>
          <w:p>
            <w:pPr>
              <w:spacing w:after="40" w:before="40" w:line="240"/>
              <w:jc w:val="left"/>
            </w:pPr>
            <w:r>
              <w:rPr>
                <w:sz w:val="18"/>
                <w:szCs w:val="18"/>
              </w:rPr>
              <w:t xml:space="preserve">Recálculo en tiempo real</w:t>
            </w:r>
          </w:p>
        </w:tc>
        <w:tc>
          <w:tcPr>
            <w:tcW w:type="dxa" w:w="6920"/>
            <w:shd w:fill="auto" w:color="auto" w:val="clear"/>
            <w:tcMar>
              <w:top w:type="dxa" w:w="70"/>
              <w:left w:type="dxa" w:w="110"/>
              <w:bottom w:type="dxa" w:w="70"/>
              <w:right w:type="dxa" w:w="110"/>
            </w:tcMar>
          </w:tcPr>
          <w:p>
            <w:pPr>
              <w:spacing w:after="40" w:before="40" w:line="240"/>
              <w:jc w:val="left"/>
            </w:pPr>
            <w:r>
              <w:rPr>
                <w:sz w:val="18"/>
                <w:szCs w:val="18"/>
              </w:rPr>
              <w:t xml:space="preserve">Los totales se actualizan mientras el usuario escribe, sin recargar la página. Lo que muestra la pantalla es una previsualización: la cifra que vale es la que confirma el servidor al guardar.</w:t>
            </w:r>
          </w:p>
        </w:tc>
      </w:tr>
      <w:tr>
        <w:trPr>
          <w:cantSplit/>
        </w:trPr>
        <w:tc>
          <w:tcPr>
            <w:tcW w:type="dxa" w:w="2100"/>
            <w:shd w:fill="F7F9FA" w:color="auto" w:val="clear"/>
            <w:tcMar>
              <w:top w:type="dxa" w:w="70"/>
              <w:left w:type="dxa" w:w="110"/>
              <w:bottom w:type="dxa" w:w="70"/>
              <w:right w:type="dxa" w:w="110"/>
            </w:tcMar>
          </w:tcPr>
          <w:p>
            <w:pPr>
              <w:spacing w:after="40" w:before="40" w:line="240"/>
              <w:jc w:val="left"/>
            </w:pPr>
            <w:r>
              <w:rPr>
                <w:sz w:val="18"/>
                <w:szCs w:val="18"/>
              </w:rPr>
              <w:t xml:space="preserve">Formatos numéricos</w:t>
            </w:r>
          </w:p>
        </w:tc>
        <w:tc>
          <w:tcPr>
            <w:tcW w:type="dxa" w:w="6920"/>
            <w:shd w:fill="F7F9FA" w:color="auto" w:val="clear"/>
            <w:tcMar>
              <w:top w:type="dxa" w:w="70"/>
              <w:left w:type="dxa" w:w="110"/>
              <w:bottom w:type="dxa" w:w="70"/>
              <w:right w:type="dxa" w:w="110"/>
            </w:tcMar>
          </w:tcPr>
          <w:p>
            <w:pPr>
              <w:spacing w:after="40" w:before="40" w:line="240"/>
              <w:jc w:val="left"/>
            </w:pPr>
            <w:r>
              <w:rPr>
                <w:sz w:val="18"/>
                <w:szCs w:val="18"/>
              </w:rPr>
              <w:t xml:space="preserve">Separador de miles, separador decimal y número de decimales se leen de la configuración de la empresa y aplican en toda la interfaz y en las impresiones.</w:t>
            </w:r>
          </w:p>
        </w:tc>
      </w:tr>
      <w:tr>
        <w:trPr>
          <w:cantSplit/>
        </w:trPr>
        <w:tc>
          <w:tcPr>
            <w:tcW w:type="dxa" w:w="2100"/>
            <w:shd w:fill="auto" w:color="auto" w:val="clear"/>
            <w:tcMar>
              <w:top w:type="dxa" w:w="70"/>
              <w:left w:type="dxa" w:w="110"/>
              <w:bottom w:type="dxa" w:w="70"/>
              <w:right w:type="dxa" w:w="110"/>
            </w:tcMar>
          </w:tcPr>
          <w:p>
            <w:pPr>
              <w:spacing w:after="40" w:before="40" w:line="240"/>
              <w:jc w:val="left"/>
            </w:pPr>
            <w:r>
              <w:rPr>
                <w:sz w:val="18"/>
                <w:szCs w:val="18"/>
              </w:rPr>
              <w:t xml:space="preserve">Moneda</w:t>
            </w:r>
          </w:p>
        </w:tc>
        <w:tc>
          <w:tcPr>
            <w:tcW w:type="dxa" w:w="6920"/>
            <w:shd w:fill="auto" w:color="auto" w:val="clear"/>
            <w:tcMar>
              <w:top w:type="dxa" w:w="70"/>
              <w:left w:type="dxa" w:w="110"/>
              <w:bottom w:type="dxa" w:w="70"/>
              <w:right w:type="dxa" w:w="110"/>
            </w:tcMar>
          </w:tcPr>
          <w:p>
            <w:pPr>
              <w:spacing w:after="40" w:before="40" w:line="240"/>
              <w:jc w:val="left"/>
            </w:pPr>
            <w:r>
              <w:rPr>
                <w:sz w:val="18"/>
                <w:szCs w:val="18"/>
              </w:rPr>
              <w:t xml:space="preserve">Una sola por empresa. Se muestra el símbolo, nunca un selector de divisa dentro de un proyecto.</w:t>
            </w:r>
          </w:p>
        </w:tc>
      </w:tr>
      <w:tr>
        <w:trPr>
          <w:cantSplit/>
        </w:trPr>
        <w:tc>
          <w:tcPr>
            <w:tcW w:type="dxa" w:w="2100"/>
            <w:shd w:fill="F7F9FA" w:color="auto" w:val="clear"/>
            <w:tcMar>
              <w:top w:type="dxa" w:w="70"/>
              <w:left w:type="dxa" w:w="110"/>
              <w:bottom w:type="dxa" w:w="70"/>
              <w:right w:type="dxa" w:w="110"/>
            </w:tcMar>
          </w:tcPr>
          <w:p>
            <w:pPr>
              <w:spacing w:after="40" w:before="40" w:line="240"/>
              <w:jc w:val="left"/>
            </w:pPr>
            <w:r>
              <w:rPr>
                <w:sz w:val="18"/>
                <w:szCs w:val="18"/>
              </w:rPr>
              <w:t xml:space="preserve">Mensajes de error</w:t>
            </w:r>
          </w:p>
        </w:tc>
        <w:tc>
          <w:tcPr>
            <w:tcW w:type="dxa" w:w="6920"/>
            <w:shd w:fill="F7F9FA" w:color="auto" w:val="clear"/>
            <w:tcMar>
              <w:top w:type="dxa" w:w="70"/>
              <w:left w:type="dxa" w:w="110"/>
              <w:bottom w:type="dxa" w:w="70"/>
              <w:right w:type="dxa" w:w="110"/>
            </w:tcMar>
          </w:tcPr>
          <w:p>
            <w:pPr>
              <w:spacing w:after="40" w:before="40" w:line="240"/>
              <w:jc w:val="left"/>
            </w:pPr>
            <w:r>
              <w:rPr>
                <w:sz w:val="18"/>
                <w:szCs w:val="18"/>
              </w:rPr>
              <w:t xml:space="preserve">Dicen la causa y la acción correctiva concreta. «Error al guardar» no es un mensaje válido; «El símbolo m² ya existe en esta empresa, use otro» sí lo es.</w:t>
            </w:r>
          </w:p>
        </w:tc>
      </w:tr>
      <w:tr>
        <w:trPr>
          <w:cantSplit/>
        </w:trPr>
        <w:tc>
          <w:tcPr>
            <w:tcW w:type="dxa" w:w="2100"/>
            <w:shd w:fill="auto" w:color="auto" w:val="clear"/>
            <w:tcMar>
              <w:top w:type="dxa" w:w="70"/>
              <w:left w:type="dxa" w:w="110"/>
              <w:bottom w:type="dxa" w:w="70"/>
              <w:right w:type="dxa" w:w="110"/>
            </w:tcMar>
          </w:tcPr>
          <w:p>
            <w:pPr>
              <w:spacing w:after="40" w:before="40" w:line="240"/>
              <w:jc w:val="left"/>
            </w:pPr>
            <w:r>
              <w:rPr>
                <w:sz w:val="18"/>
                <w:szCs w:val="18"/>
              </w:rPr>
              <w:t xml:space="preserve">Permisos</w:t>
            </w:r>
          </w:p>
        </w:tc>
        <w:tc>
          <w:tcPr>
            <w:tcW w:type="dxa" w:w="6920"/>
            <w:shd w:fill="auto" w:color="auto" w:val="clear"/>
            <w:tcMar>
              <w:top w:type="dxa" w:w="70"/>
              <w:left w:type="dxa" w:w="110"/>
              <w:bottom w:type="dxa" w:w="70"/>
              <w:right w:type="dxa" w:w="110"/>
            </w:tcMar>
          </w:tcPr>
          <w:p>
            <w:pPr>
              <w:spacing w:after="40" w:before="40" w:line="240"/>
              <w:jc w:val="left"/>
            </w:pPr>
            <w:r>
              <w:rPr>
                <w:sz w:val="18"/>
                <w:szCs w:val="18"/>
              </w:rPr>
              <w:t xml:space="preserve">Si el usuario no tiene el permiso, el control no se muestra. Ocultarlo no basta: el servidor rechaza la operación igual si se invoca directamente.</w:t>
            </w:r>
          </w:p>
        </w:tc>
      </w:tr>
      <w:tr>
        <w:trPr>
          <w:cantSplit/>
        </w:trPr>
        <w:tc>
          <w:tcPr>
            <w:tcW w:type="dxa" w:w="2100"/>
            <w:shd w:fill="F7F9FA" w:color="auto" w:val="clear"/>
            <w:tcMar>
              <w:top w:type="dxa" w:w="70"/>
              <w:left w:type="dxa" w:w="110"/>
              <w:bottom w:type="dxa" w:w="70"/>
              <w:right w:type="dxa" w:w="110"/>
            </w:tcMar>
          </w:tcPr>
          <w:p>
            <w:pPr>
              <w:spacing w:after="40" w:before="40" w:line="240"/>
              <w:jc w:val="left"/>
            </w:pPr>
            <w:r>
              <w:rPr>
                <w:sz w:val="18"/>
                <w:szCs w:val="18"/>
              </w:rPr>
              <w:t xml:space="preserve">Idioma</w:t>
            </w:r>
          </w:p>
        </w:tc>
        <w:tc>
          <w:tcPr>
            <w:tcW w:type="dxa" w:w="6920"/>
            <w:shd w:fill="F7F9FA" w:color="auto" w:val="clear"/>
            <w:tcMar>
              <w:top w:type="dxa" w:w="70"/>
              <w:left w:type="dxa" w:w="110"/>
              <w:bottom w:type="dxa" w:w="70"/>
              <w:right w:type="dxa" w:w="110"/>
            </w:tcMar>
          </w:tcPr>
          <w:p>
            <w:pPr>
              <w:spacing w:after="40" w:before="40" w:line="240"/>
              <w:jc w:val="left"/>
            </w:pPr>
            <w:r>
              <w:rPr>
                <w:sz w:val="18"/>
                <w:szCs w:val="18"/>
              </w:rPr>
              <w:t xml:space="preserve">Toda la interfaz en español.</w:t>
            </w:r>
          </w:p>
        </w:tc>
      </w:tr>
    </w:tbl>
    <w:p>
      <w:pPr>
        <w:pStyle w:val="Heading2"/>
        <w:spacing w:after="120"/>
      </w:pPr>
      <w:r>
        <w:rPr/>
        <w:t>Mensajes de error de estado</w:t>
      </w:r>
    </w:p>
    <w:p>
      <w:pPr>
        <w:spacing w:after="120"/>
      </w:pPr>
      <w:r>
        <w:t>Toda operación rechazada por el estado del proyecto muestra el estado actual y el camino de salida: reabrir con justificación. Es RNF-15 aplicado al caso más frecuente. La base de datos devuelve ese texto, de modo que la pantalla lo muestra tal cual en lugar de inventar uno propio.</w:t>
      </w:r>
    </w:p>
    <w:p>
      <w:pPr>
        <w:pStyle w:val="Heading1"/>
        <w:pBdr>
          <w:bottom w:val="single" w:color="13496B" w:sz="10" w:space="6"/>
        </w:pBdr>
        <w:spacing w:after="180" w:before="420"/>
      </w:pPr>
      <w:r>
        <w:rPr>
          <w:b/>
          <w:bCs/>
          <w:color w:val="13496B"/>
          <w:sz w:val="30"/>
          <w:szCs w:val="30"/>
        </w:rPr>
        <w:t xml:space="preserve">3. Autenticación y acceso</w:t>
      </w:r>
    </w:p>
    <w:p>
      <w:pPr>
        <w:pStyle w:val="Heading2"/>
        <w:spacing w:after="120" w:before="300"/>
      </w:pPr>
      <w:r>
        <w:rPr>
          <w:b/>
          <w:bCs/>
          <w:color w:val="1F2933"/>
          <w:sz w:val="23"/>
          <w:szCs w:val="23"/>
        </w:rPr>
        <w:t xml:space="preserve">3.1 Registro de una empresa nueva</w:t>
      </w:r>
    </w:p>
    <w:p>
      <w:pPr>
        <w:spacing w:after="120" w:before="0" w:line="276"/>
        <w:jc w:val="both"/>
      </w:pPr>
      <w:r>
        <w:rPr>
          <w:sz w:val="20"/>
          <w:szCs w:val="20"/>
        </w:rPr>
        <w:t xml:space="preserve">Tres pasos encadenados en una sola pantalla, sin abandonarla:</w:t>
      </w:r>
    </w:p>
    <w:p>
      <w:pPr>
        <w:pStyle w:val="ListParagraph"/>
        <w:numPr>
          <w:ilvl w:val="0"/>
          <w:numId w:val="2"/>
        </w:numPr>
        <w:spacing w:after="90" w:line="276"/>
        <w:jc w:val="both"/>
      </w:pPr>
      <w:r>
        <w:rPr>
          <w:sz w:val="20"/>
          <w:szCs w:val="20"/>
        </w:rPr>
        <w:t xml:space="preserve">Datos de la cuenta: nombre, correo y contraseña. La contraseña exige mínimo 8 caracteres.</w:t>
      </w:r>
    </w:p>
    <w:p>
      <w:pPr>
        <w:pStyle w:val="ListParagraph"/>
        <w:numPr>
          <w:ilvl w:val="0"/>
          <w:numId w:val="2"/>
        </w:numPr>
        <w:spacing w:after="90" w:line="276"/>
        <w:jc w:val="both"/>
      </w:pPr>
      <w:r>
        <w:rPr>
          <w:sz w:val="20"/>
          <w:szCs w:val="20"/>
        </w:rPr>
        <w:t>Datos de la empresa: razón social, NIT y carga del logotipo en PNG o JPG. El NIT es obligatorio y único en la plataforma; en el plan Personal es el del RUT de la persona natural.</w:t>
      </w:r>
    </w:p>
    <w:p>
      <w:pPr>
        <w:pStyle w:val="ListParagraph"/>
        <w:numPr>
          <w:ilvl w:val="0"/>
          <w:numId w:val="2"/>
        </w:numPr>
        <w:spacing w:after="90" w:line="276"/>
        <w:jc w:val="both"/>
      </w:pPr>
      <w:r>
        <w:rPr>
          <w:sz w:val="20"/>
          <w:szCs w:val="20"/>
        </w:rPr>
        <w:t xml:space="preserve">Selección obligatoria de plan: Personal o Empresarial. No se puede terminar el registro sin elegir uno.</w:t>
      </w:r>
    </w:p>
    <w:p>
      <w:pPr>
        <w:spacing w:after="120" w:before="0" w:line="276"/>
        <w:jc w:val="both"/>
      </w:pPr>
      <w:r>
        <w:rPr>
          <w:sz w:val="20"/>
          <w:szCs w:val="20"/>
        </w:rPr>
        <w:t xml:space="preserve">Al completar, el sistema crea la empresa, su configuración por defecto, el rol Administrador, el usuario que se registró y las doce unidades de medida estándar, y lo lleva a la pantalla de inicio.</w:t>
      </w:r>
    </w:p>
    <w:p>
      <w:pPr>
        <w:spacing w:after="120" w:before="0" w:line="276"/>
        <w:jc w:val="both"/>
      </w:pPr>
      <w:r>
        <w:rPr>
          <w:i/>
          <w:iCs/>
          <w:color w:val="5A6874"/>
          <w:sz w:val="20"/>
          <w:szCs w:val="20"/>
        </w:rPr>
        <w:t xml:space="preserve">La precarga de unidades no es un detalle cosmético: el formulario de recursos exige unidad de medida, así que sin ellas el usuario nuevo no podría crear ni un solo insumo. Quedan editables desde Configuración (RF-CFG-23).</w:t>
      </w:r>
    </w:p>
    <w:p>
      <w:pPr>
        <w:pStyle w:val="Heading2"/>
        <w:spacing w:after="120" w:before="300"/>
      </w:pPr>
      <w:r>
        <w:rPr>
          <w:b/>
          <w:bCs/>
          <w:color w:val="1F2933"/>
          <w:sz w:val="23"/>
          <w:szCs w:val="23"/>
        </w:rPr>
        <w:t xml:space="preserve">3.2 Ingreso</w:t>
      </w:r>
    </w:p>
    <w:p>
      <w:pPr>
        <w:spacing w:after="120" w:before="0" w:line="276"/>
        <w:jc w:val="both"/>
      </w:pPr>
      <w:r>
        <w:rPr>
          <w:sz w:val="20"/>
          <w:szCs w:val="20"/>
        </w:rPr>
        <w:t xml:space="preserve">Correo y contraseña. No hay selector de empresa: el correo identifica al usuario de forma única en toda la plataforma. Si las credenciales fallan, el mensaje lo dice de forma explícita y deja reintentar.</w:t>
      </w:r>
    </w:p>
    <w:p>
      <w:pPr>
        <w:spacing w:after="120" w:before="0" w:line="276"/>
        <w:jc w:val="both"/>
      </w:pPr>
      <w:r>
        <w:rPr>
          <w:sz w:val="20"/>
          <w:szCs w:val="20"/>
        </w:rPr>
        <w:t>Tras validar, el sistema redirige a la pantalla de inicio según el rol y el plan del usuario. Un usuario invitado que todavía no ha activado su cuenta no puede entrar por aquí: el sistema le recuerda que debe abrir el enlace de activación, y ofrece reenviárselo si venció.</w:t>
      </w:r>
    </w:p>
    <w:p>
      <w:pPr>
        <w:pStyle w:val="Heading2"/>
        <w:spacing w:after="120" w:before="300"/>
      </w:pPr>
      <w:r>
        <w:rPr>
          <w:b/>
          <w:bCs/>
          <w:color w:val="1F2933"/>
          <w:sz w:val="23"/>
          <w:szCs w:val="23"/>
        </w:rPr>
        <w:t xml:space="preserve">3.3 Recuperación de contraseña</w:t>
      </w:r>
    </w:p>
    <w:p>
      <w:pPr>
        <w:spacing w:after="120" w:before="0" w:line="276"/>
        <w:jc w:val="both"/>
      </w:pPr>
      <w:r>
        <w:rPr>
          <w:sz w:val="20"/>
          <w:szCs w:val="20"/>
        </w:rPr>
        <w:t xml:space="preserve">Desde el login, el enlace «¿Olvidaste tu contraseña?» abre un formulario que pide el correo registrado. El flujo completo: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900"/>
        <w:gridCol w:w="8120"/>
      </w:tblGrid>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Paso</w:t>
            </w:r>
          </w:p>
        </w:tc>
        <w:tc>
          <w:tcPr>
            <w:tcW w:type="dxa" w:w="81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8120"/>
            <w:shd w:fill="auto" w:color="auto" w:val="clear"/>
            <w:tcMar>
              <w:top w:type="dxa" w:w="70"/>
              <w:left w:type="dxa" w:w="110"/>
              <w:bottom w:type="dxa" w:w="70"/>
              <w:right w:type="dxa" w:w="110"/>
            </w:tcMar>
          </w:tcPr>
          <w:p>
            <w:pPr>
              <w:spacing w:after="40" w:before="40" w:line="240"/>
              <w:jc w:val="left"/>
            </w:pPr>
            <w:r>
              <w:rPr>
                <w:sz w:val="18"/>
                <w:szCs w:val="18"/>
              </w:rPr>
              <w:t>El usuario escribe su correo. El mensaje de respuesta es el mismo exista o no la cuenta: «Si ese correo está registrado, le enviamos un enlace para restablecer la contraseña». Decir «no existe, adquiera un plan» convierte esta pantalla en un oráculo con el que cualquiera puede averiguar qué correos tienen cuenta, y además revela indirectamente que el correo ya está en uso en otra empresa.</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8120"/>
            <w:shd w:fill="F7F9FA" w:color="auto" w:val="clear"/>
            <w:tcMar>
              <w:top w:type="dxa" w:w="70"/>
              <w:left w:type="dxa" w:w="110"/>
              <w:bottom w:type="dxa" w:w="70"/>
              <w:right w:type="dxa" w:w="110"/>
            </w:tcMar>
          </w:tcPr>
          <w:p>
            <w:pPr>
              <w:spacing w:after="40" w:before="40" w:line="240"/>
              <w:jc w:val="left"/>
            </w:pPr>
            <w:r>
              <w:rPr>
                <w:sz w:val="18"/>
                <w:szCs w:val="18"/>
              </w:rPr>
              <w:t xml:space="preserve">El sistema genera un enlace único con vigencia de 30 minutos y lo envía por correo, indicando en el mensaje que expira.</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3</w:t>
            </w:r>
          </w:p>
        </w:tc>
        <w:tc>
          <w:tcPr>
            <w:tcW w:type="dxa" w:w="8120"/>
            <w:shd w:fill="auto" w:color="auto" w:val="clear"/>
            <w:tcMar>
              <w:top w:type="dxa" w:w="70"/>
              <w:left w:type="dxa" w:w="110"/>
              <w:bottom w:type="dxa" w:w="70"/>
              <w:right w:type="dxa" w:w="110"/>
            </w:tcMar>
          </w:tcPr>
          <w:p>
            <w:pPr>
              <w:spacing w:after="40" w:before="40" w:line="240"/>
              <w:jc w:val="left"/>
            </w:pPr>
            <w:r>
              <w:rPr>
                <w:sz w:val="18"/>
                <w:szCs w:val="18"/>
              </w:rPr>
              <w:t xml:space="preserve">Al abrir el enlace, si el token venció o es inválido se muestra un aviso con un botón para solicitar uno nuevo.</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4</w:t>
            </w:r>
          </w:p>
        </w:tc>
        <w:tc>
          <w:tcPr>
            <w:tcW w:type="dxa" w:w="8120"/>
            <w:shd w:fill="F7F9FA" w:color="auto" w:val="clear"/>
            <w:tcMar>
              <w:top w:type="dxa" w:w="70"/>
              <w:left w:type="dxa" w:w="110"/>
              <w:bottom w:type="dxa" w:w="70"/>
              <w:right w:type="dxa" w:w="110"/>
            </w:tcMar>
          </w:tcPr>
          <w:p>
            <w:pPr>
              <w:spacing w:after="40" w:before="40" w:line="240"/>
              <w:jc w:val="left"/>
            </w:pPr>
            <w:r>
              <w:rPr>
                <w:sz w:val="18"/>
                <w:szCs w:val="18"/>
              </w:rPr>
              <w:t xml:space="preserve">Si es válido, se pide la nueva contraseña y su confirmación, con el mínimo de 8 caracteres. Si no coinciden, se muestra el error y se reintenta en el mismo formulario.</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5</w:t>
            </w:r>
          </w:p>
        </w:tc>
        <w:tc>
          <w:tcPr>
            <w:tcW w:type="dxa" w:w="8120"/>
            <w:shd w:fill="auto" w:color="auto" w:val="clear"/>
            <w:tcMar>
              <w:top w:type="dxa" w:w="70"/>
              <w:left w:type="dxa" w:w="110"/>
              <w:bottom w:type="dxa" w:w="70"/>
              <w:right w:type="dxa" w:w="110"/>
            </w:tcMar>
          </w:tcPr>
          <w:p>
            <w:pPr>
              <w:spacing w:after="40" w:before="40" w:line="240"/>
              <w:jc w:val="left"/>
            </w:pPr>
            <w:r>
              <w:rPr>
                <w:sz w:val="18"/>
                <w:szCs w:val="18"/>
              </w:rPr>
              <w:t xml:space="preserve">Al guardar, el token queda invalidado para siempre y se redirige al login.</w:t>
            </w:r>
          </w:p>
        </w:tc>
      </w:tr>
    </w:tbl>
    <w:p>
      <w:pPr>
        <w:pStyle w:val="Heading2"/>
        <w:spacing w:after="120" w:before="300"/>
      </w:pPr>
      <w:r>
        <w:rPr>
          <w:b/>
          <w:bCs/>
          <w:color w:val="1F2933"/>
          <w:sz w:val="23"/>
          <w:szCs w:val="23"/>
        </w:rPr>
        <w:t xml:space="preserve">3.4 Período de prueba y acceso vencido</w:t>
      </w:r>
    </w:p>
    <w:p>
      <w:pPr>
        <w:spacing w:after="120" w:before="0" w:line="276"/>
        <w:jc w:val="both"/>
      </w:pPr>
      <w:r>
        <w:rPr>
          <w:sz w:val="20"/>
          <w:szCs w:val="20"/>
        </w:rPr>
        <w:t xml:space="preserve">Al registrarse, la empresa recibe quince días de prueba gratuita. Dos días antes de vencer, el sistema envía un correo de aviso para que el cliente decida a tiempo.</w:t>
      </w:r>
    </w:p>
    <w:p>
      <w:pPr>
        <w:spacing w:after="120" w:before="0" w:line="276"/>
        <w:jc w:val="both"/>
      </w:pPr>
      <w:r>
        <w:rPr>
          <w:sz w:val="20"/>
          <w:szCs w:val="20"/>
        </w:rPr>
        <w:t>Cuando la prueba gratuita de 15 días termina sin pago, la empresa tiene 10 días en SOLO LECTURA para decidir: abre Recursos, APU y Presupuestos, los consulta y los exporta, y la pantalla de suscripción es donde paga. Cualquier acción que escriba se rechaza. Si en esos 10 días no paga, la prueba queda cancelada: nadie entra y sus datos se eliminan ese mismo día (decisión del dueño, 13 de octubre de 2026; D-76). Un pago reportado dentro del plazo la mantiene en solo lectura mientras se verifica. Una suscripción pagada sigue el ciclo de los párrafos siguientes (D-74).</w:t>
      </w:r>
    </w:p>
    <w:p>
      <w:pPr>
        <w:spacing w:after="120" w:before="0" w:line="276"/>
        <w:jc w:val="both"/>
      </w:pPr>
      <w:r>
        <w:rPr>
          <w:sz w:val="20"/>
          <w:szCs w:val="20"/>
        </w:rPr>
        <w:t>Cuando una suscripción pagada vence, la empresa tiene dos días hábiles para pagar —lunes a viernes, sin los festivos de Colombia— y mientras tanto todo funciona. Una franja en cada pantalla dice hasta qué día. Si reporta el pago dentro del plazo, la cuenta sigue funcionando mientras se verifica. Si el superadministrador rechaza ese pago, la empresa tiene dos días hábiles más, contados desde el rechazo, para reenviar el comprobante.</w:t>
      </w:r>
    </w:p>
    <w:p>
      <w:pPr>
        <w:spacing w:after="120" w:before="0" w:line="276"/>
        <w:jc w:val="both"/>
      </w:pPr>
      <w:r>
        <w:rPr>
          <w:sz w:val="20"/>
          <w:szCs w:val="20"/>
        </w:rPr>
        <w:t xml:space="preserve">Si el plazo pasa sin pago, la cuenta queda SUSPENDIDA. Al entrar, la persona ve una sola pantalla, sin menú: qué pasó, desde cuándo y en qué fecha se eliminan los datos si no paga, y debajo la pestaña de suscripción para reportar el pago. Ya no abre Recursos, APU ni Presupuestos, ni siquiera para consultar; lo único que puede hacer además de pagar es exportar sus proyectos a PDF y Excel, porque los datos son suyos (D-76). Al confirmarse el pago, todo vuelve a estar como estaba. A los 60 días de suspendida, los datos de la empresa se eliminan.</w:t>
      </w:r>
    </w:p>
    <w:p>
      <w:pPr>
        <w:spacing w:after="120" w:before="0" w:line="276"/>
        <w:jc w:val="both"/>
      </w:pPr>
      <w:r>
        <w:rPr>
          <w:sz w:val="20"/>
          <w:szCs w:val="20"/>
        </w:rPr>
        <w:t xml:space="preserve">La suscripción la cancelan el Administrador de la empresa o el superadministrador, y cancelar es definitivo. La cuenta funciona hasta la fecha que ya pagó y no se le cobra más. Desde el día siguiente nadie entra, salvo para exportar sus proyectos (D-76), y durante diez días solo el Administrador puede reactivarla, reportando un pago que el superadministrador confirma. Antes de esa fecha la puede reanudar sin pagar. Pasados los diez días, los datos se eliminan. La suspensión que decide el superadministrador también deja solo esa pantalla, pero sin camino de pago: no se resuelve pagando.</w:t>
      </w:r>
    </w:p>
    <w:p>
      <w:pPr>
        <w:spacing w:after="120" w:before="0" w:line="276"/>
        <w:jc w:val="both"/>
      </w:pPr>
      <w:r>
        <w:rPr>
          <w:sz w:val="20"/>
          <w:szCs w:val="20"/>
        </w:rPr>
        <w:t xml:space="preserve">Los plazos de este apartado —dos días hábiles, 60 días, 10 días— son los valores iniciales. Desde el 14 de octubre de 2026 el superadministrador los cambia en la pantalla Plazos del panel, y cada plazo se cuenta con el valor vigente el día en que empieza a correr (D-78, documento 07).</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600"/>
        <w:gridCol w:w="6420"/>
      </w:tblGrid>
      <w:tr>
        <w:trPr>
          <w:cantSplit/>
          <w:tblHeader/>
        </w:trPr>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Estado de la suscripción</w:t>
            </w:r>
          </w:p>
        </w:tc>
        <w:tc>
          <w:tcPr>
            <w:tcW w:type="dxa" w:w="64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ve el usuario</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En prueba</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El sistema completo durante los 15 días, con un aviso permanente de cuántos días quedan.</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Vencida</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Solo la prueba que terminó sin pago: diez días en solo lectura, consulta y exporta, y la pantalla de suscripción para pagar. Sin pago, queda cancelada y sus datos se eliminan (D-76).</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Activa</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El sistema completo.</w:t>
            </w:r>
          </w:p>
        </w:tc>
      </w:tr>
      <w:tr>
        <w:tc>
          <w:tcPr>
            <w:tcW w:type="dxa" w:w="2600"/>
          </w:tcPr>
          <w:p>
            <w:r>
              <w:rPr/>
              <w:t xml:space="preserve">Por pagar</w:t>
            </w:r>
          </w:p>
        </w:tc>
        <w:tc>
          <w:tcPr>
            <w:tcW w:type="dxa" w:w="6420"/>
          </w:tcPr>
          <w:p>
            <w:r>
              <w:rPr/>
              <w:t xml:space="preserve">El sistema completo durante los dos días hábiles de gracia, con una franja que dice hasta qué día puede pagar (D-74).</w:t>
            </w:r>
          </w:p>
        </w:tc>
      </w:tr>
      <w:tr>
        <w:tc>
          <w:tcPr>
            <w:tcW w:type="dxa" w:w="2600"/>
          </w:tcPr>
          <w:p>
            <w:r>
              <w:rPr/>
              <w:t xml:space="preserve">Suspendida</w:t>
            </w:r>
          </w:p>
        </w:tc>
        <w:tc>
          <w:tcPr>
            <w:tcW w:type="dxa" w:w="6420"/>
          </w:tcPr>
          <w:p>
            <w:r>
              <w:rPr/>
              <w:t xml:space="preserve">Una sola pantalla, sin menú: la suscripción para pagar y la exportación de sus proyectos. A los 60 días sus datos se eliminan. Si la suspendió el superadministrador, la pantalla lo dice con esas palabras y no ofrece pagar, porque pagar no lo resuelve (D-74, D-76).</w:t>
            </w:r>
          </w:p>
        </w:tc>
      </w:tr>
      <w:tr>
        <w:tc>
          <w:tcPr>
            <w:tcW w:type="dxa" w:w="2600"/>
          </w:tcPr>
          <w:p>
            <w:r>
              <w:rPr/>
              <w:t xml:space="preserve">Cancelada</w:t>
            </w:r>
          </w:p>
        </w:tc>
        <w:tc>
          <w:tcPr>
            <w:tcW w:type="dxa" w:w="6420"/>
          </w:tcPr>
          <w:p>
            <w:r>
              <w:rPr/>
              <w:t xml:space="preserve">El sistema completo hasta la fecha que ya pagó, con la opción de reanudar sin pagar. Después, diez días en que solo el Administrador puede reactivarla reportando un pago, y se pueden exportar los proyectos. Luego sus datos se eliminan (D-74, D-76).</w:t>
            </w:r>
          </w:p>
        </w:tc>
      </w:tr>
    </w:tbl>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La verificación es del servidor, no de la pantalla</w:t>
            </w:r>
          </w:p>
          <w:p>
            <w:pPr>
              <w:spacing w:after="110" w:line="276"/>
              <w:jc w:val="both"/>
            </w:pPr>
            <w:r>
              <w:rPr>
                <w:sz w:val="19"/>
                <w:szCs w:val="19"/>
              </w:rPr>
              <w:t xml:space="preserve">No basta con ocultar el menú. El servidor comprueba la vigencia de la suscripción en cada petición, de modo que quien conozca la dirección de una pantalla interna tampoco entra.</w:t>
            </w:r>
          </w:p>
          <w:p>
            <w:pPr>
              <w:spacing w:after="40" w:line="276"/>
              <w:jc w:val="both"/>
            </w:pPr>
            <w:r>
              <w:rPr>
                <w:sz w:val="19"/>
                <w:szCs w:val="19"/>
              </w:rPr>
              <w:t xml:space="preserve">Y una regla que no se negocia: la información del cliente se conserva intacta. Perder el acceso no es perder los datos.</w:t>
            </w:r>
          </w:p>
          <w:p>
            <w:pPr/>
            <w:r>
              <w:t>Desde el 30 de septiembre de 2026 esa regla tiene dientes: los datos no solo se conservan, se pueden exportar con la suscripción vencida. Y la comprobación vive en la base, dentro de app.fn_exigir_permiso: pasan las acciones de VER y EXPORTAR, se rechaza el resto. Un endpoint nuevo que se olvide de comprobarla queda cubierto igual.</w:t>
            </w:r>
          </w:p>
        </w:tc>
      </w:tr>
    </w:tbl>
    <w:p>
      <w:pPr>
        <w:pStyle w:val="Heading2"/>
        <w:spacing w:after="120" w:before="300"/>
      </w:pPr>
      <w:r>
        <w:rPr>
          <w:b/>
          <w:bCs/>
          <w:color w:val="1F2933"/>
          <w:sz w:val="23"/>
          <w:szCs w:val="23"/>
        </w:rPr>
        <w:t xml:space="preserve">3.5 Acceso del superadministrador</w:t>
      </w:r>
    </w:p>
    <w:p>
      <w:pPr>
        <w:spacing w:after="120" w:before="0" w:line="276"/>
        <w:jc w:val="both"/>
      </w:pPr>
      <w:r>
        <w:rPr>
          <w:sz w:val="20"/>
          <w:szCs w:val="20"/>
        </w:rPr>
        <w:t xml:space="preserve">Por una URL propia y separada de la de los inquilinos. No comparte pantalla de login con los usuarios de las empresas.</w:t>
      </w:r>
    </w:p>
    <w:p>
      <w:pPr>
        <w:spacing w:after="120" w:before="0" w:line="276"/>
        <w:jc w:val="both"/>
      </w:pPr>
      <w:r>
        <w:rPr>
          <w:sz w:val="20"/>
          <w:szCs w:val="20"/>
        </w:rPr>
        <w:t>El panel vive en /superadmin/ y tiene su propio ingreso, su propia sesión y su propio menú: Resumen, Empresas, Pagos y Bitácora. Usa el mismo marco que la aplicación de las empresas —barra lateral plegable, migas, tarjetas y capas—, y bajo la marca lleva un sello «Plataforma» para que nadie confunda en qué consola está. El superadministrador se crea por terminal y elige su contraseña allí mismo (decisión del dueño, 9 de octubre de 2026).</w:t>
      </w:r>
    </w:p>
    <w:p>
      <w:pPr>
        <w:spacing w:after="120" w:before="0" w:line="276"/>
        <w:jc w:val="both"/>
      </w:pPr>
      <w:r>
        <w:rPr>
          <w:sz w:val="20"/>
          <w:szCs w:val="20"/>
        </w:rPr>
        <w:t>El resumen muestra cuántas empresas pagan, cuántas están en prueba, vencidas o suspendidas, lo que entró en el mes, y las listas que piden una acción. La primera, arriba de todo, son los pagos por verificar: los que reportaron las empresas y nadie ha revisado, del más antiguo al más reciente. Debajo, las que vencen en los próximos siete días y las pruebas vencidas sin pago. La lista de empresas se filtra por estado y por plan, y se busca por razón social o NIT.</w:t>
      </w:r>
    </w:p>
    <w:p>
      <w:pPr>
        <w:spacing w:after="120" w:before="0" w:line="276"/>
        <w:jc w:val="both"/>
      </w:pPr>
      <w:r>
        <w:rPr>
          <w:sz w:val="20"/>
          <w:szCs w:val="20"/>
        </w:rPr>
        <w:t>La ficha de cada empresa pone arriba lo de todos los días —registrar un pago, cambiar plan o vencimiento, suspender o reactivar, designar administrador— y abajo, separada, una zona de cuidado con lo que no tiene vuelta atrás: cancelar la suscripción —que surte efecto en la fecha pagada y que el panel no puede revertir— y eliminar los datos. Toda acción pide un motivo y queda en la bitácora del panel. El panel no ve proyectos ni catálogos de las empresas: solo cuántos tienen.</w:t>
      </w:r>
    </w:p>
    <w:p>
      <w:pPr>
        <w:spacing w:after="120" w:before="0" w:line="276"/>
        <w:jc w:val="both"/>
      </w:pPr>
      <w:r>
        <w:rPr>
          <w:sz w:val="20"/>
          <w:szCs w:val="20"/>
        </w:rPr>
        <w:t>Registrar un pago pide el monto, la fecha, el método, la referencia y, opcionalmente, el comprobante (PNG, JPEG o PDF hasta 5 MB). Cubre un período de 1, 3, 6 o 12 meses, o hasta una fecha que se escribe a mano. Antes de guardar, la capa muestra hasta cuándo queda vigente, contando desde el vencimiento actual o desde hoy, lo que sea más tarde. Eliminar los datos exige escribir la razón social exacta y solo se ofrece para pruebas vencidas hace más de 10 días sin pago.</w:t>
      </w:r>
    </w:p>
    <w:p>
      <w:pPr>
        <w:spacing w:after="120" w:before="0" w:line="276"/>
        <w:jc w:val="both"/>
      </w:pPr>
      <w:r>
        <w:rPr>
          <w:sz w:val="20"/>
          <w:szCs w:val="20"/>
        </w:rPr>
        <w:t>Un pago que reportó la empresa aparece en su ficha como «Pago por verificar», con el comprobante a un clic. Confirmarlo pide revisar el período (viene el que pidió la empresa), muestra hasta cuándo queda vigente y exige marcar «Revisé el comprobante y el dinero está en la cuenta»: solo entonces se activa el plan. Rechazarlo pide un motivo, que la empresa lee tal cual. La lista de pagos se filtra también por estado —confirmado, por verificar, rechazado— y su total suma solo los confirmados (D-73).</w:t>
      </w:r>
    </w:p>
    <w:p>
      <w:pPr>
        <w:pStyle w:val="Heading1"/>
        <w:pBdr>
          <w:bottom w:val="single" w:color="13496B" w:sz="10" w:space="6"/>
        </w:pBdr>
        <w:spacing w:after="180" w:before="420"/>
      </w:pPr>
      <w:r>
        <w:rPr>
          <w:b/>
          <w:bCs/>
          <w:color w:val="13496B"/>
          <w:sz w:val="30"/>
          <w:szCs w:val="30"/>
        </w:rPr>
        <w:t xml:space="preserve">La ficha muestra los plazos que corren: hasta cuándo puede pagar sin suspenderse, desde cuándo está suspendida, hasta cuándo se puede reactivar una cancelada y en qué fecha se eliminan sus datos. El resumen suma «Por pagar» y una lista «Sus datos se eliminan pronto» con las que se eliminan en los próximos siete días. Esas eliminaciones las hace un proceso diario, también la de la prueba que no se pagó en sus diez días de solo lectura (D-74, D-76).</w:t>
      </w:r>
    </w:p>
    <w:p>
      <w:pPr>
        <w:pStyle w:val="Heading1"/>
        <w:pBdr>
          <w:bottom w:val="single" w:color="13496B" w:sz="10" w:space="6"/>
        </w:pBdr>
        <w:spacing w:after="180" w:before="420"/>
      </w:pPr>
      <w:r>
        <w:rPr>
          <w:b/>
          <w:bCs/>
          <w:color w:val="13496B"/>
          <w:sz w:val="30"/>
          <w:szCs w:val="30"/>
        </w:rPr>
        <w:t xml:space="preserve">4. Pantalla de inicio</w:t>
      </w:r>
    </w:p>
    <w:p>
      <w:pPr>
        <w:spacing w:after="120" w:before="0" w:line="276"/>
        <w:jc w:val="both"/>
      </w:pPr>
      <w:r>
        <w:rPr>
          <w:sz w:val="20"/>
          <w:szCs w:val="20"/>
        </w:rPr>
        <w:t xml:space="preserve">Menú principal con el acceso a los módulos del sistema. Los que no corresponden al rol del usuario no se muestran.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3000"/>
        <w:gridCol w:w="6020"/>
      </w:tblGrid>
      <w:tr>
        <w:trPr>
          <w:cantSplit/>
          <w:tblHeader/>
        </w:trPr>
        <w:tc>
          <w:tcPr>
            <w:tcW w:type="dxa" w:w="3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Acceso</w:t>
            </w:r>
          </w:p>
        </w:tc>
        <w:tc>
          <w:tcPr>
            <w:tcW w:type="dxa" w:w="60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Lleva a</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 xml:space="preserve">Recursos</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 xml:space="preserve">Catálogo maestro de materiales, equipos, personal y actividades a todo costo</w:t>
            </w:r>
          </w:p>
        </w:tc>
      </w:tr>
      <w:tr>
        <w:trPr>
          <w:cantSplit/>
        </w:trPr>
        <w:tc>
          <w:tcPr>
            <w:tcW w:type="dxa" w:w="3000"/>
            <w:shd w:fill="F7F9FA" w:color="auto" w:val="clear"/>
            <w:tcMar>
              <w:top w:type="dxa" w:w="70"/>
              <w:left w:type="dxa" w:w="110"/>
              <w:bottom w:type="dxa" w:w="70"/>
              <w:right w:type="dxa" w:w="110"/>
            </w:tcMar>
          </w:tcPr>
          <w:p>
            <w:pPr>
              <w:spacing w:after="40" w:before="40" w:line="240"/>
              <w:jc w:val="left"/>
            </w:pPr>
            <w:r>
              <w:rPr>
                <w:sz w:val="18"/>
                <w:szCs w:val="18"/>
              </w:rPr>
              <w:t xml:space="preserve">APU</w:t>
            </w:r>
          </w:p>
        </w:tc>
        <w:tc>
          <w:tcPr>
            <w:tcW w:type="dxa" w:w="6020"/>
            <w:shd w:fill="F7F9FA" w:color="auto" w:val="clear"/>
            <w:tcMar>
              <w:top w:type="dxa" w:w="70"/>
              <w:left w:type="dxa" w:w="110"/>
              <w:bottom w:type="dxa" w:w="70"/>
              <w:right w:type="dxa" w:w="110"/>
            </w:tcMar>
          </w:tcPr>
          <w:p>
            <w:pPr>
              <w:spacing w:after="40" w:before="40" w:line="240"/>
              <w:jc w:val="left"/>
            </w:pPr>
            <w:r>
              <w:rPr>
                <w:sz w:val="18"/>
                <w:szCs w:val="18"/>
              </w:rPr>
              <w:t xml:space="preserve">Inventario de análisis de precios unitarios</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 xml:space="preserve">Presupuestos</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 xml:space="preserve">Lista de proyectos y mesa de trabajo</w:t>
            </w:r>
          </w:p>
        </w:tc>
      </w:tr>
      <w:tr>
        <w:trPr>
          <w:cantSplit/>
        </w:trPr>
        <w:tc>
          <w:tcPr>
            <w:tcW w:type="dxa" w:w="3000"/>
            <w:shd w:fill="F7F9FA" w:color="auto" w:val="clear"/>
            <w:tcMar>
              <w:top w:type="dxa" w:w="70"/>
              <w:left w:type="dxa" w:w="110"/>
              <w:bottom w:type="dxa" w:w="70"/>
              <w:right w:type="dxa" w:w="110"/>
            </w:tcMar>
          </w:tcPr>
          <w:p>
            <w:pPr>
              <w:spacing w:after="40" w:before="40" w:line="240"/>
              <w:jc w:val="left"/>
            </w:pPr>
            <w:r>
              <w:rPr>
                <w:sz w:val="18"/>
                <w:szCs w:val="18"/>
              </w:rPr>
              <w:t xml:space="preserve">Configuración (ícono de engranaje)</w:t>
            </w:r>
          </w:p>
        </w:tc>
        <w:tc>
          <w:tcPr>
            <w:tcW w:type="dxa" w:w="6020"/>
            <w:shd w:fill="F7F9FA" w:color="auto" w:val="clear"/>
            <w:tcMar>
              <w:top w:type="dxa" w:w="70"/>
              <w:left w:type="dxa" w:w="110"/>
              <w:bottom w:type="dxa" w:w="70"/>
              <w:right w:type="dxa" w:w="110"/>
            </w:tcMar>
          </w:tcPr>
          <w:p>
            <w:pPr>
              <w:spacing w:after="40" w:before="40" w:line="240"/>
              <w:jc w:val="left"/>
            </w:pPr>
            <w:r>
              <w:rPr>
                <w:sz w:val="18"/>
                <w:szCs w:val="18"/>
              </w:rPr>
              <w:t xml:space="preserve">Cuenta, empresa, suscripción, usuarios, preferencias y unidades</w:t>
            </w:r>
          </w:p>
        </w:tc>
      </w:tr>
    </w:tbl>
    <w:p>
      <w:pPr>
        <w:pStyle w:val="Heading1"/>
        <w:pBdr>
          <w:bottom w:val="single" w:color="13496B" w:sz="10" w:space="6"/>
        </w:pBdr>
        <w:spacing w:after="180" w:before="420"/>
      </w:pPr>
      <w:r>
        <w:rPr>
          <w:b/>
          <w:bCs/>
          <w:color w:val="13496B"/>
          <w:sz w:val="30"/>
          <w:szCs w:val="30"/>
        </w:rPr>
        <w:t xml:space="preserve">5. Módulo Recursos</w:t>
      </w:r>
    </w:p>
    <w:p>
      <w:pPr>
        <w:pStyle w:val="Heading2"/>
        <w:spacing w:after="120" w:before="300"/>
      </w:pPr>
      <w:r>
        <w:rPr>
          <w:b/>
          <w:bCs/>
          <w:color w:val="1F2933"/>
          <w:sz w:val="23"/>
          <w:szCs w:val="23"/>
        </w:rPr>
        <w:t xml:space="preserve">5.1 Vista maestra</w:t>
      </w:r>
    </w:p>
    <w:p>
      <w:pPr>
        <w:spacing w:after="120" w:before="0" w:line="276"/>
        <w:jc w:val="both"/>
      </w:pPr>
      <w:r>
        <w:rPr>
          <w:sz w:val="20"/>
          <w:szCs w:val="20"/>
        </w:rPr>
        <w:t xml:space="preserve">Al entrar desde el menú principal, la pantalla contiene:</w:t>
      </w:r>
    </w:p>
    <w:p>
      <w:pPr>
        <w:pStyle w:val="ListParagraph"/>
        <w:numPr>
          <w:ilvl w:val="0"/>
          <w:numId w:val="2"/>
        </w:numPr>
        <w:spacing w:after="90" w:line="276"/>
        <w:jc w:val="both"/>
      </w:pPr>
      <w:r>
        <w:rPr>
          <w:sz w:val="20"/>
          <w:szCs w:val="20"/>
        </w:rPr>
        <w:t xml:space="preserve">Cuatro pestañas fijas: Materiales, Equipos, Personal y Actividades (todo costo).</w:t>
      </w:r>
    </w:p>
    <w:p>
      <w:pPr>
        <w:pStyle w:val="ListParagraph"/>
        <w:numPr>
          <w:ilvl w:val="0"/>
          <w:numId w:val="2"/>
        </w:numPr>
        <w:spacing w:after="90" w:line="276"/>
        <w:jc w:val="both"/>
      </w:pPr>
      <w:r>
        <w:rPr>
          <w:sz w:val="20"/>
          <w:szCs w:val="20"/>
        </w:rPr>
        <w:t xml:space="preserve">Una vista adicional «Todos los recursos» con el listado unificado.</w:t>
      </w:r>
    </w:p>
    <w:p>
      <w:pPr>
        <w:pStyle w:val="ListParagraph"/>
        <w:numPr>
          <w:ilvl w:val="0"/>
          <w:numId w:val="2"/>
        </w:numPr>
        <w:spacing w:after="90" w:line="276"/>
        <w:jc w:val="both"/>
      </w:pPr>
      <w:r>
        <w:rPr>
          <w:sz w:val="20"/>
          <w:szCs w:val="20"/>
        </w:rPr>
        <w:t xml:space="preserve">Un botón destacado «Crear Nuevo Recurso» y, dentro de cada pestaña, un acceso rápido que preselecciona el tipo de esa pestaña.</w:t>
      </w:r>
    </w:p>
    <w:p>
      <w:pPr>
        <w:pStyle w:val="ListParagraph"/>
        <w:numPr>
          <w:ilvl w:val="0"/>
          <w:numId w:val="2"/>
        </w:numPr>
        <w:spacing w:after="90" w:line="276"/>
        <w:jc w:val="both"/>
      </w:pPr>
      <w:r>
        <w:rPr>
          <w:sz w:val="20"/>
          <w:szCs w:val="20"/>
        </w:rPr>
        <w:t xml:space="preserve">Una barra de búsqueda en la parte superior. Al escribir un término, el filtro por pestañas se rompe: se muestran todos los recursos relacionados sin importar su categoría.</w:t>
      </w:r>
    </w:p>
    <w:p>
      <w:pPr>
        <w:pStyle w:val="ListParagraph"/>
        <w:numPr>
          <w:ilvl w:val="0"/>
          <w:numId w:val="2"/>
        </w:numPr>
        <w:spacing w:after="90" w:line="276"/>
        <w:jc w:val="both"/>
      </w:pPr>
      <w:r>
        <w:rPr>
          <w:sz w:val="20"/>
          <w:szCs w:val="20"/>
        </w:rPr>
        <w:t xml:space="preserve">Filtros por código, nombre, unidad y rango de precios.</w:t>
      </w:r>
    </w:p>
    <w:p>
      <w:pPr>
        <w:spacing w:after="120" w:before="0" w:line="276"/>
        <w:jc w:val="both"/>
      </w:pPr>
      <w:r>
        <w:rPr>
          <w:sz w:val="20"/>
          <w:szCs w:val="20"/>
        </w:rPr>
        <w:t xml:space="preserve">La tabla de cada pestaña muestra: código automático, nombre, unidad y precios.</w:t>
      </w:r>
    </w:p>
    <w:p>
      <w:pPr>
        <w:pStyle w:val="Heading2"/>
        <w:spacing w:after="120" w:before="300"/>
      </w:pPr>
      <w:r>
        <w:rPr>
          <w:b/>
          <w:bCs/>
          <w:color w:val="1F2933"/>
          <w:sz w:val="23"/>
          <w:szCs w:val="23"/>
        </w:rPr>
        <w:t xml:space="preserve">5.2 Crear un recurso</w:t>
      </w:r>
    </w:p>
    <w:p>
      <w:pPr>
        <w:spacing w:after="120" w:before="0" w:line="276"/>
        <w:jc w:val="both"/>
      </w:pPr>
      <w:r>
        <w:rPr>
          <w:sz w:val="20"/>
          <w:szCs w:val="20"/>
        </w:rPr>
        <w:t xml:space="preserve">Se abre un pop-out con los campos obligatorios: nombre, tipo de recurso (lista con las cuatro categorías, preseleccionada si se entró desde una pestaña) y unidad de medida.</w:t>
      </w:r>
    </w:p>
    <w:p>
      <w:pPr>
        <w:spacing w:after="120" w:before="0" w:line="276"/>
        <w:jc w:val="both"/>
      </w:pPr>
      <w:r>
        <w:rPr>
          <w:sz w:val="20"/>
          <w:szCs w:val="20"/>
        </w:rPr>
        <w:t>El nombre no se repite en la empresa, sin distinguir mayúsculas ni espacios al principio o al final (decisión del dueño, 7 de octubre de 2026). Vale al crear, al editar y al importar. El error va en el campo Nombre y dice qué recurso ya lo tiene. Guardar un recurso con su propio nombre no cuenta como repetirlo.</w:t>
      </w:r>
    </w:p>
    <w:p>
      <w:pPr>
        <w:pStyle w:val="Heading3"/>
        <w:spacing w:after="100" w:before="220"/>
      </w:pPr>
      <w:r>
        <w:rPr>
          <w:b/>
          <w:bCs/>
          <w:color w:val="5A6874"/>
          <w:sz w:val="20"/>
          <w:szCs w:val="20"/>
        </w:rPr>
        <w:t xml:space="preserve">Doble vía de precio</w:t>
      </w:r>
    </w:p>
    <w:p>
      <w:pPr>
        <w:spacing w:after="120" w:before="0" w:line="276"/>
        <w:jc w:val="both"/>
      </w:pPr>
      <w:r>
        <w:rPr>
          <w:sz w:val="20"/>
          <w:szCs w:val="20"/>
        </w:rPr>
        <w:t xml:space="preserve">El sistema no obliga al usuario a tener el dato que no tiene. Acepta dos formas de capturar el precio y calcula la otra: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100"/>
        <w:gridCol w:w="3460"/>
        <w:gridCol w:w="3460"/>
      </w:tblGrid>
      <w:tr>
        <w:trPr>
          <w:cantSplit/>
          <w:tblHeader/>
        </w:trPr>
        <w:tc>
          <w:tcPr>
            <w:tcW w:type="dxa" w:w="21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Vía</w:t>
            </w:r>
          </w:p>
        </w:tc>
        <w:tc>
          <w:tcPr>
            <w:tcW w:type="dxa" w:w="346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El usuario escribe</w:t>
            </w:r>
          </w:p>
        </w:tc>
        <w:tc>
          <w:tcPr>
            <w:tcW w:type="dxa" w:w="346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El sistema calcula</w:t>
            </w:r>
          </w:p>
        </w:tc>
      </w:tr>
      <w:tr>
        <w:trPr>
          <w:cantSplit/>
        </w:trPr>
        <w:tc>
          <w:tcPr>
            <w:tcW w:type="dxa" w:w="2100"/>
            <w:shd w:fill="auto" w:color="auto" w:val="clear"/>
            <w:tcMar>
              <w:top w:type="dxa" w:w="70"/>
              <w:left w:type="dxa" w:w="110"/>
              <w:bottom w:type="dxa" w:w="70"/>
              <w:right w:type="dxa" w:w="110"/>
            </w:tcMar>
          </w:tcPr>
          <w:p>
            <w:pPr>
              <w:spacing w:after="40" w:before="40" w:line="240"/>
              <w:jc w:val="left"/>
            </w:pPr>
            <w:r>
              <w:rPr>
                <w:sz w:val="18"/>
                <w:szCs w:val="18"/>
              </w:rPr>
              <w:t xml:space="preserve">A — Costo base</w:t>
            </w:r>
          </w:p>
        </w:tc>
        <w:tc>
          <w:tcPr>
            <w:tcW w:type="dxa" w:w="3460"/>
            <w:shd w:fill="auto" w:color="auto" w:val="clear"/>
            <w:tcMar>
              <w:top w:type="dxa" w:w="70"/>
              <w:left w:type="dxa" w:w="110"/>
              <w:bottom w:type="dxa" w:w="70"/>
              <w:right w:type="dxa" w:w="110"/>
            </w:tcMar>
          </w:tcPr>
          <w:p>
            <w:pPr>
              <w:spacing w:after="40" w:before="40" w:line="240"/>
              <w:jc w:val="left"/>
            </w:pPr>
            <w:r>
              <w:rPr>
                <w:sz w:val="18"/>
                <w:szCs w:val="18"/>
              </w:rPr>
              <w:t xml:space="preserve">Precio unitario sin impuesto y el % de IVA</w:t>
            </w:r>
          </w:p>
        </w:tc>
        <w:tc>
          <w:tcPr>
            <w:tcW w:type="dxa" w:w="3460"/>
            <w:shd w:fill="auto" w:color="auto" w:val="clear"/>
            <w:tcMar>
              <w:top w:type="dxa" w:w="70"/>
              <w:left w:type="dxa" w:w="110"/>
              <w:bottom w:type="dxa" w:w="70"/>
              <w:right w:type="dxa" w:w="110"/>
            </w:tcMar>
          </w:tcPr>
          <w:p>
            <w:pPr>
              <w:spacing w:after="40" w:before="40" w:line="240"/>
              <w:jc w:val="left"/>
            </w:pPr>
            <w:r>
              <w:rPr>
                <w:sz w:val="18"/>
                <w:szCs w:val="18"/>
              </w:rPr>
              <w:t xml:space="preserve">Precio total = precio base × (1 + IVA/100)</w:t>
            </w:r>
          </w:p>
        </w:tc>
      </w:tr>
      <w:tr>
        <w:trPr>
          <w:cantSplit/>
        </w:trPr>
        <w:tc>
          <w:tcPr>
            <w:tcW w:type="dxa" w:w="2100"/>
            <w:shd w:fill="F7F9FA" w:color="auto" w:val="clear"/>
            <w:tcMar>
              <w:top w:type="dxa" w:w="70"/>
              <w:left w:type="dxa" w:w="110"/>
              <w:bottom w:type="dxa" w:w="70"/>
              <w:right w:type="dxa" w:w="110"/>
            </w:tcMar>
          </w:tcPr>
          <w:p>
            <w:pPr>
              <w:spacing w:after="40" w:before="40" w:line="240"/>
              <w:jc w:val="left"/>
            </w:pPr>
            <w:r>
              <w:rPr>
                <w:sz w:val="18"/>
                <w:szCs w:val="18"/>
              </w:rPr>
              <w:t xml:space="preserve">B — Costo total</w:t>
            </w:r>
          </w:p>
        </w:tc>
        <w:tc>
          <w:tcPr>
            <w:tcW w:type="dxa" w:w="3460"/>
            <w:shd w:fill="F7F9FA" w:color="auto" w:val="clear"/>
            <w:tcMar>
              <w:top w:type="dxa" w:w="70"/>
              <w:left w:type="dxa" w:w="110"/>
              <w:bottom w:type="dxa" w:w="70"/>
              <w:right w:type="dxa" w:w="110"/>
            </w:tcMar>
          </w:tcPr>
          <w:p>
            <w:pPr>
              <w:spacing w:after="40" w:before="40" w:line="240"/>
              <w:jc w:val="left"/>
            </w:pPr>
            <w:r>
              <w:rPr>
                <w:sz w:val="18"/>
                <w:szCs w:val="18"/>
              </w:rPr>
              <w:t xml:space="preserve">Precio unitario con impuesto incluido y el % de IVA</w:t>
            </w:r>
          </w:p>
        </w:tc>
        <w:tc>
          <w:tcPr>
            <w:tcW w:type="dxa" w:w="3460"/>
            <w:shd w:fill="F7F9FA" w:color="auto" w:val="clear"/>
            <w:tcMar>
              <w:top w:type="dxa" w:w="70"/>
              <w:left w:type="dxa" w:w="110"/>
              <w:bottom w:type="dxa" w:w="70"/>
              <w:right w:type="dxa" w:w="110"/>
            </w:tcMar>
          </w:tcPr>
          <w:p>
            <w:pPr>
              <w:spacing w:after="40" w:before="40" w:line="240"/>
              <w:jc w:val="left"/>
            </w:pPr>
            <w:r>
              <w:rPr>
                <w:sz w:val="18"/>
                <w:szCs w:val="18"/>
              </w:rPr>
              <w:t xml:space="preserve">Precio base = precio total / (1 + IVA/100)</w:t>
            </w:r>
          </w:p>
        </w:tc>
      </w:tr>
    </w:tbl>
    <w:p>
      <w:pPr>
        <w:spacing w:after="120" w:before="0" w:line="276"/>
        <w:jc w:val="both"/>
      </w:pPr>
      <w:r>
        <w:rPr>
          <w:sz w:val="20"/>
          <w:szCs w:val="20"/>
        </w:rPr>
        <w:t>El IVA es opcional. Al crear un recurso de tipo material o equipo, el campo llega con 19 % y se puede cambiar; en personal y actividad a todo costo llega vacío. Vacío es 0 %, y entonces los dos precios quedan idénticos. Mientras el usuario no haya tocado el IVA, el valor sugerido sigue al tipo que elija; si ya lo escribió, se respeta (decisión del dueño, 6 de octubre de 2026). Un campo de cifra no acepta letras: solo dígitos y el separador decimal de la empresa.</w:t>
      </w:r>
    </w:p>
    <w:p>
      <w:pPr>
        <w:pStyle w:val="Heading3"/>
        <w:spacing w:after="100" w:before="220"/>
      </w:pPr>
      <w:r>
        <w:rPr>
          <w:b/>
          <w:bCs/>
          <w:color w:val="5A6874"/>
          <w:sz w:val="20"/>
          <w:szCs w:val="20"/>
        </w:rPr>
        <w:t xml:space="preserve">Bloqueo cruzado de los campos de precio</w:t>
      </w:r>
    </w:p>
    <w:p>
      <w:pPr>
        <w:spacing w:after="120" w:before="0" w:line="276"/>
        <w:jc w:val="both"/>
      </w:pPr>
      <w:r>
        <w:rPr>
          <w:sz w:val="20"/>
          <w:szCs w:val="20"/>
        </w:rPr>
        <w:t xml:space="preserve">En cuanto el usuario empieza a escribir en uno de los dos campos de precio, el otro se calcula y se bloquea para edición manual. Si borra lo escrito, ambos se desbloquean y puede elegir de nuevo por cuál vía entrar. El objetivo es que nunca existan dos precios incoherentes entre sí.</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El sistema debe recordar por cuál vía se capturó</w:t>
            </w:r>
          </w:p>
          <w:p>
            <w:pPr>
              <w:spacing w:after="40" w:line="276"/>
              <w:jc w:val="both"/>
            </w:pPr>
            <w:r>
              <w:rPr>
                <w:sz w:val="19"/>
                <w:szCs w:val="19"/>
              </w:rPr>
              <w:t xml:space="preserve">Cuando el usuario reabre el recurso para editarlo, la interfaz tiene que reproducir el mismo bloqueo: si el precio se capturó por la vía A, es el precio total el que aparece bloqueado, y al revés. Por eso el dato de la vía usada se guarda junto con los dos precios.</w:t>
            </w:r>
          </w:p>
        </w:tc>
      </w:tr>
    </w:tbl>
    <w:p>
      <w:pPr>
        <w:pStyle w:val="Heading3"/>
        <w:spacing w:after="100" w:before="220"/>
      </w:pPr>
      <w:r>
        <w:rPr>
          <w:b/>
          <w:bCs/>
          <w:color w:val="5A6874"/>
          <w:sz w:val="20"/>
          <w:szCs w:val="20"/>
        </w:rPr>
        <w:t xml:space="preserve">Guardado</w:t>
      </w:r>
    </w:p>
    <w:p>
      <w:pPr>
        <w:spacing w:after="120" w:before="0" w:line="276"/>
        <w:jc w:val="both"/>
      </w:pPr>
      <w:r>
        <w:rPr>
          <w:sz w:val="20"/>
          <w:szCs w:val="20"/>
        </w:rPr>
        <w:t xml:space="preserve">Al presionar «Crear», el servidor registra el recurso, le asigna un código único e irrepetible y cierra el pop-out. El código lo genera el servidor: el usuario no lo escribe ni lo puede modificar nunca. Si el formulario lo muestra, lo muestra bloqueado.</w:t>
      </w:r>
    </w:p>
    <w:p>
      <w:pPr>
        <w:spacing w:after="120" w:before="0" w:line="276"/>
        <w:jc w:val="both"/>
      </w:pPr>
      <w:r>
        <w:rPr>
          <w:sz w:val="20"/>
          <w:szCs w:val="20"/>
        </w:rPr>
        <w:t xml:space="preserve">El precio se registra en la moneda base de la empresa. No hay selector de divisa.</w:t>
      </w:r>
    </w:p>
    <w:p>
      <w:pPr>
        <w:pStyle w:val="Heading2"/>
        <w:spacing w:after="120" w:before="300"/>
      </w:pPr>
      <w:r>
        <w:rPr>
          <w:b/>
          <w:bCs/>
          <w:color w:val="1F2933"/>
          <w:sz w:val="23"/>
          <w:szCs w:val="23"/>
        </w:rPr>
        <w:t xml:space="preserve">5.3 Editar un recurso</w:t>
      </w:r>
    </w:p>
    <w:p>
      <w:pPr>
        <w:spacing w:after="120" w:before="0" w:line="276"/>
        <w:jc w:val="both"/>
      </w:pPr>
      <w:r>
        <w:rPr>
          <w:sz w:val="20"/>
          <w:szCs w:val="20"/>
        </w:rPr>
        <w:t xml:space="preserve">Al hacer clic sobre un recurso de la lista se abre el pop-out con sus datos. Se puede modificar nombre, tipo, unidad y precios; el código nunca cambia.</w:t>
      </w:r>
    </w:p>
    <w:p>
      <w:pPr>
        <w:spacing w:after="120" w:before="0" w:line="276"/>
        <w:jc w:val="both"/>
      </w:pPr>
      <w:r>
        <w:rPr>
          <w:sz w:val="20"/>
          <w:szCs w:val="20"/>
        </w:rPr>
        <w:t xml:space="preserve">Si el recurso está en uso en algún APU, al guardar el sistema pregunta qué hacer con los presupuestos abiertos donde ese APU está vinculado: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Respuesta</w:t>
            </w:r>
          </w:p>
        </w:tc>
        <w:tc>
          <w:tcPr>
            <w:tcW w:type="dxa" w:w="6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ocurre</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Sí, actualizar</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Los presupuestos abiertos seleccionados quedan con el precio nuevo y sus totales se recalculan.</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No, solo para nuevos</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Los presupuestos abiertos quedan exactamente como estaban, apuntando a su versión anterior. El catálogo sí queda con el precio nuevo: editar un recurso crea siempre una versión nueva de cada APU afectado y la deja como vigente, de modo que la vista maestra del APU muestra el costo nuevo y los proyectos que se creen de aquí en adelante lo toman (D-22).</w:t>
            </w:r>
          </w:p>
        </w:tc>
      </w:tr>
    </w:tbl>
    <w:p>
      <w:pPr>
        <w:spacing w:after="120" w:before="0" w:line="276"/>
        <w:jc w:val="both"/>
      </w:pPr>
      <w:r>
        <w:rPr>
          <w:sz w:val="20"/>
          <w:szCs w:val="20"/>
        </w:rPr>
        <w:t xml:space="preserve">Los presupuestos activos y cerrados no entran en esta pregunta: están congelados y no se ven afectados en ningún caso.</w:t>
      </w:r>
    </w:p>
    <w:p>
      <w:pPr>
        <w:pStyle w:val="Heading2"/>
        <w:spacing w:after="120" w:before="300"/>
      </w:pPr>
      <w:r>
        <w:rPr>
          <w:b/>
          <w:bCs/>
          <w:color w:val="1F2933"/>
          <w:sz w:val="23"/>
          <w:szCs w:val="23"/>
        </w:rPr>
        <w:t xml:space="preserve">5.4 Eliminar un recurso</w:t>
      </w:r>
    </w:p>
    <w:p>
      <w:pPr>
        <w:spacing w:after="120" w:before="0" w:line="276"/>
        <w:jc w:val="both"/>
      </w:pPr>
      <w:r>
        <w:rPr>
          <w:sz w:val="20"/>
          <w:szCs w:val="20"/>
        </w:rPr>
        <w:t xml:space="preserve">Solo se permite si el recurso no está vinculado a ningún APU. Si lo está, el sistema bloquea la eliminación y explica dónde está en uso.</w:t>
      </w:r>
    </w:p>
    <w:p>
      <w:pPr>
        <w:pStyle w:val="Heading2"/>
        <w:spacing w:after="120" w:before="300"/>
      </w:pPr>
      <w:r>
        <w:rPr>
          <w:b/>
          <w:bCs/>
          <w:color w:val="1F2933"/>
          <w:sz w:val="23"/>
          <w:szCs w:val="23"/>
        </w:rPr>
        <w:t>5.5 Importar desde Excel</w:t>
      </w:r>
    </w:p>
    <w:p>
      <w:pPr>
        <w:spacing w:after="120" w:before="0" w:line="276"/>
        <w:jc w:val="both"/>
      </w:pPr>
      <w:r>
        <w:rPr>
          <w:sz w:val="20"/>
          <w:szCs w:val="20"/>
        </w:rPr>
        <w:t>Por decisión del dueño (6 de octubre de 2026), el botón «Importar desde Excel» de la vista maestra abre un pop-out con tres pasos: descargar la plantilla, llenarla y subirla. La plantilla trae listas desplegables con los tipos y las unidades de la empresa, y se llena con uno solo de los dos precios por fila.</w:t>
      </w:r>
    </w:p>
    <w:p>
      <w:pPr>
        <w:spacing w:after="120" w:before="0" w:line="276"/>
        <w:jc w:val="both"/>
      </w:pPr>
      <w:r>
        <w:rPr>
          <w:sz w:val="20"/>
          <w:szCs w:val="20"/>
        </w:rPr>
        <w:t>La importación es todo o nada: si una fila tiene un error, no entra ninguna, y el pop-out muestra todos los errores con su hoja, su fila —la que Excel muestra a la izquierda— y su columna, para corregirlos y volver a subir el archivo. Solo crea recursos; nunca edita uno que ya existe. Un nombre repetido, en el catálogo o dentro del mismo archivo, es un error de la fila.</w:t>
      </w:r>
    </w:p>
    <w:p>
      <w:pPr>
        <w:pStyle w:val="Heading1"/>
        <w:pBdr>
          <w:bottom w:val="single" w:color="13496B" w:sz="10" w:space="6"/>
        </w:pBdr>
        <w:spacing w:after="180" w:before="420"/>
      </w:pPr>
      <w:r>
        <w:rPr>
          <w:b/>
          <w:bCs/>
          <w:color w:val="13496B"/>
          <w:sz w:val="30"/>
          <w:szCs w:val="30"/>
        </w:rPr>
        <w:t xml:space="preserve">6. Módulo APU</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Qué es un APU</w:t>
            </w:r>
          </w:p>
          <w:p>
            <w:pPr>
              <w:spacing w:after="110" w:line="276"/>
              <w:jc w:val="both"/>
            </w:pPr>
            <w:r>
              <w:rPr>
                <w:sz w:val="19"/>
                <w:szCs w:val="19"/>
              </w:rPr>
              <w:t xml:space="preserve">Un Análisis de Precios Unitarios es una receta matemática. Determina cuánto cuesta ejecutar una sola unidad de una actividad de obra: un metro cuadrado de muro, un metro cúbico de concreto, un kilo de acero.</w:t>
            </w:r>
          </w:p>
          <w:p>
            <w:pPr>
              <w:spacing w:after="40" w:line="276"/>
              <w:jc w:val="both"/>
            </w:pPr>
            <w:r>
              <w:rPr>
                <w:sz w:val="19"/>
                <w:szCs w:val="19"/>
              </w:rPr>
              <w:t xml:space="preserve">Para armarlo, el usuario llama a los recursos que ya creó y define cuánto de cada uno se consume para completar esa unidad. El sistema multiplica y suma, y obtiene el precio unitario de la actividad.</w:t>
            </w:r>
          </w:p>
        </w:tc>
      </w:tr>
    </w:tbl>
    <w:p>
      <w:pPr>
        <w:pStyle w:val="Heading2"/>
        <w:spacing w:after="120" w:before="300"/>
      </w:pPr>
      <w:r>
        <w:rPr>
          <w:b/>
          <w:bCs/>
          <w:color w:val="1F2933"/>
          <w:sz w:val="23"/>
          <w:szCs w:val="23"/>
        </w:rPr>
        <w:t xml:space="preserve">6.1 Vista maestra</w:t>
      </w:r>
    </w:p>
    <w:p>
      <w:pPr>
        <w:pStyle w:val="ListParagraph"/>
        <w:numPr>
          <w:ilvl w:val="0"/>
          <w:numId w:val="2"/>
        </w:numPr>
        <w:spacing w:after="90" w:line="276"/>
        <w:jc w:val="both"/>
      </w:pPr>
      <w:r>
        <w:rPr>
          <w:sz w:val="20"/>
          <w:szCs w:val="20"/>
        </w:rPr>
        <w:t xml:space="preserve">Tabla central con el inventario completo de APU.</w:t>
      </w:r>
    </w:p>
    <w:p>
      <w:pPr>
        <w:pStyle w:val="ListParagraph"/>
        <w:numPr>
          <w:ilvl w:val="0"/>
          <w:numId w:val="2"/>
        </w:numPr>
        <w:spacing w:after="90" w:line="276"/>
        <w:jc w:val="both"/>
      </w:pPr>
      <w:r>
        <w:rPr>
          <w:sz w:val="20"/>
          <w:szCs w:val="20"/>
        </w:rPr>
        <w:t xml:space="preserve">Barra de búsqueda que filtra en tiempo real por nombre o por código.</w:t>
      </w:r>
    </w:p>
    <w:p>
      <w:pPr>
        <w:pStyle w:val="ListParagraph"/>
        <w:numPr>
          <w:ilvl w:val="0"/>
          <w:numId w:val="2"/>
        </w:numPr>
        <w:spacing w:after="90" w:line="276"/>
        <w:jc w:val="both"/>
      </w:pPr>
      <w:r>
        <w:rPr>
          <w:sz w:val="20"/>
          <w:szCs w:val="20"/>
        </w:rPr>
        <w:t xml:space="preserve">Filtro desplegable por unidad de medida, para ver solo lo que esté en m², m³, kg y demás.</w:t>
      </w:r>
    </w:p>
    <w:p>
      <w:pPr>
        <w:pStyle w:val="ListParagraph"/>
        <w:numPr>
          <w:ilvl w:val="0"/>
          <w:numId w:val="2"/>
        </w:numPr>
        <w:spacing w:after="90" w:line="276"/>
        <w:jc w:val="both"/>
      </w:pPr>
      <w:r>
        <w:rPr>
          <w:sz w:val="20"/>
          <w:szCs w:val="20"/>
        </w:rPr>
        <w:t xml:space="preserve">Botón «Crear Nuevo APU» en la parte superior derecha.</w:t>
      </w:r>
    </w:p>
    <w:p>
      <w:pPr>
        <w:pStyle w:val="ListParagraph"/>
        <w:numPr>
          <w:ilvl w:val="0"/>
          <w:numId w:val="2"/>
        </w:numPr>
        <w:spacing w:after="90" w:line="276"/>
        <w:jc w:val="both"/>
      </w:pPr>
      <w:r>
        <w:rPr>
          <w:sz w:val="20"/>
          <w:szCs w:val="20"/>
        </w:rPr>
        <w:t xml:space="preserve">Botón Volver.</w:t>
      </w:r>
    </w:p>
    <w:p>
      <w:pPr>
        <w:pStyle w:val="Heading2"/>
        <w:spacing w:after="120" w:before="300"/>
      </w:pPr>
      <w:r>
        <w:rPr>
          <w:b/>
          <w:bCs/>
          <w:color w:val="1F2933"/>
          <w:sz w:val="23"/>
          <w:szCs w:val="23"/>
        </w:rPr>
        <w:t xml:space="preserve">6.2 Crear un APU</w:t>
      </w:r>
    </w:p>
    <w:p>
      <w:pPr>
        <w:spacing w:after="120" w:before="0" w:line="276"/>
        <w:jc w:val="both"/>
      </w:pPr>
      <w:r>
        <w:rPr>
          <w:sz w:val="20"/>
          <w:szCs w:val="20"/>
        </w:rPr>
        <w:t xml:space="preserve">El pop-out pide obligatoriamente el nombre de la actividad y su unidad de medida. Debajo, el usuario arma la composición:</w:t>
      </w:r>
    </w:p>
    <w:p>
      <w:pPr>
        <w:spacing w:after="120" w:before="0" w:line="276"/>
        <w:jc w:val="both"/>
      </w:pPr>
      <w:r>
        <w:rPr>
          <w:sz w:val="20"/>
          <w:szCs w:val="20"/>
        </w:rPr>
        <w:t>El nombre de la actividad no se repite en la empresa, con la misma regla que los recursos: sin distinguir mayúsculas ni espacios de los bordes (decisión del dueño, 8 de octubre de 2026).</w:t>
      </w:r>
    </w:p>
    <w:p>
      <w:pPr>
        <w:spacing w:after="120" w:before="0" w:line="276"/>
        <w:jc w:val="both"/>
      </w:pPr>
      <w:r>
        <w:rPr>
          <w:sz w:val="20"/>
          <w:szCs w:val="20"/>
        </w:rPr>
        <w:t xml:space="preserve">Con el módulo de programación (documento 07, RF-APU-25) la versión del APU gana un campo opcional más: el rendimiento de la actividad, en unidades por jornal, del que sale la duración en el cronograma.</w:t>
      </w:r>
    </w:p>
    <w:p>
      <w:pPr>
        <w:pStyle w:val="ListParagraph"/>
        <w:numPr>
          <w:ilvl w:val="0"/>
          <w:numId w:val="2"/>
        </w:numPr>
        <w:spacing w:after="90" w:line="276"/>
        <w:jc w:val="both"/>
      </w:pPr>
      <w:r>
        <w:rPr>
          <w:sz w:val="20"/>
          <w:szCs w:val="20"/>
        </w:rPr>
        <w:t xml:space="preserve">Busca y vincula recursos por nombre o por código.</w:t>
      </w:r>
    </w:p>
    <w:p>
      <w:pPr>
        <w:pStyle w:val="ListParagraph"/>
        <w:numPr>
          <w:ilvl w:val="0"/>
          <w:numId w:val="2"/>
        </w:numPr>
        <w:spacing w:after="90" w:line="276"/>
        <w:jc w:val="both"/>
      </w:pPr>
      <w:r>
        <w:rPr>
          <w:sz w:val="20"/>
          <w:szCs w:val="20"/>
        </w:rPr>
        <w:t xml:space="preserve">Si el recurso no existe, un acceso directo abre el pop-out de creación de recursos. Al guardarlo, el recurso queda indexado y se asigna de inmediato al APU, sin perder lo que ya se había digitado.</w:t>
      </w:r>
    </w:p>
    <w:p>
      <w:pPr>
        <w:pStyle w:val="ListParagraph"/>
        <w:numPr>
          <w:ilvl w:val="0"/>
          <w:numId w:val="2"/>
        </w:numPr>
        <w:spacing w:after="90" w:line="276"/>
        <w:jc w:val="both"/>
      </w:pPr>
      <w:r>
        <w:rPr>
          <w:sz w:val="20"/>
          <w:szCs w:val="20"/>
        </w:rPr>
        <w:t xml:space="preserve">Por cada recurso vinculado digita la cantidad, el rendimiento y, si es material, el porcentaje de desperdicio.</w:t>
      </w:r>
    </w:p>
    <w:p>
      <w:pPr>
        <w:spacing w:after="120" w:before="0" w:line="276"/>
        <w:jc w:val="both"/>
      </w:pPr>
      <w:r>
        <w:rPr>
          <w:sz w:val="20"/>
          <w:szCs w:val="20"/>
        </w:rPr>
        <w:t xml:space="preserve">El costo directo del APU se recalcula en tiempo real como la suma de los subtotales de sus líneas. Al presionar «Crear», el servidor asigna el código único y actualiza la vista maestra.</w:t>
      </w:r>
    </w:p>
    <w:p>
      <w:pPr>
        <w:pStyle w:val="Heading3"/>
        <w:spacing w:after="100" w:before="220"/>
      </w:pPr>
      <w:r>
        <w:rPr>
          <w:b/>
          <w:bCs/>
          <w:color w:val="5A6874"/>
          <w:sz w:val="20"/>
          <w:szCs w:val="20"/>
        </w:rPr>
        <w:t xml:space="preserve">Las tres columnas de cada línea</w:t>
      </w:r>
    </w:p>
    <w:p>
      <w:pPr>
        <w:spacing w:after="120" w:before="0" w:line="276"/>
        <w:jc w:val="both"/>
      </w:pPr>
      <w:r>
        <w:rPr>
          <w:sz w:val="20"/>
          <w:szCs w:val="20"/>
        </w:rPr>
        <w:t xml:space="preserve">Esta es la parte del módulo donde más se equivoca el usuario, y la interfaz tiene que ayudarlo activamente. Los tres campos significan cosas distintas: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700"/>
        <w:gridCol w:w="5320"/>
        <w:gridCol w:w="2000"/>
      </w:tblGrid>
      <w:tr>
        <w:trPr>
          <w:cantSplit/>
          <w:tblHeader/>
        </w:trPr>
        <w:tc>
          <w:tcPr>
            <w:tcW w:type="dxa" w:w="1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Campo</w:t>
            </w:r>
          </w:p>
        </w:tc>
        <w:tc>
          <w:tcPr>
            <w:tcW w:type="dxa" w:w="53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es</w:t>
            </w:r>
          </w:p>
        </w:tc>
        <w:tc>
          <w:tcPr>
            <w:tcW w:type="dxa" w:w="2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Ejemplo</w:t>
            </w:r>
          </w:p>
        </w:tc>
      </w:tr>
      <w:tr>
        <w:trPr>
          <w:cantSplit/>
        </w:trPr>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Cantidad</w:t>
            </w:r>
          </w:p>
        </w:tc>
        <w:tc>
          <w:tcPr>
            <w:tcW w:type="dxa" w:w="5320"/>
            <w:shd w:fill="auto" w:color="auto" w:val="clear"/>
            <w:tcMar>
              <w:top w:type="dxa" w:w="70"/>
              <w:left w:type="dxa" w:w="110"/>
              <w:bottom w:type="dxa" w:w="70"/>
              <w:right w:type="dxa" w:w="110"/>
            </w:tcMar>
          </w:tcPr>
          <w:p>
            <w:pPr>
              <w:spacing w:after="40" w:before="40" w:line="240"/>
              <w:jc w:val="left"/>
            </w:pPr>
            <w:r>
              <w:rPr>
                <w:sz w:val="18"/>
                <w:szCs w:val="18"/>
              </w:rPr>
              <w:t xml:space="preserve">Cuántas unidades del recurso intervienen a la vez en la actividad. Viene precargado en 1, que es el caso normal en materiales.</w:t>
            </w:r>
          </w:p>
        </w:tc>
        <w:tc>
          <w:tcPr>
            <w:tcW w:type="dxa" w:w="2000"/>
            <w:shd w:fill="auto" w:color="auto" w:val="clear"/>
            <w:tcMar>
              <w:top w:type="dxa" w:w="70"/>
              <w:left w:type="dxa" w:w="110"/>
              <w:bottom w:type="dxa" w:w="70"/>
              <w:right w:type="dxa" w:w="110"/>
            </w:tcMar>
          </w:tcPr>
          <w:p>
            <w:pPr>
              <w:spacing w:after="40" w:before="40" w:line="240"/>
              <w:jc w:val="left"/>
            </w:pPr>
            <w:r>
              <w:rPr>
                <w:sz w:val="18"/>
                <w:szCs w:val="18"/>
              </w:rPr>
              <w:t xml:space="preserve">2 oficiales, 1 mezcladora</w:t>
            </w:r>
          </w:p>
        </w:tc>
      </w:tr>
      <w:tr>
        <w:trPr>
          <w:cantSplit/>
        </w:trPr>
        <w:tc>
          <w:tcPr>
            <w:tcW w:type="dxa" w:w="1700"/>
            <w:shd w:fill="F7F9FA" w:color="auto" w:val="clear"/>
            <w:tcMar>
              <w:top w:type="dxa" w:w="70"/>
              <w:left w:type="dxa" w:w="110"/>
              <w:bottom w:type="dxa" w:w="70"/>
              <w:right w:type="dxa" w:w="110"/>
            </w:tcMar>
          </w:tcPr>
          <w:p>
            <w:pPr>
              <w:spacing w:after="40" w:before="40" w:line="240"/>
              <w:jc w:val="left"/>
            </w:pPr>
            <w:r>
              <w:rPr>
                <w:sz w:val="18"/>
                <w:szCs w:val="18"/>
              </w:rPr>
              <w:t xml:space="preserve">Rendimiento</w:t>
            </w:r>
          </w:p>
        </w:tc>
        <w:tc>
          <w:tcPr>
            <w:tcW w:type="dxa" w:w="5320"/>
            <w:shd w:fill="F7F9FA" w:color="auto" w:val="clear"/>
            <w:tcMar>
              <w:top w:type="dxa" w:w="70"/>
              <w:left w:type="dxa" w:w="110"/>
              <w:bottom w:type="dxa" w:w="70"/>
              <w:right w:type="dxa" w:w="110"/>
            </w:tcMar>
          </w:tcPr>
          <w:p>
            <w:pPr>
              <w:spacing w:after="40" w:before="40" w:line="240"/>
              <w:jc w:val="left"/>
            </w:pPr>
            <w:r>
              <w:rPr>
                <w:sz w:val="18"/>
                <w:szCs w:val="18"/>
              </w:rPr>
              <w:t xml:space="preserve">Cuánto consume UNA unidad de ese recurso por cada unidad de obra. Viene precargado en 1.</w:t>
            </w:r>
          </w:p>
        </w:tc>
        <w:tc>
          <w:tcPr>
            <w:tcW w:type="dxa" w:w="2000"/>
            <w:shd w:fill="F7F9FA" w:color="auto" w:val="clear"/>
            <w:tcMar>
              <w:top w:type="dxa" w:w="70"/>
              <w:left w:type="dxa" w:w="110"/>
              <w:bottom w:type="dxa" w:w="70"/>
              <w:right w:type="dxa" w:w="110"/>
            </w:tcMar>
          </w:tcPr>
          <w:p>
            <w:pPr>
              <w:spacing w:after="40" w:before="40" w:line="240"/>
              <w:jc w:val="left"/>
            </w:pPr>
            <w:r>
              <w:rPr>
                <w:sz w:val="18"/>
                <w:szCs w:val="18"/>
              </w:rPr>
              <w:t xml:space="preserve">0,05 jornal por m³; 7 bultos por m³</w:t>
            </w:r>
          </w:p>
        </w:tc>
      </w:tr>
      <w:tr>
        <w:trPr>
          <w:cantSplit/>
        </w:trPr>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Desperdicio %</w:t>
            </w:r>
          </w:p>
        </w:tc>
        <w:tc>
          <w:tcPr>
            <w:tcW w:type="dxa" w:w="5320"/>
            <w:shd w:fill="auto" w:color="auto" w:val="clear"/>
            <w:tcMar>
              <w:top w:type="dxa" w:w="70"/>
              <w:left w:type="dxa" w:w="110"/>
              <w:bottom w:type="dxa" w:w="70"/>
              <w:right w:type="dxa" w:w="110"/>
            </w:tcMar>
          </w:tcPr>
          <w:p>
            <w:pPr>
              <w:spacing w:after="40" w:before="40" w:line="240"/>
              <w:jc w:val="left"/>
            </w:pPr>
            <w:r>
              <w:rPr>
                <w:sz w:val="18"/>
                <w:szCs w:val="18"/>
              </w:rPr>
              <w:t xml:space="preserve">Porcentaje adicional de material sobre la cantidad teórica. Solo se habilita si el recurso es de tipo Material; en los demás el campo no aparece.</w:t>
            </w:r>
          </w:p>
        </w:tc>
        <w:tc>
          <w:tcPr>
            <w:tcW w:type="dxa" w:w="2000"/>
            <w:shd w:fill="auto" w:color="auto" w:val="clear"/>
            <w:tcMar>
              <w:top w:type="dxa" w:w="70"/>
              <w:left w:type="dxa" w:w="110"/>
              <w:bottom w:type="dxa" w:w="70"/>
              <w:right w:type="dxa" w:w="110"/>
            </w:tcMar>
          </w:tcPr>
          <w:p>
            <w:pPr>
              <w:spacing w:after="40" w:before="40" w:line="240"/>
              <w:jc w:val="left"/>
            </w:pPr>
            <w:r>
              <w:rPr>
                <w:sz w:val="18"/>
                <w:szCs w:val="18"/>
              </w:rPr>
              <w:t xml:space="preserve">5% de desperdicio en concreto</w:t>
            </w:r>
          </w:p>
        </w:tc>
      </w:tr>
    </w:tbl>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Riesgo que la interfaz tiene que cubrir</w:t>
            </w:r>
          </w:p>
          <w:p>
            <w:pPr>
              <w:spacing w:after="110" w:line="276"/>
              <w:jc w:val="both"/>
            </w:pPr>
            <w:r>
              <w:rPr>
                <w:sz w:val="19"/>
                <w:szCs w:val="19"/>
              </w:rPr>
              <w:t xml:space="preserve">Si el usuario entiende que Cantidad y Rendimiento miden lo mismo, va a multiplicar dos veces el consumo y el APU saldrá inflado sin que nada falle ni avise. Las etiquetas y el texto de ayuda del formulario tienen que dejar clara la diferencia, y ambos campos deben venir con el valor 1 por defecto.</w:t>
            </w:r>
          </w:p>
          <w:p>
            <w:pPr>
              <w:spacing w:after="40" w:line="276"/>
              <w:jc w:val="both"/>
            </w:pPr>
            <w:r>
              <w:rPr>
                <w:sz w:val="19"/>
                <w:szCs w:val="19"/>
              </w:rPr>
              <w:t xml:space="preserve">Ninguno de los dos admite cero.</w:t>
            </w:r>
          </w:p>
        </w:tc>
      </w:tr>
    </w:tbl>
    <w:p>
      <w:pPr>
        <w:pStyle w:val="Heading3"/>
        <w:spacing w:after="100" w:before="220"/>
      </w:pPr>
      <w:r>
        <w:rPr>
          <w:b/>
          <w:bCs/>
          <w:color w:val="5A6874"/>
          <w:sz w:val="20"/>
          <w:szCs w:val="20"/>
        </w:rPr>
        <w:t xml:space="preserve">Fórmula del subtotal</w:t>
      </w:r>
    </w:p>
    <w:p>
      <w:pPr>
        <w:spacing w:after="120" w:before="0" w:line="276"/>
        <w:jc w:val="both"/>
      </w:pPr>
      <w:r>
        <w:rPr>
          <w:sz w:val="20"/>
          <w:szCs w:val="20"/>
        </w:rPr>
        <w:t xml:space="preserve">Subtotal de la línea = Cantidad × Rendimiento × (1 + Desperdicio% / 100) × Precio unitario del recurso.</w:t>
      </w:r>
    </w:p>
    <w:p>
      <w:pPr>
        <w:spacing w:after="120" w:before="0" w:line="276"/>
        <w:jc w:val="both"/>
      </w:pPr>
      <w:r>
        <w:rPr>
          <w:sz w:val="20"/>
          <w:szCs w:val="20"/>
        </w:rPr>
        <w:t xml:space="preserve">El precio que entra en la fórmula es el precio total del recurso, con IVA incluido.</w:t>
      </w:r>
    </w:p>
    <w:p>
      <w:pPr>
        <w:spacing w:after="120" w:before="0" w:line="276"/>
        <w:jc w:val="both"/>
      </w:pPr>
      <w:r>
        <w:rPr>
          <w:sz w:val="20"/>
          <w:szCs w:val="20"/>
        </w:rPr>
        <w:t xml:space="preserve">Ejemplo de un APU de concreto vaciado in situ, medido en m³:</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600"/>
        <w:gridCol w:w="1500"/>
        <w:gridCol w:w="1100"/>
        <w:gridCol w:w="1600"/>
        <w:gridCol w:w="900"/>
        <w:gridCol w:w="1320"/>
      </w:tblGrid>
      <w:tr>
        <w:trPr>
          <w:cantSplit/>
          <w:tblHeader/>
        </w:trPr>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Recurso</w:t>
            </w:r>
          </w:p>
        </w:tc>
        <w:tc>
          <w:tcPr>
            <w:tcW w:type="dxa" w:w="15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Precio total</w:t>
            </w:r>
          </w:p>
        </w:tc>
        <w:tc>
          <w:tcPr>
            <w:tcW w:type="dxa" w:w="11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Cantidad</w:t>
            </w:r>
          </w:p>
        </w:tc>
        <w:tc>
          <w:tcPr>
            <w:tcW w:type="dxa" w:w="1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Rendimiento</w:t>
            </w:r>
          </w:p>
        </w:tc>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Desp.</w:t>
            </w:r>
          </w:p>
        </w:tc>
        <w:tc>
          <w:tcPr>
            <w:tcW w:type="dxa" w:w="13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Subtotal</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Concreto 3000 psi (material)</w:t>
            </w:r>
          </w:p>
        </w:tc>
        <w:tc>
          <w:tcPr>
            <w:tcW w:type="dxa" w:w="1500"/>
            <w:shd w:fill="auto" w:color="auto" w:val="clear"/>
            <w:tcMar>
              <w:top w:type="dxa" w:w="70"/>
              <w:left w:type="dxa" w:w="110"/>
              <w:bottom w:type="dxa" w:w="70"/>
              <w:right w:type="dxa" w:w="110"/>
            </w:tcMar>
          </w:tcPr>
          <w:p>
            <w:pPr>
              <w:spacing w:after="40" w:before="40" w:line="240"/>
              <w:jc w:val="left"/>
            </w:pPr>
            <w:r>
              <w:rPr>
                <w:sz w:val="18"/>
                <w:szCs w:val="18"/>
              </w:rPr>
              <w:t xml:space="preserve">595.000 /m³</w:t>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1600"/>
            <w:shd w:fill="auto" w:color="auto" w:val="clear"/>
            <w:tcMar>
              <w:top w:type="dxa" w:w="70"/>
              <w:left w:type="dxa" w:w="110"/>
              <w:bottom w:type="dxa" w:w="70"/>
              <w:right w:type="dxa" w:w="110"/>
            </w:tcMar>
          </w:tcPr>
          <w:p>
            <w:pPr>
              <w:spacing w:after="40" w:before="40" w:line="240"/>
              <w:jc w:val="left"/>
            </w:pPr>
            <w:r>
              <w:rPr>
                <w:sz w:val="18"/>
                <w:szCs w:val="18"/>
              </w:rPr>
              <w:t xml:space="preserve">1,00 m³/m³</w:t>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5%</w:t>
            </w:r>
          </w:p>
        </w:tc>
        <w:tc>
          <w:tcPr>
            <w:tcW w:type="dxa" w:w="1320"/>
            <w:shd w:fill="auto" w:color="auto" w:val="clear"/>
            <w:tcMar>
              <w:top w:type="dxa" w:w="70"/>
              <w:left w:type="dxa" w:w="110"/>
              <w:bottom w:type="dxa" w:w="70"/>
              <w:right w:type="dxa" w:w="110"/>
            </w:tcMar>
          </w:tcPr>
          <w:p>
            <w:pPr>
              <w:spacing w:after="40" w:before="40" w:line="240"/>
              <w:jc w:val="left"/>
            </w:pPr>
            <w:r>
              <w:rPr>
                <w:sz w:val="18"/>
                <w:szCs w:val="18"/>
              </w:rPr>
              <w:t xml:space="preserve">624.750</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Oficial de obra (personal)</w:t>
            </w:r>
          </w:p>
        </w:tc>
        <w:tc>
          <w:tcPr>
            <w:tcW w:type="dxa" w:w="1500"/>
            <w:shd w:fill="F7F9FA" w:color="auto" w:val="clear"/>
            <w:tcMar>
              <w:top w:type="dxa" w:w="70"/>
              <w:left w:type="dxa" w:w="110"/>
              <w:bottom w:type="dxa" w:w="70"/>
              <w:right w:type="dxa" w:w="110"/>
            </w:tcMar>
          </w:tcPr>
          <w:p>
            <w:pPr>
              <w:spacing w:after="40" w:before="40" w:line="240"/>
              <w:jc w:val="left"/>
            </w:pPr>
            <w:r>
              <w:rPr>
                <w:sz w:val="18"/>
                <w:szCs w:val="18"/>
              </w:rPr>
              <w:t xml:space="preserve">120.000 /jornal</w:t>
            </w:r>
          </w:p>
        </w:tc>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1600"/>
            <w:shd w:fill="F7F9FA" w:color="auto" w:val="clear"/>
            <w:tcMar>
              <w:top w:type="dxa" w:w="70"/>
              <w:left w:type="dxa" w:w="110"/>
              <w:bottom w:type="dxa" w:w="70"/>
              <w:right w:type="dxa" w:w="110"/>
            </w:tcMar>
          </w:tcPr>
          <w:p>
            <w:pPr>
              <w:spacing w:after="40" w:before="40" w:line="240"/>
              <w:jc w:val="left"/>
            </w:pPr>
            <w:r>
              <w:rPr>
                <w:sz w:val="18"/>
                <w:szCs w:val="18"/>
              </w:rPr>
              <w:t xml:space="preserve">0,05 jornal/m³</w:t>
            </w:r>
          </w:p>
        </w:tc>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w:t>
            </w:r>
          </w:p>
        </w:tc>
        <w:tc>
          <w:tcPr>
            <w:tcW w:type="dxa" w:w="1320"/>
            <w:shd w:fill="F7F9FA" w:color="auto" w:val="clear"/>
            <w:tcMar>
              <w:top w:type="dxa" w:w="70"/>
              <w:left w:type="dxa" w:w="110"/>
              <w:bottom w:type="dxa" w:w="70"/>
              <w:right w:type="dxa" w:w="110"/>
            </w:tcMar>
          </w:tcPr>
          <w:p>
            <w:pPr>
              <w:spacing w:after="40" w:before="40" w:line="240"/>
              <w:jc w:val="left"/>
            </w:pPr>
            <w:r>
              <w:rPr>
                <w:sz w:val="18"/>
                <w:szCs w:val="18"/>
              </w:rPr>
              <w:t xml:space="preserve">12.000</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Costo directo del APU</w:t>
            </w:r>
          </w:p>
        </w:tc>
        <w:tc>
          <w:tcPr>
            <w:tcW w:type="dxa" w:w="15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6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1320"/>
            <w:shd w:fill="auto" w:color="auto" w:val="clear"/>
            <w:tcMar>
              <w:top w:type="dxa" w:w="70"/>
              <w:left w:type="dxa" w:w="110"/>
              <w:bottom w:type="dxa" w:w="70"/>
              <w:right w:type="dxa" w:w="110"/>
            </w:tcMar>
          </w:tcPr>
          <w:p>
            <w:pPr>
              <w:spacing w:after="40" w:before="40" w:line="240"/>
              <w:jc w:val="left"/>
            </w:pPr>
            <w:r>
              <w:rPr>
                <w:sz w:val="18"/>
                <w:szCs w:val="18"/>
              </w:rPr>
              <w:t xml:space="preserve">636.750 /m³</w:t>
            </w:r>
          </w:p>
        </w:tc>
      </w:tr>
    </w:tbl>
    <w:p>
      <w:pPr>
        <w:pStyle w:val="Heading3"/>
        <w:spacing w:after="120"/>
      </w:pPr>
      <w:r>
        <w:rPr/>
        <w:t>Límites de precisión</w:t>
      </w:r>
    </w:p>
    <w:p>
      <w:pPr>
        <w:spacing w:after="120"/>
      </w:pPr>
      <w:r>
        <w:t>Cantidad y rendimiento admiten seis decimales, y su valor mínimo distinto de cero es 0,000001. El formulario rechaza un valor menor nombrando ese mínimo, en vez de dejar que el servidor lo redondee a cero y devuelva un error que dice que el usuario escribió un cero que no escribió.</w:t>
      </w:r>
    </w:p>
    <w:p>
      <w:pPr>
        <w:pStyle w:val="Heading2"/>
        <w:spacing w:after="120" w:before="300"/>
      </w:pPr>
      <w:r>
        <w:rPr>
          <w:b/>
          <w:bCs/>
          <w:color w:val="1F2933"/>
          <w:sz w:val="23"/>
          <w:szCs w:val="23"/>
        </w:rPr>
        <w:t xml:space="preserve">6.3 Consultar y editar un APU</w:t>
      </w:r>
    </w:p>
    <w:p>
      <w:pPr>
        <w:spacing w:after="120" w:before="0" w:line="276"/>
        <w:jc w:val="both"/>
      </w:pPr>
      <w:r>
        <w:rPr>
          <w:sz w:val="20"/>
          <w:szCs w:val="20"/>
        </w:rPr>
        <w:t xml:space="preserve">Al hacer clic sobre un APU de la lista no se cambia de pantalla: se abre un pop-out de consulta con el encabezado estático (nombre y unidad) y la tabla de recursos vinculados con sus cantidades.</w:t>
      </w:r>
    </w:p>
    <w:p>
      <w:pPr>
        <w:spacing w:after="120" w:before="0" w:line="276"/>
        <w:jc w:val="both"/>
      </w:pPr>
      <w:r>
        <w:rPr>
          <w:sz w:val="20"/>
          <w:szCs w:val="20"/>
        </w:rPr>
        <w:t xml:space="preserve">Dentro de ese mismo pop-out hay un botón «Editar» que transforma la ventana de solo lectura a modo edición, donde se puede:</w:t>
      </w:r>
    </w:p>
    <w:p>
      <w:pPr>
        <w:pStyle w:val="ListParagraph"/>
        <w:numPr>
          <w:ilvl w:val="0"/>
          <w:numId w:val="2"/>
        </w:numPr>
        <w:spacing w:after="90" w:line="276"/>
        <w:jc w:val="both"/>
      </w:pPr>
      <w:r>
        <w:rPr>
          <w:sz w:val="20"/>
          <w:szCs w:val="20"/>
        </w:rPr>
        <w:t xml:space="preserve">Modificar el nombre de la actividad o su unidad de medida.</w:t>
      </w:r>
    </w:p>
    <w:p>
      <w:pPr>
        <w:pStyle w:val="ListParagraph"/>
        <w:numPr>
          <w:ilvl w:val="0"/>
          <w:numId w:val="2"/>
        </w:numPr>
        <w:spacing w:after="90" w:line="276"/>
        <w:jc w:val="both"/>
      </w:pPr>
      <w:r>
        <w:rPr>
          <w:sz w:val="20"/>
          <w:szCs w:val="20"/>
        </w:rPr>
        <w:t xml:space="preserve">Añadir recursos nuevos, buscándolos por nombre o código, con el acceso rápido para crearlos al vuelo.</w:t>
      </w:r>
    </w:p>
    <w:p>
      <w:pPr>
        <w:pStyle w:val="ListParagraph"/>
        <w:numPr>
          <w:ilvl w:val="0"/>
          <w:numId w:val="2"/>
        </w:numPr>
        <w:spacing w:after="90" w:line="276"/>
        <w:jc w:val="both"/>
      </w:pPr>
      <w:r>
        <w:rPr>
          <w:sz w:val="20"/>
          <w:szCs w:val="20"/>
        </w:rPr>
        <w:t xml:space="preserve">Modificar cantidades, rendimientos y desperdicios de los recursos ya vinculados, o eliminarlos de la lista.</w:t>
      </w:r>
    </w:p>
    <w:p>
      <w:pPr>
        <w:spacing w:after="120" w:before="0" w:line="276"/>
        <w:jc w:val="both"/>
      </w:pPr>
      <w:r>
        <w:rPr>
          <w:sz w:val="20"/>
          <w:szCs w:val="20"/>
        </w:rPr>
        <w:t xml:space="preserve">El valor unitario total se recalcula en tiempo real. Al guardar, el código único original del APU se conserva siempre.</w:t>
      </w:r>
    </w:p>
    <w:p>
      <w:pPr>
        <w:pStyle w:val="Heading2"/>
        <w:spacing w:after="120" w:before="300"/>
      </w:pPr>
      <w:r>
        <w:rPr>
          <w:b/>
          <w:bCs/>
          <w:color w:val="1F2933"/>
          <w:sz w:val="23"/>
          <w:szCs w:val="23"/>
        </w:rPr>
        <w:t xml:space="preserve">6.4 Control de cambios sobre APU en uso</w:t>
      </w:r>
    </w:p>
    <w:p>
      <w:pPr>
        <w:spacing w:after="120" w:before="0" w:line="276"/>
        <w:jc w:val="both"/>
      </w:pPr>
      <w:r>
        <w:rPr>
          <w:sz w:val="20"/>
          <w:szCs w:val="20"/>
        </w:rPr>
        <w:t xml:space="preserve">Al guardar la edición, el sistema verifica en qué presupuestos está vinculado el APU y actúa según el estado de cada uno: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Estado del presupuesto</w:t>
            </w:r>
          </w:p>
        </w:tc>
        <w:tc>
          <w:tcPr>
            <w:tcW w:type="dxa" w:w="6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Cerrado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No se ve afectado bajo ninguna circunstancia. Conserva intactos sus valores históricos de contratación.</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Activo</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Tampoco se ve afectado. La línea base está congelada. Si hay que corregirlo, el Administrador debe reabrir el proyecto.</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Abierto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El sistema suspende el guardado y pregunta al usuario qué desea hacer.</w:t>
            </w:r>
          </w:p>
        </w:tc>
      </w:tr>
    </w:tbl>
    <w:p>
      <w:pPr>
        <w:spacing w:after="120" w:before="0" w:line="276"/>
        <w:jc w:val="both"/>
      </w:pPr>
      <w:r>
        <w:rPr>
          <w:sz w:val="20"/>
          <w:szCs w:val="20"/>
        </w:rPr>
        <w:t xml:space="preserve">Cuando hay presupuestos abiertos con ese APU, el mensaje es: «Este APU está en uso en presupuestos abiertos. ¿Desea actualizar su valor en dichos presupuestos?»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400"/>
        <w:gridCol w:w="7620"/>
      </w:tblGrid>
      <w:tr>
        <w:trPr>
          <w:cantSplit/>
          <w:tblHeader/>
        </w:trPr>
        <w:tc>
          <w:tcPr>
            <w:tcW w:type="dxa" w:w="1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Respuesta</w:t>
            </w:r>
          </w:p>
        </w:tc>
        <w:tc>
          <w:tcPr>
            <w:tcW w:type="dxa" w:w="7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ocurre</w:t>
            </w:r>
          </w:p>
        </w:tc>
      </w:tr>
      <w:tr>
        <w:trPr>
          <w:cantSplit/>
        </w:trPr>
        <w:tc>
          <w:tcPr>
            <w:tcW w:type="dxa" w:w="1400"/>
            <w:shd w:fill="auto" w:color="auto" w:val="clear"/>
            <w:tcMar>
              <w:top w:type="dxa" w:w="70"/>
              <w:left w:type="dxa" w:w="110"/>
              <w:bottom w:type="dxa" w:w="70"/>
              <w:right w:type="dxa" w:w="110"/>
            </w:tcMar>
          </w:tcPr>
          <w:p>
            <w:pPr>
              <w:spacing w:after="40" w:before="40" w:line="240"/>
              <w:jc w:val="left"/>
            </w:pPr>
            <w:r>
              <w:rPr>
                <w:sz w:val="18"/>
                <w:szCs w:val="18"/>
              </w:rPr>
              <w:t xml:space="preserve">Sí</w:t>
            </w:r>
          </w:p>
        </w:tc>
        <w:tc>
          <w:tcPr>
            <w:tcW w:type="dxa" w:w="7620"/>
            <w:shd w:fill="auto" w:color="auto" w:val="clear"/>
            <w:tcMar>
              <w:top w:type="dxa" w:w="70"/>
              <w:left w:type="dxa" w:w="110"/>
              <w:bottom w:type="dxa" w:w="70"/>
              <w:right w:type="dxa" w:w="110"/>
            </w:tcMar>
          </w:tcPr>
          <w:p>
            <w:pPr>
              <w:spacing w:after="40" w:before="40" w:line="240"/>
              <w:jc w:val="left"/>
            </w:pPr>
            <w:r>
              <w:rPr>
                <w:sz w:val="18"/>
                <w:szCs w:val="18"/>
              </w:rPr>
              <w:t>Los ítems de los presupuestos seleccionados pasan a la versión nueva, se actualiza su precio unitario y su costo total, y se recalculan los totales de esos presupuestos en tiempo real.</w:t>
            </w:r>
          </w:p>
        </w:tc>
      </w:tr>
      <w:tr>
        <w:trPr>
          <w:cantSplit/>
        </w:trPr>
        <w:tc>
          <w:tcPr>
            <w:tcW w:type="dxa" w:w="1400"/>
            <w:shd w:fill="F7F9FA" w:color="auto" w:val="clear"/>
            <w:tcMar>
              <w:top w:type="dxa" w:w="70"/>
              <w:left w:type="dxa" w:w="110"/>
              <w:bottom w:type="dxa" w:w="70"/>
              <w:right w:type="dxa" w:w="110"/>
            </w:tcMar>
          </w:tcPr>
          <w:p>
            <w:pPr>
              <w:spacing w:after="40" w:before="40" w:line="240"/>
              <w:jc w:val="left"/>
            </w:pPr>
            <w:r>
              <w:rPr>
                <w:sz w:val="18"/>
                <w:szCs w:val="18"/>
              </w:rPr>
              <w:t xml:space="preserve">No</w:t>
            </w:r>
          </w:p>
        </w:tc>
        <w:tc>
          <w:tcPr>
            <w:tcW w:type="dxa" w:w="7620"/>
            <w:shd w:fill="F7F9FA" w:color="auto" w:val="clear"/>
            <w:tcMar>
              <w:top w:type="dxa" w:w="70"/>
              <w:left w:type="dxa" w:w="110"/>
              <w:bottom w:type="dxa" w:w="70"/>
              <w:right w:type="dxa" w:w="110"/>
            </w:tcMar>
          </w:tcPr>
          <w:p>
            <w:pPr>
              <w:spacing w:after="40" w:before="40" w:line="240"/>
              <w:jc w:val="left"/>
            </w:pPr>
            <w:r>
              <w:rPr>
                <w:sz w:val="18"/>
                <w:szCs w:val="18"/>
              </w:rPr>
              <w:t>Los presupuestos abiertos quedan exactamente como estaban. La versión nueva del APU se crea igual —siempre se crea, con cualquiera de las dos respuestas— y queda como vigente, así que la usarán los proyectos futuros. Bajo versiones inmutables, «sí» y «no» crean las dos una versión; lo único que decide la respuesta es si se reapuntan los ítems de los presupuestos abiertos (D-22). Si el recurso editado está en cuarenta APU se crean cuarenta versiones, pero el usuario ve un solo diálogo, y el diálogo habla de presupuestos, no de APU: «este recurso se usa en 40 APU, presentes en 7 presupuestos abiertos», con una casilla por cada uno.</w:t>
            </w:r>
          </w:p>
        </w:tc>
      </w:tr>
    </w:tbl>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El código no cambia nunca</w:t>
            </w:r>
          </w:p>
          <w:p>
            <w:pPr>
              <w:spacing w:after="40" w:line="276"/>
              <w:jc w:val="both"/>
            </w:pPr>
            <w:r>
              <w:rPr>
                <w:sz w:val="19"/>
                <w:szCs w:val="19"/>
              </w:rPr>
              <w:t xml:space="preserve">Aunque el sistema guarde una versión nueva, el APU sigue siendo el mismo y conserva su código original. No se crean códigos derivados tipo APU-0014-B ni se marcan APU como obsoletos. Para el usuario existe un solo APU con un solo código; las versiones son un mecanismo interno que él no ve.</w:t>
            </w:r>
          </w:p>
        </w:tc>
      </w:tr>
    </w:tbl>
    <w:p>
      <w:pPr>
        <w:pStyle w:val="Heading2"/>
        <w:spacing w:after="120" w:before="300"/>
      </w:pPr>
      <w:r>
        <w:rPr>
          <w:b/>
          <w:bCs/>
          <w:color w:val="1F2933"/>
          <w:sz w:val="23"/>
          <w:szCs w:val="23"/>
        </w:rPr>
        <w:t xml:space="preserve">6.5 Restricciones</w:t>
      </w:r>
    </w:p>
    <w:p>
      <w:pPr>
        <w:pStyle w:val="ListParagraph"/>
        <w:numPr>
          <w:ilvl w:val="0"/>
          <w:numId w:val="2"/>
        </w:numPr>
        <w:spacing w:after="90" w:line="276"/>
        <w:jc w:val="both"/>
      </w:pPr>
      <w:r>
        <w:rPr>
          <w:sz w:val="20"/>
          <w:szCs w:val="20"/>
        </w:rPr>
        <w:t xml:space="preserve">Los recursos de tipo «Actividad a todo costo» se vinculan como cualquier otro recurso, con su propio precio. Un APU no puede contener a otro APU.</w:t>
      </w:r>
    </w:p>
    <w:p>
      <w:pPr>
        <w:pStyle w:val="ListParagraph"/>
        <w:numPr>
          <w:ilvl w:val="0"/>
          <w:numId w:val="2"/>
        </w:numPr>
        <w:spacing w:after="90" w:line="276"/>
        <w:jc w:val="both"/>
      </w:pPr>
      <w:r>
        <w:rPr>
          <w:sz w:val="20"/>
          <w:szCs w:val="20"/>
        </w:rPr>
        <w:t>Un APU no se puede eliminar si alguna de sus versiones está usada en alguna actividad de algún presupuesto, en cualquier estado. Si no lo está, se elimina con sus versiones y sus líneas. Si lo está, el mensaje dice en cuántas actividades y ofrece la salida real, que es marcarlo como inactivo para que deje de ofrecerse al armar APU nuevos.</w:t>
      </w:r>
    </w:p>
    <w:p>
      <w:pPr>
        <w:spacing w:after="120"/>
      </w:pPr>
      <w:r>
        <w:t>Un APU no se guarda sin líneas. El botón «Crear» del pop-out no acepta una composición vacía: un APU sin al menos una línea de recurso no tiene costo directo y no puede entrar en un presupuesto. El mensaje lo dice antes de enviar, y la base de datos lo rechaza también si la petición se construye a mano (D-21).</w:t>
      </w:r>
    </w:p>
    <w:p>
      <w:pPr>
        <w:pStyle w:val="Heading2"/>
        <w:spacing w:after="120" w:before="300"/>
      </w:pPr>
      <w:r>
        <w:rPr>
          <w:b/>
          <w:bCs/>
          <w:color w:val="1F2933"/>
          <w:sz w:val="23"/>
          <w:szCs w:val="23"/>
        </w:rPr>
        <w:t>6.6 Importar desde Excel</w:t>
      </w:r>
    </w:p>
    <w:p>
      <w:pPr>
        <w:spacing w:after="120" w:before="0" w:line="276"/>
        <w:jc w:val="both"/>
      </w:pPr>
      <w:r>
        <w:rPr>
          <w:sz w:val="20"/>
          <w:szCs w:val="20"/>
        </w:rPr>
        <w:t>Igual que en Recursos (§5.5): plantilla, todo o nada, y el informe por fila. La plantilla de APU tiene una hoja con los APU —nombre y unidad, más una clave que la persona inventa para unir las hojas— y otra con la composición, una fila por línea con el código del recurso, la cantidad, el rendimiento y el desperdicio. Una tercera hoja trae el catálogo de recursos vigente, solo para consultar los códigos. Los recursos tienen que existir antes de importar los APU que los usan.</w:t>
      </w:r>
    </w:p>
    <w:p>
      <w:pPr>
        <w:pStyle w:val="Heading1"/>
        <w:pBdr>
          <w:bottom w:val="single" w:color="13496B" w:sz="10" w:space="6"/>
        </w:pBdr>
        <w:spacing w:after="180" w:before="420"/>
      </w:pPr>
      <w:r>
        <w:rPr>
          <w:b/>
          <w:bCs/>
          <w:color w:val="13496B"/>
          <w:sz w:val="30"/>
          <w:szCs w:val="30"/>
        </w:rPr>
        <w:t>7. Módulo Proyectos — vista maestra</w:t>
      </w:r>
    </w:p>
    <w:p>
      <w:pPr>
        <w:spacing w:after="120" w:before="0" w:line="276"/>
        <w:jc w:val="both"/>
      </w:pPr>
      <w:r>
        <w:rPr>
          <w:sz w:val="20"/>
          <w:szCs w:val="20"/>
        </w:rPr>
        <w:t xml:space="preserve">Al entrar desde el menú principal se muestra la lista completa de proyectos de la empresa.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600"/>
        <w:gridCol w:w="6420"/>
      </w:tblGrid>
      <w:tr>
        <w:trPr>
          <w:cantSplit/>
          <w:tblHeader/>
        </w:trPr>
        <w:tc>
          <w:tcPr>
            <w:tcW w:type="dxa" w:w="2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Columna</w:t>
            </w:r>
          </w:p>
        </w:tc>
        <w:tc>
          <w:tcPr>
            <w:tcW w:type="dxa" w:w="64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Contenido</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Código único</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El que asignó el usuario al crear el proyecto</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Nombre del proyecto</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Ubicación</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Ciudad o región</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Moneda</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La de la empresa; se muestra, no se elige</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Fecha de elaboración</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Automática, no editable</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Última modificación</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 xml:space="preserve">Se actualiza ante cualquier cambio</w:t>
            </w:r>
          </w:p>
        </w:tc>
      </w:tr>
      <w:tr>
        <w:trPr>
          <w:cantSplit/>
        </w:trPr>
        <w:tc>
          <w:tcPr>
            <w:tcW w:type="dxa" w:w="2600"/>
            <w:shd w:fill="auto" w:color="auto" w:val="clear"/>
            <w:tcMar>
              <w:top w:type="dxa" w:w="70"/>
              <w:left w:type="dxa" w:w="110"/>
              <w:bottom w:type="dxa" w:w="70"/>
              <w:right w:type="dxa" w:w="110"/>
            </w:tcMar>
          </w:tcPr>
          <w:p>
            <w:pPr>
              <w:spacing w:after="40" w:before="40" w:line="240"/>
              <w:jc w:val="left"/>
            </w:pPr>
            <w:r>
              <w:rPr>
                <w:sz w:val="18"/>
                <w:szCs w:val="18"/>
              </w:rPr>
              <w:t xml:space="preserve">Estado</w:t>
            </w:r>
          </w:p>
        </w:tc>
        <w:tc>
          <w:tcPr>
            <w:tcW w:type="dxa" w:w="6420"/>
            <w:shd w:fill="auto" w:color="auto" w:val="clear"/>
            <w:tcMar>
              <w:top w:type="dxa" w:w="70"/>
              <w:left w:type="dxa" w:w="110"/>
              <w:bottom w:type="dxa" w:w="70"/>
              <w:right w:type="dxa" w:w="110"/>
            </w:tcMar>
          </w:tcPr>
          <w:p>
            <w:pPr>
              <w:spacing w:after="40" w:before="40" w:line="240"/>
              <w:jc w:val="left"/>
            </w:pPr>
            <w:r>
              <w:rPr>
                <w:sz w:val="18"/>
                <w:szCs w:val="18"/>
              </w:rPr>
              <w:t xml:space="preserve">Insignia visual: Abierto, Activo o Cerrado</w:t>
            </w:r>
          </w:p>
        </w:tc>
      </w:tr>
      <w:tr>
        <w:trPr>
          <w:cantSplit/>
        </w:trPr>
        <w:tc>
          <w:tcPr>
            <w:tcW w:type="dxa" w:w="2600"/>
            <w:shd w:fill="F7F9FA" w:color="auto" w:val="clear"/>
            <w:tcMar>
              <w:top w:type="dxa" w:w="70"/>
              <w:left w:type="dxa" w:w="110"/>
              <w:bottom w:type="dxa" w:w="70"/>
              <w:right w:type="dxa" w:w="110"/>
            </w:tcMar>
          </w:tcPr>
          <w:p>
            <w:pPr>
              <w:spacing w:after="40" w:before="40" w:line="240"/>
              <w:jc w:val="left"/>
            </w:pPr>
            <w:r>
              <w:rPr>
                <w:sz w:val="18"/>
                <w:szCs w:val="18"/>
              </w:rPr>
              <w:t xml:space="preserve">Valor total</w:t>
            </w:r>
          </w:p>
        </w:tc>
        <w:tc>
          <w:tcPr>
            <w:tcW w:type="dxa" w:w="6420"/>
            <w:shd w:fill="F7F9FA" w:color="auto" w:val="clear"/>
            <w:tcMar>
              <w:top w:type="dxa" w:w="70"/>
              <w:left w:type="dxa" w:w="110"/>
              <w:bottom w:type="dxa" w:w="70"/>
              <w:right w:type="dxa" w:w="110"/>
            </w:tcMar>
          </w:tcPr>
          <w:p>
            <w:pPr>
              <w:spacing w:after="40" w:before="40" w:line="240"/>
              <w:jc w:val="left"/>
            </w:pPr>
            <w:r>
              <w:rPr>
                <w:sz w:val="18"/>
                <w:szCs w:val="18"/>
              </w:rPr>
              <w:t>Costo Directo + Costo Indirecto + AIU + IVA</w:t>
            </w:r>
          </w:p>
        </w:tc>
      </w:tr>
    </w:tbl>
    <w:p>
      <w:pPr>
        <w:spacing w:after="120" w:before="0" w:line="276"/>
        <w:jc w:val="both"/>
      </w:pPr>
      <w:r>
        <w:rPr>
          <w:sz w:val="20"/>
          <w:szCs w:val="20"/>
        </w:rPr>
        <w:t>En la parte superior: barra de búsqueda por nombre o código, filtro desplegable por estado, botón «Crear Nuevo Proyecto» a la derecha y botón Volver.</w:t>
      </w:r>
    </w:p>
    <w:p>
      <w:pPr>
        <w:spacing w:after="120" w:before="0" w:line="276"/>
        <w:jc w:val="both"/>
      </w:pPr>
      <w:r>
        <w:rPr>
          <w:sz w:val="20"/>
          <w:szCs w:val="20"/>
        </w:rPr>
        <w:t>Cada proyecto se muestra como una tarjeta con su código, su estado escrito con palabra, nombre, ubicación, valor total, fecha de la última modificación y modo de estructura. La tarjeta entera abre la mesa de trabajo. Un conmutador pasa a la vista de lista, y el navegador recuerda la elección (decisión del dueño, 6 de octubre de 2026).</w:t>
      </w:r>
    </w:p>
    <w:p>
      <w:pPr>
        <w:pStyle w:val="Heading2"/>
        <w:spacing w:after="120" w:before="300"/>
      </w:pPr>
      <w:r>
        <w:rPr>
          <w:b/>
          <w:bCs/>
          <w:color w:val="1F2933"/>
          <w:sz w:val="23"/>
          <w:szCs w:val="23"/>
        </w:rPr>
        <w:t>7.1 Crear un proyecto</w:t>
      </w:r>
    </w:p>
    <w:p>
      <w:pPr>
        <w:spacing w:after="120" w:before="0" w:line="276"/>
        <w:jc w:val="both"/>
      </w:pPr>
      <w:r>
        <w:rPr>
          <w:sz w:val="20"/>
          <w:szCs w:val="20"/>
        </w:rPr>
        <w:t xml:space="preserve">Se abre un pop-out superpuesto, sin redirigir, con botón para abortar sin guardar. Campos: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400"/>
        <w:gridCol w:w="6620"/>
      </w:tblGrid>
      <w:tr>
        <w:trPr>
          <w:cantSplit/>
          <w:tblHeader/>
        </w:trPr>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Campo</w:t>
            </w:r>
          </w:p>
        </w:tc>
        <w:tc>
          <w:tcPr>
            <w:tcW w:type="dxa" w:w="6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Regla</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Código del presupuesto</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Alfanumérico, lo escribe el usuario (ej. PRE-2026-001). El servidor valida de inmediato que no se repita con ningún otro presupuesto de la empresa.</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Nombre del proyecto</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Obligatorio.</w:t>
            </w:r>
          </w:p>
        </w:tc>
      </w:tr>
      <w:tr>
        <w:trPr>
          <w:cantSplit/>
        </w:trPr>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Ubicación</w:t>
            </w:r>
          </w:p>
        </w:tc>
        <w:tc>
          <w:tcPr>
            <w:tcW w:type="dxa" w:w="6620"/>
            <w:shd w:fill="auto" w:color="auto" w:val="clear"/>
            <w:tcMar>
              <w:top w:type="dxa" w:w="70"/>
              <w:left w:type="dxa" w:w="110"/>
              <w:bottom w:type="dxa" w:w="70"/>
              <w:right w:type="dxa" w:w="110"/>
            </w:tcMar>
          </w:tcPr>
          <w:p>
            <w:pPr>
              <w:spacing w:after="40" w:before="40" w:line="240"/>
              <w:jc w:val="left"/>
            </w:pPr>
            <w:r>
              <w:rPr>
                <w:sz w:val="18"/>
                <w:szCs w:val="18"/>
              </w:rPr>
              <w:t xml:space="preserve">Obligatoria.</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Moneda</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 xml:space="preserve">Se hereda de la configuración de la empresa y se muestra como dato fijo. No es un selector.</w:t>
            </w:r>
          </w:p>
        </w:tc>
      </w:tr>
      <w:tr>
        <w:trPr>
          <w:cantSplit/>
        </w:trPr>
        <w:tc>
          <w:tcPr>
            <w:tcW w:type="dxa" w:w="2400"/>
            <w:shd w:fill="F7F9FA" w:color="auto" w:val="clear"/>
            <w:tcMar>
              <w:top w:type="dxa" w:w="70"/>
              <w:left w:type="dxa" w:w="110"/>
              <w:bottom w:type="dxa" w:w="70"/>
              <w:right w:type="dxa" w:w="110"/>
            </w:tcMar>
          </w:tcPr>
          <w:p>
            <w:pPr>
              <w:spacing w:after="40" w:before="40" w:line="240"/>
              <w:jc w:val="left"/>
            </w:pPr>
            <w:r>
              <w:rPr>
                <w:sz w:val="18"/>
                <w:szCs w:val="18"/>
              </w:rPr>
              <w:t>Estructura</w:t>
            </w:r>
          </w:p>
        </w:tc>
        <w:tc>
          <w:tcPr>
            <w:tcW w:type="dxa" w:w="6620"/>
            <w:shd w:fill="F7F9FA" w:color="auto" w:val="clear"/>
            <w:tcMar>
              <w:top w:type="dxa" w:w="70"/>
              <w:left w:type="dxa" w:w="110"/>
              <w:bottom w:type="dxa" w:w="70"/>
              <w:right w:type="dxa" w:w="110"/>
            </w:tcMar>
          </w:tcPr>
          <w:p>
            <w:pPr>
              <w:spacing w:after="40" w:before="40" w:line="240"/>
              <w:jc w:val="left"/>
            </w:pPr>
            <w:r>
              <w:rPr>
                <w:sz w:val="18"/>
                <w:szCs w:val="18"/>
              </w:rPr>
              <w:t>Obligatoria. Por ítems (capítulo → actividad) o por EDT (capítulo → subcapítulo → actividad, con actividades colgando también del capítulo). Se puede cambiar mientras el proyecto esté Abierto; pasar de EDT a ítems se bloquea si ya hay subcapítulos.</w:t>
            </w:r>
          </w:p>
        </w:tc>
      </w:tr>
    </w:tbl>
    <w:p>
      <w:pPr>
        <w:spacing w:after="120" w:before="0" w:line="276"/>
        <w:jc w:val="both"/>
      </w:pPr>
      <w:r>
        <w:rPr>
          <w:sz w:val="20"/>
          <w:szCs w:val="20"/>
        </w:rPr>
        <w:t>Al presionar «Iniciar Proyecto», el sistema registra el proyecto en estado Abierto, le asigna la fecha y hora exactas de elaboración, cierra el pop-out y redirige de inmediato a la mesa de trabajo.</w:t>
      </w:r>
    </w:p>
    <w:p>
      <w:pPr>
        <w:pStyle w:val="Heading1"/>
        <w:pBdr>
          <w:bottom w:val="single" w:color="13496B" w:sz="10" w:space="6"/>
        </w:pBdr>
        <w:spacing w:after="180" w:before="420"/>
      </w:pPr>
      <w:r>
        <w:rPr>
          <w:b/>
          <w:bCs/>
          <w:color w:val="13496B"/>
          <w:sz w:val="30"/>
          <w:szCs w:val="30"/>
        </w:rPr>
        <w:t>8. Módulo Proyectos — mesa de trabajo</w:t>
      </w:r>
    </w:p>
    <w:p>
      <w:pPr>
        <w:spacing w:after="120" w:before="0" w:line="276"/>
        <w:jc w:val="both"/>
      </w:pPr>
      <w:r>
        <w:rPr>
          <w:sz w:val="20"/>
          <w:szCs w:val="20"/>
        </w:rPr>
        <w:t xml:space="preserve">Es la pantalla central del producto. Todo ocurre en un lienzo único, sin recargas de página.</w:t>
      </w:r>
    </w:p>
    <w:p>
      <w:pPr>
        <w:pStyle w:val="Heading2"/>
        <w:spacing w:after="120" w:before="300"/>
      </w:pPr>
      <w:r>
        <w:rPr>
          <w:b/>
          <w:bCs/>
          <w:color w:val="1F2933"/>
          <w:sz w:val="23"/>
          <w:szCs w:val="23"/>
        </w:rPr>
        <w:t xml:space="preserve">8.1 Encabezado</w:t>
      </w:r>
    </w:p>
    <w:p>
      <w:pPr>
        <w:spacing w:after="120" w:before="0" w:line="276"/>
        <w:jc w:val="both"/>
      </w:pPr>
      <w:r>
        <w:rPr>
          <w:sz w:val="20"/>
          <w:szCs w:val="20"/>
        </w:rPr>
        <w:t xml:space="preserve">En la parte superior, de forma estática: código, nombre del proyecto, ubicación, moneda, insignia del estado actual y fecha de última modificación, esta última actualizada en tiempo real.</w:t>
      </w:r>
    </w:p>
    <w:p>
      <w:pPr>
        <w:pStyle w:val="Heading2"/>
        <w:spacing w:after="120" w:before="300"/>
      </w:pPr>
      <w:r>
        <w:rPr>
          <w:b/>
          <w:bCs/>
          <w:color w:val="1F2933"/>
          <w:sz w:val="23"/>
          <w:szCs w:val="23"/>
        </w:rPr>
        <w:t xml:space="preserve">8.2 Construcción de la estructura jerárquica</w:t>
      </w:r>
    </w:p>
    <w:p>
      <w:pPr>
        <w:spacing w:after="120" w:before="0" w:line="276"/>
        <w:jc w:val="both"/>
      </w:pPr>
      <w:r>
        <w:rPr>
          <w:sz w:val="20"/>
          <w:szCs w:val="20"/>
        </w:rPr>
        <w:t xml:space="preserve">En la parte superior del lienzo, un botón «+ Agregar Capítulo» inserta un contenedor principal. Dentro de cada capítulo o subcapítulo hay un botón contextual «(+)» que genera un subnivel inmediatamente inferior, sin cambiar de interfaz. La profundidad no tiene límite.</w:t>
      </w:r>
    </w:p>
    <w:p>
      <w:pPr>
        <w:pStyle w:val="Heading3"/>
        <w:spacing w:after="100" w:before="220"/>
      </w:pPr>
      <w:r>
        <w:rPr>
          <w:b/>
          <w:bCs/>
          <w:color w:val="5A6874"/>
          <w:sz w:val="20"/>
          <w:szCs w:val="20"/>
        </w:rPr>
        <w:t xml:space="preserve">Numeración automática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800"/>
        <w:gridCol w:w="3600"/>
        <w:gridCol w:w="2620"/>
      </w:tblGrid>
      <w:tr>
        <w:trPr>
          <w:cantSplit/>
          <w:tblHeader/>
        </w:trPr>
        <w:tc>
          <w:tcPr>
            <w:tcW w:type="dxa" w:w="28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Nivel</w:t>
            </w:r>
          </w:p>
        </w:tc>
        <w:tc>
          <w:tcPr>
            <w:tcW w:type="dxa" w:w="36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Notación</w:t>
            </w:r>
          </w:p>
        </w:tc>
        <w:tc>
          <w:tcPr>
            <w:tcW w:type="dxa" w:w="2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Ejemplo</w:t>
            </w:r>
          </w:p>
        </w:tc>
      </w:tr>
      <w:tr>
        <w:trPr>
          <w:cantSplit/>
        </w:trPr>
        <w:tc>
          <w:tcPr>
            <w:tcW w:type="dxa" w:w="2800"/>
            <w:shd w:fill="auto" w:color="auto" w:val="clear"/>
            <w:tcMar>
              <w:top w:type="dxa" w:w="70"/>
              <w:left w:type="dxa" w:w="110"/>
              <w:bottom w:type="dxa" w:w="70"/>
              <w:right w:type="dxa" w:w="110"/>
            </w:tcMar>
          </w:tcPr>
          <w:p>
            <w:pPr>
              <w:spacing w:after="40" w:before="40" w:line="240"/>
              <w:jc w:val="left"/>
            </w:pPr>
            <w:r>
              <w:rPr>
                <w:sz w:val="18"/>
                <w:szCs w:val="18"/>
              </w:rPr>
              <w:t xml:space="preserve">Primer nivel (capítulos)</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Entera, sin «.0»; con ceros a la izquierda si el nivel tiene diez o más</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1, 2, 3… (01 … 12 con diez o más)</w:t>
            </w:r>
          </w:p>
        </w:tc>
      </w:tr>
      <w:tr>
        <w:trPr>
          <w:cantSplit/>
        </w:trPr>
        <w:tc>
          <w:tcPr>
            <w:tcW w:type="dxa" w:w="2800"/>
            <w:shd w:fill="F7F9FA" w:color="auto" w:val="clear"/>
            <w:tcMar>
              <w:top w:type="dxa" w:w="70"/>
              <w:left w:type="dxa" w:w="110"/>
              <w:bottom w:type="dxa" w:w="70"/>
              <w:right w:type="dxa" w:w="110"/>
            </w:tcMar>
          </w:tcPr>
          <w:p>
            <w:pPr>
              <w:spacing w:after="40" w:before="40" w:line="240"/>
              <w:jc w:val="left"/>
            </w:pPr>
            <w:r>
              <w:rPr>
                <w:sz w:val="18"/>
                <w:szCs w:val="18"/>
              </w:rPr>
              <w:t xml:space="preserve">Subcapítulos</w:t>
            </w:r>
          </w:p>
        </w:tc>
        <w:tc>
          <w:tcPr>
            <w:tcW w:type="dxa" w:w="3600"/>
            <w:shd w:fill="F7F9FA" w:color="auto" w:val="clear"/>
            <w:tcMar>
              <w:top w:type="dxa" w:w="70"/>
              <w:left w:type="dxa" w:w="110"/>
              <w:bottom w:type="dxa" w:w="70"/>
              <w:right w:type="dxa" w:w="110"/>
            </w:tcMar>
          </w:tcPr>
          <w:p>
            <w:pPr>
              <w:spacing w:after="40" w:before="40" w:line="240"/>
              <w:jc w:val="left"/>
            </w:pPr>
            <w:r>
              <w:rPr>
                <w:sz w:val="18"/>
                <w:szCs w:val="18"/>
              </w:rPr>
              <w:t xml:space="preserve">Decimal; van antes que las actividades de su padre</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1.1, 1.2… (1.01 … 1.12 con diez o más)</w:t>
            </w:r>
          </w:p>
        </w:tc>
      </w:tr>
      <w:tr>
        <w:trPr>
          <w:cantSplit/>
        </w:trPr>
        <w:tc>
          <w:tcPr>
            <w:tcW w:type="dxa" w:w="2800"/>
            <w:shd w:fill="auto" w:color="auto" w:val="clear"/>
            <w:tcMar>
              <w:top w:type="dxa" w:w="70"/>
              <w:left w:type="dxa" w:w="110"/>
              <w:bottom w:type="dxa" w:w="70"/>
              <w:right w:type="dxa" w:w="110"/>
            </w:tcMar>
          </w:tcPr>
          <w:p>
            <w:pPr>
              <w:spacing w:after="40" w:before="40" w:line="240"/>
              <w:jc w:val="left"/>
            </w:pPr>
            <w:r>
              <w:rPr>
                <w:sz w:val="18"/>
                <w:szCs w:val="18"/>
              </w:rPr>
              <w:t xml:space="preserve">Niveles inferiores</w:t>
            </w:r>
          </w:p>
        </w:tc>
        <w:tc>
          <w:tcPr>
            <w:tcW w:type="dxa" w:w="3600"/>
            <w:shd w:fill="auto" w:color="auto" w:val="clear"/>
            <w:tcMar>
              <w:top w:type="dxa" w:w="70"/>
              <w:left w:type="dxa" w:w="110"/>
              <w:bottom w:type="dxa" w:w="70"/>
              <w:right w:type="dxa" w:w="110"/>
            </w:tcMar>
          </w:tcPr>
          <w:p>
            <w:pPr>
              <w:spacing w:after="40" w:before="40" w:line="240"/>
              <w:jc w:val="left"/>
            </w:pPr>
            <w:r>
              <w:rPr>
                <w:sz w:val="18"/>
                <w:szCs w:val="18"/>
              </w:rPr>
              <w:t xml:space="preserve">Decimal profunda según la anidación</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1.1.1, 1.1.2…</w:t>
            </w:r>
          </w:p>
        </w:tc>
      </w:tr>
    </w:tbl>
    <w:p>
      <w:pPr>
        <w:spacing w:after="120" w:before="0" w:line="276"/>
        <w:jc w:val="both"/>
      </w:pPr>
      <w:r>
        <w:rPr>
          <w:sz w:val="20"/>
          <w:szCs w:val="20"/>
        </w:rPr>
        <w:t>El sistema asigna y recalcula la codificación automáticamente, y el usuario nunca la escribe. Bajo cada capítulo o subcapítulo van primero sus subcapítulos y después sus actividades directas, a cualquier profundidad. Los capítulos se numeran 1, 2, 3 y los subcapítulos 1.1, 1.2 y 1.1.1, con ceros a la izquierda para que todos los del mismo nivel tengan el mismo ancho: de 10 a 99 en un nivel, dos cifras (01 … 12); de 100 a 999, tres. Las actividades no llevan número jerárquico: en la columna del código muestran el código de su APU, y el bloque en que están dice a qué capítulo pertenecen. Por ejemplo: 01 CIMENTACIÓN, 01.1 Concretos, APU-0007 Concreto de zapatas, APU-0005 Excavación manual (decisión del dueño, 13 de octubre de 2026; D-75).</w:t>
      </w:r>
    </w:p>
    <w:p>
      <w:pPr>
        <w:pStyle w:val="Heading3"/>
        <w:spacing w:after="100" w:before="220"/>
      </w:pPr>
      <w:r>
        <w:rPr>
          <w:b/>
          <w:bCs/>
          <w:color w:val="5A6874"/>
          <w:sz w:val="20"/>
          <w:szCs w:val="20"/>
        </w:rPr>
        <w:t xml:space="preserve">Controles por nivel</w:t>
      </w:r>
    </w:p>
    <w:p>
      <w:pPr>
        <w:pStyle w:val="ListParagraph"/>
        <w:numPr>
          <w:ilvl w:val="0"/>
          <w:numId w:val="2"/>
        </w:numPr>
        <w:spacing w:after="90" w:line="276"/>
        <w:jc w:val="both"/>
      </w:pPr>
      <w:r>
        <w:rPr>
          <w:sz w:val="20"/>
          <w:szCs w:val="20"/>
        </w:rPr>
        <w:t xml:space="preserve">Renombrar el título del nivel.</w:t>
      </w:r>
    </w:p>
    <w:p>
      <w:pPr>
        <w:pStyle w:val="ListParagraph"/>
        <w:numPr>
          <w:ilvl w:val="0"/>
          <w:numId w:val="2"/>
        </w:numPr>
        <w:spacing w:after="90" w:line="276"/>
        <w:jc w:val="both"/>
      </w:pPr>
      <w:r>
        <w:rPr>
          <w:sz w:val="20"/>
          <w:szCs w:val="20"/>
        </w:rPr>
        <w:t>Reordenar la posición, desplazando arriba o abajo. Un subcapítulo se mueve entre los subcapítulos de su nivel y una actividad entre las actividades: los subcapítulos siempre quedan arriba. La numeración de todos los hermanos se recalcula sola.</w:t>
      </w:r>
    </w:p>
    <w:p>
      <w:pPr>
        <w:pStyle w:val="ListParagraph"/>
        <w:numPr>
          <w:ilvl w:val="0"/>
          <w:numId w:val="2"/>
        </w:numPr>
        <w:spacing w:after="90" w:line="276"/>
        <w:jc w:val="both"/>
      </w:pPr>
      <w:r>
        <w:rPr>
          <w:sz w:val="20"/>
          <w:szCs w:val="20"/>
        </w:rPr>
        <w:t xml:space="preserve">Eliminar el nivel, con alerta previa si contiene subniveles o actividades.</w:t>
      </w:r>
    </w:p>
    <w:p>
      <w:pPr>
        <w:pStyle w:val="Heading3"/>
        <w:spacing w:after="120"/>
      </w:pPr>
      <w:r>
        <w:rPr/>
        <w:t>Reordenar hermanos</w:t>
      </w:r>
    </w:p>
    <w:p>
      <w:pPr>
        <w:spacing w:after="120"/>
      </w:pPr>
      <w:r>
        <w:t>Subir o bajar un capítulo renumera a todos sus hermanos en un solo paso. No hay estado intermedio visible ni códigos temporales: la pantalla muestra la numeración final cuando el servidor confirma. Si el guardado falla, la EDT vuelve al orden anterior completo, nunca a medias.</w:t>
      </w:r>
    </w:p>
    <w:p>
      <w:pPr>
        <w:pStyle w:val="Heading2"/>
        <w:spacing w:after="120" w:before="300"/>
      </w:pPr>
      <w:r>
        <w:rPr>
          <w:b/>
          <w:bCs/>
          <w:color w:val="1F2933"/>
          <w:sz w:val="23"/>
          <w:szCs w:val="23"/>
        </w:rPr>
        <w:t xml:space="preserve">8.3 Agregar actividades</w:t>
      </w:r>
    </w:p>
    <w:p>
      <w:pPr>
        <w:spacing w:after="120" w:before="0" w:line="276"/>
        <w:jc w:val="both"/>
      </w:pPr>
      <w:r>
        <w:rPr>
          <w:sz w:val="20"/>
          <w:szCs w:val="20"/>
        </w:rPr>
        <w:t xml:space="preserve">Al final de cualquier nivel hay una casilla de búsqueda rápida etiquetada «+ Agregar Actividad». El usuario escribe el código o el nombre del APU y el sistema despliega las coincidencias en tiempo real.</w:t>
      </w:r>
    </w:p>
    <w:p>
      <w:pPr>
        <w:spacing w:after="120" w:before="0" w:line="276"/>
        <w:jc w:val="both"/>
      </w:pPr>
      <w:r>
        <w:rPr>
          <w:sz w:val="20"/>
          <w:szCs w:val="20"/>
        </w:rPr>
        <w:t>En una estructura por EDT, cada capítulo y cada subcapítulo tiene su propia casilla, y la casilla dice a qué nivel pertenece: «Agregar actividad en 01.2 Vigas de amarre». La fila de cada capítulo y subcapítulo lleva además un botón para agregar una actividad ahí mismo, con un icono distinto del de agregar subcapítulo. Así, una actividad se agrega dentro del subcapítulo 01.1, sin confundirlo con el capítulo de arriba.</w:t>
      </w:r>
    </w:p>
    <w:p>
      <w:pPr>
        <w:spacing w:after="120" w:before="0" w:line="276"/>
        <w:jc w:val="both"/>
      </w:pPr>
      <w:r>
        <w:rPr>
          <w:sz w:val="20"/>
          <w:szCs w:val="20"/>
        </w:rPr>
        <w:t xml:space="preserve">Al seleccionar una actividad, el código que queda en el presupuesto es estrictamente el mismo código único del APU. Si la actividad no existe, la casilla ofrece «+ Crear Nuevo APU», que abre el formulario del módulo APU en un pop-out secundario; al guardarlo, el APU nuevo se asigna al capítulo actual sin perder el progreso.</w:t>
      </w:r>
    </w:p>
    <w:p>
      <w:pPr>
        <w:pStyle w:val="Heading3"/>
        <w:spacing w:after="100" w:before="220"/>
      </w:pPr>
      <w:r>
        <w:rPr>
          <w:b/>
          <w:bCs/>
          <w:color w:val="5A6874"/>
          <w:sz w:val="20"/>
          <w:szCs w:val="20"/>
        </w:rPr>
        <w:t xml:space="preserve">Columnas de cada fila de actividad</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2200"/>
        <w:gridCol w:w="4620"/>
        <w:gridCol w:w="2200"/>
      </w:tblGrid>
      <w:tr>
        <w:trPr>
          <w:cantSplit/>
          <w:tblHeader/>
        </w:trPr>
        <w:tc>
          <w:tcPr>
            <w:tcW w:type="dxa" w:w="22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Columna</w:t>
            </w:r>
          </w:p>
        </w:tc>
        <w:tc>
          <w:tcPr>
            <w:tcW w:type="dxa" w:w="4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Origen</w:t>
            </w:r>
          </w:p>
        </w:tc>
        <w:tc>
          <w:tcPr>
            <w:tcW w:type="dxa" w:w="22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¿Editable?</w:t>
            </w:r>
          </w:p>
        </w:tc>
      </w:tr>
      <w:tr>
        <w:trPr>
          <w:cantSplit/>
        </w:trPr>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Código</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Código único del APU</w:t>
            </w:r>
          </w:p>
        </w:tc>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No</w:t>
            </w:r>
          </w:p>
        </w:tc>
      </w:tr>
      <w:tr>
        <w:trPr>
          <w:cantSplit/>
        </w:trPr>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Descripción</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Nombre de la actividad</w:t>
            </w:r>
          </w:p>
        </w:tc>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No</w:t>
            </w:r>
          </w:p>
        </w:tc>
      </w:tr>
      <w:tr>
        <w:trPr>
          <w:cantSplit/>
        </w:trPr>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Unidad</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Unidad del APU</w:t>
            </w:r>
          </w:p>
        </w:tc>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No</w:t>
            </w:r>
          </w:p>
        </w:tc>
      </w:tr>
      <w:tr>
        <w:trPr>
          <w:cantSplit/>
        </w:trPr>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Cantidad de obra</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La digita el usuario</w:t>
            </w:r>
          </w:p>
        </w:tc>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Sí</w:t>
            </w:r>
          </w:p>
        </w:tc>
      </w:tr>
      <w:tr>
        <w:trPr>
          <w:cantSplit/>
        </w:trPr>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Precio unitario</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Costo directo del APU</w:t>
            </w:r>
          </w:p>
        </w:tc>
        <w:tc>
          <w:tcPr>
            <w:tcW w:type="dxa" w:w="2200"/>
            <w:shd w:fill="auto" w:color="auto" w:val="clear"/>
            <w:tcMar>
              <w:top w:type="dxa" w:w="70"/>
              <w:left w:type="dxa" w:w="110"/>
              <w:bottom w:type="dxa" w:w="70"/>
              <w:right w:type="dxa" w:w="110"/>
            </w:tcMar>
          </w:tcPr>
          <w:p>
            <w:pPr>
              <w:spacing w:after="40" w:before="40" w:line="240"/>
              <w:jc w:val="left"/>
            </w:pPr>
            <w:r>
              <w:rPr>
                <w:sz w:val="18"/>
                <w:szCs w:val="18"/>
              </w:rPr>
              <w:t xml:space="preserve">No desde esta vista</w:t>
            </w:r>
          </w:p>
        </w:tc>
      </w:tr>
      <w:tr>
        <w:trPr>
          <w:cantSplit/>
        </w:trPr>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Costo total</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Cantidad × Precio unitario</w:t>
            </w:r>
          </w:p>
        </w:tc>
        <w:tc>
          <w:tcPr>
            <w:tcW w:type="dxa" w:w="2200"/>
            <w:shd w:fill="F7F9FA" w:color="auto" w:val="clear"/>
            <w:tcMar>
              <w:top w:type="dxa" w:w="70"/>
              <w:left w:type="dxa" w:w="110"/>
              <w:bottom w:type="dxa" w:w="70"/>
              <w:right w:type="dxa" w:w="110"/>
            </w:tcMar>
          </w:tcPr>
          <w:p>
            <w:pPr>
              <w:spacing w:after="40" w:before="40" w:line="240"/>
              <w:jc w:val="left"/>
            </w:pPr>
            <w:r>
              <w:rPr>
                <w:sz w:val="18"/>
                <w:szCs w:val="18"/>
              </w:rPr>
              <w:t xml:space="preserve">Calculado</w:t>
            </w:r>
          </w:p>
        </w:tc>
      </w:tr>
    </w:tbl>
    <w:p>
      <w:pPr>
        <w:pStyle w:val="Heading2"/>
        <w:spacing w:after="120" w:before="300"/>
      </w:pPr>
      <w:r>
        <w:rPr>
          <w:b/>
          <w:bCs/>
          <w:color w:val="1F2933"/>
          <w:sz w:val="23"/>
          <w:szCs w:val="23"/>
        </w:rPr>
        <w:t xml:space="preserve">8.4 Clasificación del capítulo: directo o indirecto</w:t>
      </w:r>
    </w:p>
    <w:p>
      <w:pPr>
        <w:spacing w:after="120" w:before="0" w:line="276"/>
        <w:jc w:val="both"/>
      </w:pPr>
      <w:r>
        <w:rPr>
          <w:sz w:val="20"/>
          <w:szCs w:val="20"/>
        </w:rPr>
        <w:t xml:space="preserve">Al crear un capítulo de primer nivel, el pop-out exige elegir su naturaleza. No viene marcada ninguna de las dos por defecto: el usuario tiene que decidir.</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700"/>
        <w:gridCol w:w="4160"/>
        <w:gridCol w:w="3160"/>
      </w:tblGrid>
      <w:tr>
        <w:trPr>
          <w:cantSplit/>
          <w:tblHeader/>
        </w:trPr>
        <w:tc>
          <w:tcPr>
            <w:tcW w:type="dxa" w:w="17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Clasificación</w:t>
            </w:r>
          </w:p>
        </w:tc>
        <w:tc>
          <w:tcPr>
            <w:tcW w:type="dxa" w:w="416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va ahí</w:t>
            </w:r>
          </w:p>
        </w:tc>
        <w:tc>
          <w:tcPr>
            <w:tcW w:type="dxa" w:w="316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Efecto en el cálculo</w:t>
            </w:r>
          </w:p>
        </w:tc>
      </w:tr>
      <w:tr>
        <w:trPr>
          <w:cantSplit/>
        </w:trPr>
        <w:tc>
          <w:tcPr>
            <w:tcW w:type="dxa" w:w="1700"/>
            <w:shd w:fill="auto" w:color="auto" w:val="clear"/>
            <w:tcMar>
              <w:top w:type="dxa" w:w="70"/>
              <w:left w:type="dxa" w:w="110"/>
              <w:bottom w:type="dxa" w:w="70"/>
              <w:right w:type="dxa" w:w="110"/>
            </w:tcMar>
          </w:tcPr>
          <w:p>
            <w:pPr>
              <w:spacing w:after="40" w:before="40" w:line="240"/>
              <w:jc w:val="left"/>
            </w:pPr>
            <w:r>
              <w:rPr>
                <w:sz w:val="18"/>
                <w:szCs w:val="18"/>
              </w:rPr>
              <w:t xml:space="preserve">Costo Directo</w:t>
            </w:r>
          </w:p>
        </w:tc>
        <w:tc>
          <w:tcPr>
            <w:tcW w:type="dxa" w:w="4160"/>
            <w:shd w:fill="auto" w:color="auto" w:val="clear"/>
            <w:tcMar>
              <w:top w:type="dxa" w:w="70"/>
              <w:left w:type="dxa" w:w="110"/>
              <w:bottom w:type="dxa" w:w="70"/>
              <w:right w:type="dxa" w:w="110"/>
            </w:tcMar>
          </w:tcPr>
          <w:p>
            <w:pPr>
              <w:spacing w:after="40" w:before="40" w:line="240"/>
              <w:jc w:val="left"/>
            </w:pPr>
            <w:r>
              <w:rPr>
                <w:sz w:val="18"/>
                <w:szCs w:val="18"/>
              </w:rPr>
              <w:t xml:space="preserve">Obra física: cimentación, estructura, mampostería, instalaciones, acabados.</w:t>
            </w:r>
          </w:p>
        </w:tc>
        <w:tc>
          <w:tcPr>
            <w:tcW w:type="dxa" w:w="3160"/>
            <w:shd w:fill="auto" w:color="auto" w:val="clear"/>
            <w:tcMar>
              <w:top w:type="dxa" w:w="70"/>
              <w:left w:type="dxa" w:w="110"/>
              <w:bottom w:type="dxa" w:w="70"/>
              <w:right w:type="dxa" w:w="110"/>
            </w:tcMar>
          </w:tcPr>
          <w:p>
            <w:pPr>
              <w:spacing w:after="40" w:before="40" w:line="240"/>
              <w:jc w:val="left"/>
            </w:pPr>
            <w:r>
              <w:rPr>
                <w:sz w:val="18"/>
                <w:szCs w:val="18"/>
              </w:rPr>
              <w:t xml:space="preserve">Suma al Costo Directo y es la base sobre la que se calcula el AIU.</w:t>
            </w:r>
          </w:p>
        </w:tc>
      </w:tr>
      <w:tr>
        <w:trPr>
          <w:cantSplit/>
        </w:trPr>
        <w:tc>
          <w:tcPr>
            <w:tcW w:type="dxa" w:w="1700"/>
            <w:shd w:fill="F7F9FA" w:color="auto" w:val="clear"/>
            <w:tcMar>
              <w:top w:type="dxa" w:w="70"/>
              <w:left w:type="dxa" w:w="110"/>
              <w:bottom w:type="dxa" w:w="70"/>
              <w:right w:type="dxa" w:w="110"/>
            </w:tcMar>
          </w:tcPr>
          <w:p>
            <w:pPr>
              <w:spacing w:after="40" w:before="40" w:line="240"/>
              <w:jc w:val="left"/>
            </w:pPr>
            <w:r>
              <w:rPr>
                <w:sz w:val="18"/>
                <w:szCs w:val="18"/>
              </w:rPr>
              <w:t xml:space="preserve">Costo Indirecto</w:t>
            </w:r>
          </w:p>
        </w:tc>
        <w:tc>
          <w:tcPr>
            <w:tcW w:type="dxa" w:w="4160"/>
            <w:shd w:fill="F7F9FA" w:color="auto" w:val="clear"/>
            <w:tcMar>
              <w:top w:type="dxa" w:w="70"/>
              <w:left w:type="dxa" w:w="110"/>
              <w:bottom w:type="dxa" w:w="70"/>
              <w:right w:type="dxa" w:w="110"/>
            </w:tcMar>
          </w:tcPr>
          <w:p>
            <w:pPr>
              <w:spacing w:after="40" w:before="40" w:line="240"/>
              <w:jc w:val="left"/>
            </w:pPr>
            <w:r>
              <w:rPr>
                <w:sz w:val="18"/>
                <w:szCs w:val="18"/>
              </w:rPr>
              <w:t xml:space="preserve">Costos de la obra que no son obra física: topografía, estudio de suelos, dirección de obra, pólizas, campamento.</w:t>
            </w:r>
          </w:p>
        </w:tc>
        <w:tc>
          <w:tcPr>
            <w:tcW w:type="dxa" w:w="3160"/>
            <w:shd w:fill="F7F9FA" w:color="auto" w:val="clear"/>
            <w:tcMar>
              <w:top w:type="dxa" w:w="70"/>
              <w:left w:type="dxa" w:w="110"/>
              <w:bottom w:type="dxa" w:w="70"/>
              <w:right w:type="dxa" w:w="110"/>
            </w:tcMar>
          </w:tcPr>
          <w:p>
            <w:pPr>
              <w:spacing w:after="40" w:before="40" w:line="240"/>
              <w:jc w:val="left"/>
            </w:pPr>
            <w:r>
              <w:rPr>
                <w:sz w:val="18"/>
                <w:szCs w:val="18"/>
              </w:rPr>
              <w:t xml:space="preserve">Suma al Costo Indirecto. Entra en el valor total pero NO en la base del AIU.</w:t>
            </w:r>
          </w:p>
        </w:tc>
      </w:tr>
    </w:tbl>
    <w:p>
      <w:pPr>
        <w:spacing w:after="120" w:before="0" w:line="276"/>
        <w:jc w:val="both"/>
      </w:pPr>
      <w:r>
        <w:rPr>
          <w:sz w:val="20"/>
          <w:szCs w:val="20"/>
        </w:rPr>
        <w:t xml:space="preserve">La etiqueta se muestra en la barra del capítulo y se puede cambiar mientras el proyecto esté Abierto. Los subcapítulos y actividades la heredan: no hay selector en los niveles inferiores.</w:t>
      </w: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90" w:before="40"/>
            </w:pPr>
            <w:r>
              <w:rPr>
                <w:b/>
                <w:bCs/>
                <w:caps/>
                <w:color w:val="2E7D5B"/>
                <w:sz w:val="18"/>
                <w:szCs w:val="18"/>
              </w:rPr>
              <w:t xml:space="preserve">Por qué el AIU no toca los capítulos indirectos</w:t>
            </w:r>
          </w:p>
          <w:p>
            <w:pPr>
              <w:spacing w:after="110" w:line="276"/>
              <w:jc w:val="both"/>
            </w:pPr>
            <w:r>
              <w:rPr>
                <w:sz w:val="19"/>
                <w:szCs w:val="19"/>
              </w:rPr>
              <w:t xml:space="preserve">Si un capítulo de preliminares ya incluye el sueldo del director de obra, ese costo está cuantificado peso a peso. Aplicarle encima el porcentaje de Administración lo cobraría dos veces: una explícita en el capítulo y otra implícita en el AIU.</w:t>
            </w:r>
          </w:p>
          <w:p>
            <w:pPr>
              <w:spacing w:after="40" w:line="276"/>
              <w:jc w:val="both"/>
            </w:pPr>
            <w:r>
              <w:rPr>
                <w:sz w:val="19"/>
                <w:szCs w:val="19"/>
              </w:rPr>
              <w:t xml:space="preserve">La A del AIU existe para estimar la administración cuando no se detalla. Donde sí se detalla, sobra.</w:t>
            </w:r>
          </w:p>
        </w:tc>
      </w:tr>
    </w:tbl>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Si un capítulo mezcla las dos naturalezas</w:t>
            </w:r>
          </w:p>
          <w:p>
            <w:pPr>
              <w:spacing w:after="40" w:line="276"/>
              <w:jc w:val="both"/>
            </w:pPr>
            <w:r>
              <w:rPr>
                <w:sz w:val="19"/>
                <w:szCs w:val="19"/>
              </w:rPr>
              <w:t xml:space="preserve">Un capítulo de preliminares con topografía (indirecto) y excavación (obra física) no se puede partir por dentro: la clasificación es del capítulo entero. En ese caso se crean dos capítulos de primer nivel. La estructura de la WBS la decide el ingeniero; el sistema solo exige que cada capítulo raíz tenga una sola naturaleza.</w:t>
            </w:r>
          </w:p>
        </w:tc>
      </w:tr>
    </w:tbl>
    <w:p>
      <w:pPr>
        <w:pStyle w:val="Heading2"/>
        <w:spacing w:after="120" w:before="300"/>
      </w:pPr>
      <w:r>
        <w:rPr>
          <w:b/>
          <w:bCs/>
          <w:color w:val="1F2933"/>
          <w:sz w:val="23"/>
          <w:szCs w:val="23"/>
        </w:rPr>
        <w:t xml:space="preserve">8.5 Totales por capítulo</w:t>
      </w:r>
    </w:p>
    <w:p>
      <w:pPr>
        <w:spacing w:after="120" w:before="0" w:line="276"/>
        <w:jc w:val="both"/>
      </w:pPr>
      <w:r>
        <w:rPr>
          <w:sz w:val="20"/>
          <w:szCs w:val="20"/>
        </w:rPr>
        <w:t xml:space="preserve">En el extremo derecho de la barra de cada capítulo y subcapítulo, dos valores en tiempo real:</w:t>
      </w:r>
    </w:p>
    <w:p>
      <w:pPr>
        <w:pStyle w:val="ListParagraph"/>
        <w:numPr>
          <w:ilvl w:val="0"/>
          <w:numId w:val="2"/>
        </w:numPr>
        <w:spacing w:after="90" w:line="276"/>
        <w:jc w:val="both"/>
      </w:pPr>
      <w:r>
        <w:rPr>
          <w:sz w:val="20"/>
          <w:szCs w:val="20"/>
        </w:rPr>
        <w:t xml:space="preserve">Monto acumulado: la suma de todas las actividades e ítems contenidos en ese nivel y en los que cuelgan de él.</w:t>
      </w:r>
    </w:p>
    <w:p>
      <w:pPr>
        <w:pStyle w:val="ListParagraph"/>
        <w:numPr>
          <w:ilvl w:val="0"/>
          <w:numId w:val="2"/>
        </w:numPr>
        <w:spacing w:after="90" w:line="276"/>
        <w:jc w:val="both"/>
      </w:pPr>
      <w:r>
        <w:rPr>
          <w:sz w:val="20"/>
          <w:szCs w:val="20"/>
        </w:rPr>
        <w:t>Porcentaje de incidencia: el costo del capítulo dividido por el costo directo total del proyecto, por cien. Ni el AIU ni los capítulos indirectos entran en el denominador, de modo que los capítulos directos suman 100% entre ellos. Un capítulo indirecto puede mostrar un 50% sin que nada esté mal: se mide contra la misma base pero queda fuera de ese 100%.</w:t>
      </w:r>
    </w:p>
    <w:p>
      <w:pPr>
        <w:spacing w:after="60"/>
      </w:pPr>
    </w:p>
    <w:tbl>
      <w:tblPr>
        <w:tblW w:type="dxa" w:w="9020"/>
        <w:tblBorders>
          <w:top w:val="none" w:color="FFFFFF" w:sz="0"/>
          <w:left w:val="single" w:color="2E7D5B" w:sz="18"/>
          <w:bottom w:val="none" w:color="FFFFFF" w:sz="0"/>
          <w:right w:val="none" w:color="FFFFFF" w:sz="0"/>
          <w:insideH w:val="none" w:color="FFFFFF" w:sz="0"/>
          <w:insideV w:val="none" w:color="FFFFFF" w:sz="0"/>
        </w:tblBorders>
      </w:tblPr>
      <w:tblGrid>
        <w:gridCol w:w="9020"/>
      </w:tblGrid>
      <w:tr>
        <w:trPr>
          <w:cantSplit/>
        </w:trPr>
        <w:tc>
          <w:tcPr>
            <w:tcW w:type="dxa" w:w="9020"/>
            <w:shd w:fill="EDF5F1" w:color="auto" w:val="clear"/>
            <w:tcMar>
              <w:top w:type="dxa" w:w="140"/>
              <w:left w:type="dxa" w:w="200"/>
              <w:bottom w:type="dxa" w:w="140"/>
              <w:right w:type="dxa" w:w="180"/>
            </w:tcMar>
          </w:tcPr>
          <w:p>
            <w:pPr>
              <w:spacing w:after="90" w:before="40"/>
            </w:pPr>
            <w:r>
              <w:rPr>
                <w:b/>
                <w:bCs/>
                <w:caps/>
                <w:color w:val="2E7D5B"/>
                <w:sz w:val="18"/>
                <w:szCs w:val="18"/>
              </w:rPr>
              <w:t xml:space="preserve">Las incidencias de los capítulos directos suman 100%</w:t>
            </w:r>
          </w:p>
          <w:p>
            <w:pPr>
              <w:spacing w:after="40" w:line="276"/>
              <w:jc w:val="both"/>
            </w:pPr>
            <w:r>
              <w:rPr>
                <w:sz w:val="19"/>
                <w:szCs w:val="19"/>
              </w:rPr>
              <w:t>Como el denominador es la suma de los capítulos directos, los porcentajes de esos capítulos suman exactamente cien cuando se suman con precisión completa. En pantalla no siempre: con tres capítulos iguales y dos decimales de vista, 33,33 % × 3 da 99,99 %. La comprobación del cuadre se hace sobre los montos, no sobre los porcentajes redondeados, y la interfaz no debe avisar de un error de cálculo por una diferencia menor a un punto de la última cifra mostrada. Los capítulos indirectos no entran en esa suma.</w:t>
            </w:r>
          </w:p>
        </w:tc>
      </w:tr>
    </w:tbl>
    <w:p>
      <w:pPr>
        <w:pStyle w:val="Heading2"/>
        <w:spacing w:after="120" w:before="300"/>
      </w:pPr>
      <w:r>
        <w:rPr>
          <w:b/>
          <w:bCs/>
          <w:color w:val="1F2933"/>
          <w:sz w:val="23"/>
          <w:szCs w:val="23"/>
        </w:rPr>
        <w:t xml:space="preserve">8.6 Pie financiero</w:t>
      </w:r>
    </w:p>
    <w:p>
      <w:pPr>
        <w:spacing w:after="120" w:before="0" w:line="276"/>
        <w:jc w:val="both"/>
      </w:pPr>
      <w:r>
        <w:rPr>
          <w:sz w:val="20"/>
          <w:szCs w:val="20"/>
        </w:rPr>
        <w:t>Al final de la lista de capítulos hay una barra fija con DOS renglones y nada más: Total Costo Directo y VALOR TOTAL. El desglose completo vive en un panel que se abre desde esa barra, y que es además donde se editan los cuatro porcentajes. Decisión del dueño del proyecto, 30 de septiembre de 2026; antes la barra mostraba las ocho líneas.</w:t>
      </w:r>
    </w:p>
    <w:p>
      <w:pPr/>
      <w:r>
        <w:t>Son dos renglones y no uno, y la razón es el costo directo. La clasificación de cada actividad se hereda del capítulo donde se pone, no se escribe (D-8, D-16): es lo único del cálculo que puede salir mal sin producir ningún error. Una actividad metida en el capítulo equivocado cambia la base del AIU en silencio. El valor total solo sube o baja; el costo directo dice si cambió por la razón que el usuario creía. Con un solo renglón, ese error se descubre leyendo el PDF delante del cliente.</w:t>
      </w:r>
    </w:p>
    <w:p>
      <w:pPr/>
      <w:r>
        <w:t>El panel es lateral y no modal, y la diferencia importa en un caso concreto: cuando el costo indirecto sale raro y hay que recorrer la lista buscando la actividad mal clasificada, el desglose tiene que poder quedar a la vista mientras se recorre. Y el panel no es solo una vista: los cuatro porcentajes se editan ahí y el total se mueve a la par. Eso es lo que justifica el clic.</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3000"/>
        <w:gridCol w:w="6020"/>
      </w:tblGrid>
      <w:tr>
        <w:trPr>
          <w:cantSplit/>
          <w:tblHeader/>
        </w:trPr>
        <w:tc>
          <w:tcPr>
            <w:tcW w:type="dxa" w:w="30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Concepto</w:t>
            </w:r>
          </w:p>
        </w:tc>
        <w:tc>
          <w:tcPr>
            <w:tcW w:type="dxa" w:w="60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Cálculo</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Total Costo Indirecto</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Suma de los capítulos clasificados como indirectos</w:t>
            </w:r>
          </w:p>
        </w:tc>
      </w:tr>
      <w:tr>
        <w:trPr>
          <w:cantSplit/>
        </w:trPr>
        <w:tc>
          <w:tcPr>
            <w:tcW w:type="dxa" w:w="3000"/>
            <w:shd w:fill="F7F9FA" w:color="auto" w:val="clear"/>
            <w:tcMar>
              <w:top w:type="dxa" w:w="70"/>
              <w:left w:type="dxa" w:w="110"/>
              <w:bottom w:type="dxa" w:w="70"/>
              <w:right w:type="dxa" w:w="110"/>
            </w:tcMar>
          </w:tcPr>
          <w:p>
            <w:pPr>
              <w:spacing w:after="40" w:before="40" w:line="240"/>
              <w:jc w:val="left"/>
            </w:pPr>
            <w:r>
              <w:rPr>
                <w:sz w:val="18"/>
                <w:szCs w:val="18"/>
              </w:rPr>
              <w:t>Total Costo Directo</w:t>
            </w:r>
          </w:p>
        </w:tc>
        <w:tc>
          <w:tcPr>
            <w:tcW w:type="dxa" w:w="6020"/>
            <w:shd w:fill="F7F9FA" w:color="auto" w:val="clear"/>
            <w:tcMar>
              <w:top w:type="dxa" w:w="70"/>
              <w:left w:type="dxa" w:w="110"/>
              <w:bottom w:type="dxa" w:w="70"/>
              <w:right w:type="dxa" w:w="110"/>
            </w:tcMar>
          </w:tcPr>
          <w:p>
            <w:pPr>
              <w:spacing w:after="40" w:before="40" w:line="240"/>
              <w:jc w:val="left"/>
            </w:pPr>
            <w:r>
              <w:rPr>
                <w:sz w:val="18"/>
                <w:szCs w:val="18"/>
              </w:rPr>
              <w:t>Suma de los capítulos clasificados como directos</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Administración (A)</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Costo Directo × %A</w:t>
            </w:r>
          </w:p>
        </w:tc>
      </w:tr>
      <w:tr>
        <w:trPr>
          <w:cantSplit/>
        </w:trPr>
        <w:tc>
          <w:tcPr>
            <w:tcW w:type="dxa" w:w="3000"/>
            <w:shd w:fill="F7F9FA" w:color="auto" w:val="clear"/>
            <w:tcMar>
              <w:top w:type="dxa" w:w="70"/>
              <w:left w:type="dxa" w:w="110"/>
              <w:bottom w:type="dxa" w:w="70"/>
              <w:right w:type="dxa" w:w="110"/>
            </w:tcMar>
          </w:tcPr>
          <w:p>
            <w:pPr>
              <w:spacing w:after="40" w:before="40" w:line="240"/>
              <w:jc w:val="left"/>
            </w:pPr>
            <w:r>
              <w:rPr>
                <w:sz w:val="18"/>
                <w:szCs w:val="18"/>
              </w:rPr>
              <w:t>Imprevistos (I)</w:t>
            </w:r>
          </w:p>
        </w:tc>
        <w:tc>
          <w:tcPr>
            <w:tcW w:type="dxa" w:w="6020"/>
            <w:shd w:fill="F7F9FA" w:color="auto" w:val="clear"/>
            <w:tcMar>
              <w:top w:type="dxa" w:w="70"/>
              <w:left w:type="dxa" w:w="110"/>
              <w:bottom w:type="dxa" w:w="70"/>
              <w:right w:type="dxa" w:w="110"/>
            </w:tcMar>
          </w:tcPr>
          <w:p>
            <w:pPr>
              <w:spacing w:after="40" w:before="40" w:line="240"/>
              <w:jc w:val="left"/>
            </w:pPr>
            <w:r>
              <w:rPr>
                <w:sz w:val="18"/>
                <w:szCs w:val="18"/>
              </w:rPr>
              <w:t>Costo Directo × %I</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Utilidad (U)</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Costo Directo × %U</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AIU</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A + I + U. Es la suma de los tres, no una repetición de ellos</w:t>
            </w:r>
          </w:p>
        </w:tc>
      </w:tr>
      <w:tr>
        <w:trPr>
          <w:cantSplit/>
        </w:trPr>
        <w:tc>
          <w:tcPr>
            <w:tcW w:type="dxa" w:w="3000"/>
            <w:shd w:fill="F7F9FA" w:color="auto" w:val="clear"/>
            <w:tcMar>
              <w:top w:type="dxa" w:w="70"/>
              <w:left w:type="dxa" w:w="110"/>
              <w:bottom w:type="dxa" w:w="70"/>
              <w:right w:type="dxa" w:w="110"/>
            </w:tcMar>
          </w:tcPr>
          <w:p>
            <w:pPr>
              <w:spacing w:after="40" w:before="40" w:line="240"/>
              <w:jc w:val="left"/>
            </w:pPr>
            <w:r>
              <w:rPr>
                <w:sz w:val="18"/>
                <w:szCs w:val="18"/>
              </w:rPr>
              <w:t>IVA</w:t>
            </w:r>
          </w:p>
        </w:tc>
        <w:tc>
          <w:tcPr>
            <w:tcW w:type="dxa" w:w="6020"/>
            <w:shd w:fill="F7F9FA" w:color="auto" w:val="clear"/>
            <w:tcMar>
              <w:top w:type="dxa" w:w="70"/>
              <w:left w:type="dxa" w:w="110"/>
              <w:bottom w:type="dxa" w:w="70"/>
              <w:right w:type="dxa" w:w="110"/>
            </w:tcMar>
          </w:tcPr>
          <w:p>
            <w:pPr>
              <w:spacing w:after="40" w:before="40" w:line="240"/>
              <w:jc w:val="left"/>
            </w:pPr>
            <w:r>
              <w:rPr>
                <w:sz w:val="18"/>
                <w:szCs w:val="18"/>
              </w:rPr>
              <w:t>Utilidad × %IVA. La etiqueta impresa dice solo «IVA (19,00 %)»</w:t>
            </w:r>
          </w:p>
        </w:tc>
      </w:tr>
      <w:tr>
        <w:trPr>
          <w:cantSplit/>
        </w:trPr>
        <w:tc>
          <w:tcPr>
            <w:tcW w:type="dxa" w:w="3000"/>
            <w:shd w:fill="auto" w:color="auto" w:val="clear"/>
            <w:tcMar>
              <w:top w:type="dxa" w:w="70"/>
              <w:left w:type="dxa" w:w="110"/>
              <w:bottom w:type="dxa" w:w="70"/>
              <w:right w:type="dxa" w:w="110"/>
            </w:tcMar>
          </w:tcPr>
          <w:p>
            <w:pPr>
              <w:spacing w:after="40" w:before="40" w:line="240"/>
              <w:jc w:val="left"/>
            </w:pPr>
            <w:r>
              <w:rPr>
                <w:sz w:val="18"/>
                <w:szCs w:val="18"/>
              </w:rPr>
              <w:t>VALOR TOTAL</w:t>
            </w:r>
          </w:p>
        </w:tc>
        <w:tc>
          <w:tcPr>
            <w:tcW w:type="dxa" w:w="6020"/>
            <w:shd w:fill="auto" w:color="auto" w:val="clear"/>
            <w:tcMar>
              <w:top w:type="dxa" w:w="70"/>
              <w:left w:type="dxa" w:w="110"/>
              <w:bottom w:type="dxa" w:w="70"/>
              <w:right w:type="dxa" w:w="110"/>
            </w:tcMar>
          </w:tcPr>
          <w:p>
            <w:pPr>
              <w:spacing w:after="40" w:before="40" w:line="240"/>
              <w:jc w:val="left"/>
            </w:pPr>
            <w:r>
              <w:rPr>
                <w:sz w:val="18"/>
                <w:szCs w:val="18"/>
              </w:rPr>
              <w:t>Costo Indirecto + Costo Directo + AIU + IVA</w:t>
            </w:r>
          </w:p>
        </w:tc>
      </w:tr>
    </w:tbl>
    <w:p>
      <w:pPr>
        <w:spacing w:after="120" w:before="0" w:line="276"/>
        <w:jc w:val="both"/>
      </w:pPr>
      <w:r>
        <w:rPr>
          <w:sz w:val="20"/>
          <w:szCs w:val="20"/>
        </w:rPr>
        <w:t>El orden es decisión del dueño del proyecto, del 30 de septiembre de 2026, y es el mismo en el panel, en el PDF y en el Excel: donde aparezcan estos números, aparecen así. Antes el costo directo iba primero, con el AIU pegado a él —que es lo único sobre lo que se calcula— y el costo indirecto al final, ya sin porcentaje encima.</w:t>
      </w:r>
    </w:p>
    <w:p>
      <w:pPr/>
      <w:r>
        <w:t>Lo que el orden nuevo le quita al lector, dicho una vez para que no se pierda: con el AIU entre la Utilidad y el IVA, y con la etiqueta corta, la línea del IVA ya no dice sobre qué se calculó. La base sigue siendo la Utilidad y solo la Utilidad. Es una concesión a la limpieza del pie, aceptada a sabiendas; el documento 06 lo explica con cifras.</w:t>
      </w:r>
    </w:p>
    <w:p>
      <w:pPr>
        <w:spacing w:after="120" w:before="0" w:line="276"/>
        <w:jc w:val="both"/>
      </w:pPr>
      <w:r>
        <w:rPr>
          <w:sz w:val="20"/>
          <w:szCs w:val="20"/>
        </w:rPr>
        <w:t>Los tres porcentajes del AIU y el del IVA son un campo de cada presupuesto, no una constante del programa: varían con cada obra y no hay AIU estándar de la empresa que los precargue (D-41). Se editan en el panel del pie, mientras el presupuesto esté Abierto. Arrancan en cero, porque el AIU se negocia obra por obra: el sistema no inventa un 25 % ni ningún otro valor. El IVA es el único que nace con valor, 19 %, porque esa tarifa la pone la ley.</w:t>
      </w: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Aviso al activar con el AIU en cero</w:t>
            </w:r>
          </w:p>
          <w:p>
            <w:pPr>
              <w:spacing w:after="40" w:line="276"/>
              <w:jc w:val="both"/>
            </w:pPr>
            <w:r>
              <w:rPr>
                <w:sz w:val="19"/>
                <w:szCs w:val="19"/>
              </w:rPr>
              <w:t xml:space="preserve">Si el usuario activa un proyecto con los tres porcentajes en cero, la ventana de confirmación se lo advierte antes de congelar la línea base. No lo bloquea —hay obras que se ofertan a costo— pero evita que un campo sin diligenciar se convierta en contrato.</w:t>
            </w:r>
          </w:p>
        </w:tc>
      </w:tr>
    </w:tbl>
    <w:p>
      <w:pPr>
        <w:spacing w:after="60"/>
      </w:pPr>
    </w:p>
    <w:tbl>
      <w:tblPr>
        <w:tblW w:type="dxa" w:w="9020"/>
        <w:tblBorders>
          <w:top w:val="none" w:color="FFFFFF" w:sz="0"/>
          <w:left w:val="single" w:color="B07A22" w:sz="18"/>
          <w:bottom w:val="none" w:color="FFFFFF" w:sz="0"/>
          <w:right w:val="none" w:color="FFFFFF" w:sz="0"/>
          <w:insideH w:val="none" w:color="FFFFFF" w:sz="0"/>
          <w:insideV w:val="none" w:color="FFFFFF" w:sz="0"/>
        </w:tblBorders>
      </w:tblPr>
      <w:tblGrid>
        <w:gridCol w:w="9020"/>
      </w:tblGrid>
      <w:tr>
        <w:trPr>
          <w:cantSplit/>
        </w:trPr>
        <w:tc>
          <w:tcPr>
            <w:tcW w:type="dxa" w:w="9020"/>
            <w:shd w:fill="FBF5E9" w:color="auto" w:val="clear"/>
            <w:tcMar>
              <w:top w:type="dxa" w:w="140"/>
              <w:left w:type="dxa" w:w="200"/>
              <w:bottom w:type="dxa" w:w="140"/>
              <w:right w:type="dxa" w:w="180"/>
            </w:tcMar>
          </w:tcPr>
          <w:p>
            <w:pPr>
              <w:spacing w:after="90" w:before="40"/>
            </w:pPr>
            <w:r>
              <w:rPr>
                <w:b/>
                <w:bCs/>
                <w:caps/>
                <w:color w:val="B07A22"/>
                <w:sz w:val="18"/>
                <w:szCs w:val="18"/>
              </w:rPr>
              <w:t xml:space="preserve">Aviso cuando no hay capítulos directos</w:t>
            </w:r>
          </w:p>
          <w:p>
            <w:pPr>
              <w:spacing w:after="110" w:line="276"/>
              <w:jc w:val="both"/>
            </w:pPr>
            <w:r>
              <w:rPr>
                <w:sz w:val="19"/>
                <w:szCs w:val="19"/>
              </w:rPr>
              <w:t xml:space="preserve">Si el presupuesto no tiene ningún capítulo clasificado como directo pero sí tiene AIU configurado, el pie muestra un aviso permanente: el AIU va a dar cero porque no hay base sobre la que aplicarlo.</w:t>
            </w:r>
          </w:p>
          <w:p>
            <w:pPr>
              <w:spacing w:after="40" w:line="276"/>
              <w:jc w:val="both"/>
            </w:pPr>
            <w:r>
              <w:rPr>
                <w:sz w:val="19"/>
                <w:szCs w:val="19"/>
              </w:rPr>
              <w:t xml:space="preserve">El texto debe señalar la causa probable, no solo el síntoma: «Este presupuesto no tiene capítulos de costo directo, así que el AIU da cero aunque esté configurado. Si lo que estás presupuestando es un servicio, esos costos son el costo directo de ese contrato y deberían clasificarse así.»</w:t>
            </w:r>
          </w:p>
          <w:p>
            <w:pPr/>
            <w:r>
              <w:t>Este aviso va en la barra de dos renglones, NO en el panel. Un aviso que hay que abrir para verlo no avisa, y el error que señala —un capítulo clasificado como indirecto cuando era directo— es justamente de los que no dan ningún otro síntoma.</w:t>
            </w:r>
          </w:p>
        </w:tc>
      </w:tr>
    </w:tbl>
    <w:p>
      <w:pPr>
        <w:spacing w:after="60"/>
      </w:pP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Los porcentajes que no se pueden calcular muestran un guion</w:t>
            </w:r>
          </w:p>
          <w:p>
            <w:pPr>
              <w:spacing w:after="110" w:line="276"/>
              <w:jc w:val="both"/>
            </w:pPr>
            <w:r>
              <w:rPr>
                <w:sz w:val="19"/>
                <w:szCs w:val="19"/>
              </w:rPr>
              <w:t>La incidencia divide por el costo directo total. Ese divisor puede valer cero en un presupuesto vacío o a medio llenar.</w:t>
            </w:r>
          </w:p>
          <w:p>
            <w:pPr>
              <w:spacing w:after="40" w:line="276"/>
              <w:jc w:val="both"/>
            </w:pPr>
            <w:r>
              <w:rPr>
                <w:sz w:val="19"/>
                <w:szCs w:val="19"/>
              </w:rPr>
              <w:t xml:space="preserve">En esos casos la columna muestra «—», nunca «0%». Un cero diría que el capítulo no pesa nada, que es distinto de no poder calcularlo. Y nunca «Infinity» ni «NaN», que es lo que devuelve JavaScript si la división se hace en el navegador sin proteger.</w:t>
            </w:r>
          </w:p>
        </w:tc>
      </w:tr>
    </w:tbl>
    <w:p>
      <w:pPr>
        <w:pStyle w:val="Heading1"/>
        <w:pBdr>
          <w:bottom w:val="single" w:color="13496B" w:sz="10" w:space="6"/>
        </w:pBdr>
        <w:spacing w:after="180" w:before="420"/>
      </w:pPr>
      <w:r>
        <w:rPr>
          <w:b/>
          <w:bCs/>
          <w:color w:val="13496B"/>
          <w:sz w:val="30"/>
          <w:szCs w:val="30"/>
        </w:rPr>
        <w:t xml:space="preserve">9. Estados, duplicación y exportación</w:t>
      </w:r>
    </w:p>
    <w:p>
      <w:pPr>
        <w:pStyle w:val="Heading2"/>
        <w:spacing w:after="120" w:before="300"/>
      </w:pPr>
      <w:r>
        <w:rPr>
          <w:b/>
          <w:bCs/>
          <w:color w:val="1F2933"/>
          <w:sz w:val="23"/>
          <w:szCs w:val="23"/>
        </w:rPr>
        <w:t xml:space="preserve">9.1 Activar el proyecto</w:t>
      </w:r>
    </w:p>
    <w:p>
      <w:pPr>
        <w:spacing w:after="120" w:before="0" w:line="276"/>
        <w:jc w:val="both"/>
      </w:pPr>
      <w:r>
        <w:rPr>
          <w:sz w:val="20"/>
          <w:szCs w:val="20"/>
        </w:rPr>
        <w:t xml:space="preserve">En la barra superior de la mesa de trabajo está el botón «Aprobar y Activar Proyecto». Solo lo ve el Administrador; para los demás roles el control no existe.</w:t>
      </w:r>
    </w:p>
    <w:p>
      <w:pPr>
        <w:spacing w:after="120" w:before="0" w:line="276"/>
        <w:jc w:val="both"/>
      </w:pPr>
      <w:r>
        <w:rPr>
          <w:sz w:val="20"/>
          <w:szCs w:val="20"/>
        </w:rPr>
        <w:t xml:space="preserve">Al pulsarlo se despliega una ventana de confirmación con la advertencia: «Esta acción cambiará el estado del proyecto a ACTIVO y congelará su presupuesto como la línea base contractual oficial. A partir de este momento no podrá modificarse sin reabrirlo. ¿Desea proceder?»</w:t>
      </w:r>
    </w:p>
    <w:p>
      <w:pPr>
        <w:spacing w:after="120" w:before="0" w:line="276"/>
        <w:jc w:val="both"/>
      </w:pPr>
      <w:r>
        <w:rPr>
          <w:sz w:val="20"/>
          <w:szCs w:val="20"/>
        </w:rPr>
        <w:t xml:space="preserve">Al confirmar, el sistema:</w:t>
      </w:r>
    </w:p>
    <w:p>
      <w:pPr>
        <w:pStyle w:val="ListParagraph"/>
        <w:numPr>
          <w:ilvl w:val="0"/>
          <w:numId w:val="2"/>
        </w:numPr>
        <w:spacing w:after="90" w:line="276"/>
        <w:jc w:val="both"/>
      </w:pPr>
      <w:r>
        <w:rPr>
          <w:sz w:val="20"/>
          <w:szCs w:val="20"/>
        </w:rPr>
        <w:t xml:space="preserve">Cambia el estado a Activo.</w:t>
      </w:r>
    </w:p>
    <w:p>
      <w:pPr>
        <w:pStyle w:val="ListParagraph"/>
        <w:numPr>
          <w:ilvl w:val="0"/>
          <w:numId w:val="2"/>
        </w:numPr>
        <w:spacing w:after="90" w:line="276"/>
        <w:jc w:val="both"/>
      </w:pPr>
      <w:r>
        <w:rPr>
          <w:sz w:val="20"/>
          <w:szCs w:val="20"/>
        </w:rPr>
        <w:t xml:space="preserve">Guarda automáticamente una versión, que es la línea base del proyecto.</w:t>
      </w:r>
    </w:p>
    <w:p>
      <w:pPr>
        <w:pStyle w:val="ListParagraph"/>
        <w:numPr>
          <w:ilvl w:val="0"/>
          <w:numId w:val="2"/>
        </w:numPr>
        <w:spacing w:after="90" w:line="276"/>
        <w:jc w:val="both"/>
      </w:pPr>
      <w:r>
        <w:rPr>
          <w:sz w:val="20"/>
          <w:szCs w:val="20"/>
        </w:rPr>
        <w:t>Pone la mesa de trabajo en solo lectura: a partir de ahora la línea base no se toca. Para corregir algo hay que reabrir el proyecto (9.3).</w:t>
      </w:r>
    </w:p>
    <w:p>
      <w:pPr>
        <w:pStyle w:val="ListParagraph"/>
        <w:numPr>
          <w:ilvl w:val="0"/>
          <w:numId w:val="2"/>
        </w:numPr>
        <w:spacing w:after="90" w:line="276"/>
        <w:jc w:val="both"/>
      </w:pPr>
      <w:r>
        <w:rPr>
          <w:sz w:val="20"/>
          <w:szCs w:val="20"/>
        </w:rPr>
        <w:t>Ancla cada actividad, de forma definitiva, a la versión del APU que usó. Activar un proyecto no bloquea la edición del APU en el catálogo, ni debe hacerlo. El APU sigue editándose y sigue generando versiones nuevas; lo que queda fijo es la versión a la que apunta el ítem, y eso basta para que el valor del proyecto no cambie por detrás.</w:t>
      </w:r>
    </w:p>
    <w:p>
      <w:pPr>
        <w:pStyle w:val="ListParagraph"/>
        <w:numPr>
          <w:ilvl w:val="0"/>
          <w:numId w:val="2"/>
        </w:numPr>
        <w:spacing w:after="90" w:line="276"/>
        <w:jc w:val="both"/>
      </w:pPr>
      <w:r>
        <w:rPr>
          <w:sz w:val="20"/>
          <w:szCs w:val="20"/>
        </w:rPr>
        <w:t xml:space="preserve">Registra el evento en el historial.</w:t>
      </w:r>
    </w:p>
    <w:p>
      <w:pPr>
        <w:spacing w:after="120"/>
      </w:pPr>
      <w:r>
        <w:t>El botón «Aprobar y Activar Proyecto» rechaza dos casos con dos mensajes distintos: un presupuesto sin ninguna actividad («el presupuesto no tiene actividades») y uno cuyo valor total sea cero («revise las cantidades de obra»). El segundo es el caso de quien armó el árbol de capítulos y dejó todas las cantidades en cero. Ambos se rechazan también en el servidor, no solo en la pantalla (D-20).</w:t>
      </w:r>
    </w:p>
    <w:p>
      <w:pPr>
        <w:pStyle w:val="Heading2"/>
        <w:spacing w:after="120" w:before="300"/>
      </w:pPr>
      <w:r>
        <w:rPr>
          <w:b/>
          <w:bCs/>
          <w:color w:val="1F2933"/>
          <w:sz w:val="23"/>
          <w:szCs w:val="23"/>
        </w:rPr>
        <w:t xml:space="preserve">9.2 Cerrar el proyecto</w:t>
      </w:r>
    </w:p>
    <w:p>
      <w:pPr>
        <w:spacing w:after="120" w:before="0" w:line="276"/>
        <w:jc w:val="both"/>
      </w:pPr>
      <w:r>
        <w:rPr>
          <w:sz w:val="20"/>
          <w:szCs w:val="20"/>
        </w:rPr>
        <w:t>Cuando la obra concluye o se cancela, el Administrador usa «Cerrar Proyecto». El estado pasa a Cerrado, el proyecto queda archivado en modo histórico y no admite ningún cambio. Se guarda automáticamente una versión.</w:t>
      </w:r>
    </w:p>
    <w:p>
      <w:pPr>
        <w:spacing w:after="120" w:before="0" w:line="276"/>
        <w:jc w:val="both"/>
      </w:pPr>
      <w:r>
        <w:rPr>
          <w:sz w:val="20"/>
          <w:szCs w:val="20"/>
        </w:rPr>
        <w:t xml:space="preserve">Un proyecto Cerrado no se puede reabrir. Si una obra cerrada debe retomarse, se duplica y el duplicado nace Abierto.</w:t>
      </w:r>
    </w:p>
    <w:p>
      <w:pPr>
        <w:pStyle w:val="Heading2"/>
        <w:spacing w:after="120" w:before="300"/>
      </w:pPr>
      <w:r>
        <w:rPr>
          <w:b/>
          <w:bCs/>
          <w:color w:val="1F2933"/>
          <w:sz w:val="23"/>
          <w:szCs w:val="23"/>
        </w:rPr>
        <w:t xml:space="preserve">9.3 Reabrir un proyecto activo</w:t>
      </w:r>
    </w:p>
    <w:p>
      <w:pPr>
        <w:spacing w:after="120" w:before="0" w:line="276"/>
        <w:jc w:val="both"/>
      </w:pPr>
      <w:r>
        <w:rPr>
          <w:sz w:val="20"/>
          <w:szCs w:val="20"/>
        </w:rPr>
        <w:t xml:space="preserve">Es el único mecanismo del MVP para modificar un presupuesto ya activado. Solo está disponible para el Administrador.</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900"/>
        <w:gridCol w:w="8120"/>
      </w:tblGrid>
      <w:tr>
        <w:trPr>
          <w:cantSplit/>
          <w:tblHeader/>
        </w:trPr>
        <w:tc>
          <w:tcPr>
            <w:tcW w:type="dxa" w:w="9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Paso</w:t>
            </w:r>
          </w:p>
        </w:tc>
        <w:tc>
          <w:tcPr>
            <w:tcW w:type="dxa" w:w="81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1</w:t>
            </w:r>
          </w:p>
        </w:tc>
        <w:tc>
          <w:tcPr>
            <w:tcW w:type="dxa" w:w="8120"/>
            <w:shd w:fill="auto" w:color="auto" w:val="clear"/>
            <w:tcMar>
              <w:top w:type="dxa" w:w="70"/>
              <w:left w:type="dxa" w:w="110"/>
              <w:bottom w:type="dxa" w:w="70"/>
              <w:right w:type="dxa" w:w="110"/>
            </w:tcMar>
          </w:tcPr>
          <w:p>
            <w:pPr>
              <w:spacing w:after="40" w:before="40" w:line="240"/>
              <w:jc w:val="left"/>
            </w:pPr>
            <w:r>
              <w:rPr>
                <w:sz w:val="18"/>
                <w:szCs w:val="18"/>
              </w:rPr>
              <w:t xml:space="preserve">En la barra superior de un proyecto Activo aparece «Reabrir Presupuesto». Al pulsarlo se abre un pop-out que obliga a escribir la justificación del retorno. No se puede continuar sin ella.</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2</w:t>
            </w:r>
          </w:p>
        </w:tc>
        <w:tc>
          <w:tcPr>
            <w:tcW w:type="dxa" w:w="8120"/>
            <w:shd w:fill="F7F9FA" w:color="auto" w:val="clear"/>
            <w:tcMar>
              <w:top w:type="dxa" w:w="70"/>
              <w:left w:type="dxa" w:w="110"/>
              <w:bottom w:type="dxa" w:w="70"/>
              <w:right w:type="dxa" w:w="110"/>
            </w:tcMar>
          </w:tcPr>
          <w:p>
            <w:pPr>
              <w:spacing w:after="40" w:before="40" w:line="240"/>
              <w:jc w:val="left"/>
            </w:pPr>
            <w:r>
              <w:rPr>
                <w:sz w:val="18"/>
                <w:szCs w:val="18"/>
              </w:rPr>
              <w:t xml:space="preserve">Al guardar, el sistema guarda automáticamente una versión con el estado actual, para que la línea base anterior quede consultable.</w:t>
            </w:r>
          </w:p>
        </w:tc>
      </w:tr>
      <w:tr>
        <w:trPr>
          <w:cantSplit/>
        </w:trPr>
        <w:tc>
          <w:tcPr>
            <w:tcW w:type="dxa" w:w="900"/>
            <w:shd w:fill="auto" w:color="auto" w:val="clear"/>
            <w:tcMar>
              <w:top w:type="dxa" w:w="70"/>
              <w:left w:type="dxa" w:w="110"/>
              <w:bottom w:type="dxa" w:w="70"/>
              <w:right w:type="dxa" w:w="110"/>
            </w:tcMar>
          </w:tcPr>
          <w:p>
            <w:pPr>
              <w:spacing w:after="40" w:before="40" w:line="240"/>
              <w:jc w:val="left"/>
            </w:pPr>
            <w:r>
              <w:rPr>
                <w:sz w:val="18"/>
                <w:szCs w:val="18"/>
              </w:rPr>
              <w:t xml:space="preserve">3</w:t>
            </w:r>
          </w:p>
        </w:tc>
        <w:tc>
          <w:tcPr>
            <w:tcW w:type="dxa" w:w="8120"/>
            <w:shd w:fill="auto" w:color="auto" w:val="clear"/>
            <w:tcMar>
              <w:top w:type="dxa" w:w="70"/>
              <w:left w:type="dxa" w:w="110"/>
              <w:bottom w:type="dxa" w:w="70"/>
              <w:right w:type="dxa" w:w="110"/>
            </w:tcMar>
          </w:tcPr>
          <w:p>
            <w:pPr>
              <w:spacing w:after="40" w:before="40" w:line="240"/>
              <w:jc w:val="left"/>
            </w:pPr>
            <w:r>
              <w:rPr>
                <w:sz w:val="18"/>
                <w:szCs w:val="18"/>
              </w:rPr>
              <w:t xml:space="preserve">El proyecto vuelve a estado Abierto y la mesa de trabajo se habilita para edición. La reapertura queda en el historial con fecha, hora, usuario y justificación. El botón no cambia el estado por su cuenta: el servidor llama a la función de reapertura de la base, que es el único camino que esta acepta. Por eso la justificación no es un campo que la pantalla pueda omitir.</w:t>
            </w:r>
          </w:p>
        </w:tc>
      </w:tr>
      <w:tr>
        <w:trPr>
          <w:cantSplit/>
        </w:trPr>
        <w:tc>
          <w:tcPr>
            <w:tcW w:type="dxa" w:w="900"/>
            <w:shd w:fill="F7F9FA" w:color="auto" w:val="clear"/>
            <w:tcMar>
              <w:top w:type="dxa" w:w="70"/>
              <w:left w:type="dxa" w:w="110"/>
              <w:bottom w:type="dxa" w:w="70"/>
              <w:right w:type="dxa" w:w="110"/>
            </w:tcMar>
          </w:tcPr>
          <w:p>
            <w:pPr>
              <w:spacing w:after="40" w:before="40" w:line="240"/>
              <w:jc w:val="left"/>
            </w:pPr>
            <w:r>
              <w:rPr>
                <w:sz w:val="18"/>
                <w:szCs w:val="18"/>
              </w:rPr>
              <w:t xml:space="preserve">4</w:t>
            </w:r>
          </w:p>
        </w:tc>
        <w:tc>
          <w:tcPr>
            <w:tcW w:type="dxa" w:w="8120"/>
            <w:shd w:fill="F7F9FA" w:color="auto" w:val="clear"/>
            <w:tcMar>
              <w:top w:type="dxa" w:w="70"/>
              <w:left w:type="dxa" w:w="110"/>
              <w:bottom w:type="dxa" w:w="70"/>
              <w:right w:type="dxa" w:w="110"/>
            </w:tcMar>
          </w:tcPr>
          <w:p>
            <w:pPr>
              <w:spacing w:after="40" w:before="40" w:line="240"/>
              <w:jc w:val="left"/>
            </w:pPr>
            <w:r>
              <w:rPr>
                <w:sz w:val="18"/>
                <w:szCs w:val="18"/>
              </w:rPr>
              <w:t xml:space="preserve">Al volver a activar, se guarda una versión nueva que pasa a ser la línea base vigente.</w:t>
            </w:r>
          </w:p>
        </w:tc>
      </w:tr>
    </w:tbl>
    <w:p>
      <w:pPr>
        <w:spacing w:after="120" w:before="0" w:line="276"/>
        <w:jc w:val="both"/>
      </w:pPr>
      <w:r>
        <w:rPr>
          <w:sz w:val="20"/>
          <w:szCs w:val="20"/>
        </w:rPr>
        <w:t>La reapertura no pierde nada: la versión guardada al reabrir conserva el estado anterior, y la que se guarda al volver a activar pasa a ser la línea base vigente. Las dos quedan consultables lado a lado en el historial.</w:t>
      </w:r>
    </w:p>
    <w:p>
      <w:pPr>
        <w:spacing w:after="60"/>
      </w:pPr>
    </w:p>
    <w:p>
      <w:pPr>
        <w:spacing w:after="120"/>
      </w:pPr>
      <w:r>
        <w:t>Con el proyecto reabierto la mesa de trabajo se comporta igual que en estado Abierto: se edita todo —capítulos, actividades, cantidades, AIU e IVA— y la única huella que queda es el evento de reapertura con su justificación, que nadie puede borrar.</w:t>
      </w:r>
    </w:p>
    <w:p>
      <w:pPr>
        <w:pStyle w:val="Heading2"/>
        <w:spacing w:after="120" w:before="300"/>
      </w:pPr>
      <w:r>
        <w:rPr>
          <w:b/>
          <w:bCs/>
          <w:color w:val="1F2933"/>
          <w:sz w:val="23"/>
          <w:szCs w:val="23"/>
        </w:rPr>
        <w:t xml:space="preserve">9.4 Duplicar</w:t>
      </w:r>
    </w:p>
    <w:p>
      <w:pPr>
        <w:spacing w:after="120" w:before="0" w:line="276"/>
        <w:jc w:val="both"/>
      </w:pPr>
      <w:r>
        <w:rPr>
          <w:sz w:val="20"/>
          <w:szCs w:val="20"/>
        </w:rPr>
        <w:t>El botón «Duplicar Proyecto» está disponible en el encabezado en cualquier estado. Clona toda la estructura —capítulos, subcapítulos, actividades y cantidades— y genera una copia en estado Abierto. El usuario asigna el código del proyecto nuevo. La copia toma exactamente lo que tenía el original: la misma versión de cada APU, los mismos precios unitarios y los mismos tres porcentajes de AIU. La copia nace Abierta (D-19). Antes de confirmar, el diálogo lista los APU que quedaron desactualizados —los que apuntan a una versión distinta de la vigente— con su precio en el original y su precio de hoy, y ofrece actualizarlos, mostrando el valor total antes y después. Al duplicar un proyecto cerrado hace dos años se va a marcar casi todo, y eso es precisamente el valor de la función: el sistema está avisando de que se van a reutilizar precios viejos.</w:t>
      </w:r>
    </w:p>
    <w:p>
      <w:pPr>
        <w:pStyle w:val="Heading2"/>
        <w:spacing w:after="120" w:before="300"/>
      </w:pPr>
      <w:r>
        <w:rPr>
          <w:b/>
          <w:bCs/>
          <w:color w:val="1F2933"/>
          <w:sz w:val="23"/>
          <w:szCs w:val="23"/>
        </w:rPr>
        <w:t xml:space="preserve">9.5 Exportar</w:t>
      </w:r>
    </w:p>
    <w:p>
      <w:pPr>
        <w:spacing w:after="120" w:before="0" w:line="276"/>
        <w:jc w:val="both"/>
      </w:pPr>
      <w:r>
        <w:rPr>
          <w:sz w:val="20"/>
          <w:szCs w:val="20"/>
        </w:rPr>
        <w:t>El botón «Exportar» genera salidas enfocadas estrictamente en la estructura del presupuesto. Ninguna de las dos incluye el desglose interno de los APU ni sus insumos.</w:t>
      </w:r>
    </w:p>
    <w:p>
      <w:pPr>
        <w:pStyle w:val="Heading3"/>
        <w:spacing w:after="100" w:before="220"/>
      </w:pPr>
      <w:r>
        <w:rPr>
          <w:b/>
          <w:bCs/>
          <w:color w:val="5A6874"/>
          <w:sz w:val="20"/>
          <w:szCs w:val="20"/>
        </w:rPr>
        <w:t xml:space="preserve">Excel</w:t>
      </w:r>
    </w:p>
    <w:p>
      <w:pPr>
        <w:pStyle w:val="ListParagraph"/>
        <w:numPr>
          <w:ilvl w:val="0"/>
          <w:numId w:val="2"/>
        </w:numPr>
        <w:spacing w:after="90" w:line="276"/>
        <w:jc w:val="both"/>
      </w:pPr>
      <w:r>
        <w:rPr>
          <w:sz w:val="20"/>
          <w:szCs w:val="20"/>
        </w:rPr>
        <w:t xml:space="preserve">Una sola hoja ordenada por los niveles jerárquicos del presupuesto.</w:t>
      </w:r>
    </w:p>
    <w:p>
      <w:pPr>
        <w:pStyle w:val="ListParagraph"/>
        <w:numPr>
          <w:ilvl w:val="0"/>
          <w:numId w:val="2"/>
        </w:numPr>
        <w:spacing w:after="90" w:line="276"/>
        <w:jc w:val="both"/>
      </w:pPr>
      <w:r>
        <w:rPr>
          <w:sz w:val="20"/>
          <w:szCs w:val="20"/>
        </w:rPr>
        <w:t xml:space="preserve">Usa la función nativa de esquemas y agrupación de filas de Excel, con los controles (+ / −) que permiten contraer y expandir capítulos y subcapítulos. El nivel mínimo de desglose son las actividades.</w:t>
      </w:r>
    </w:p>
    <w:p>
      <w:pPr>
        <w:pStyle w:val="ListParagraph"/>
        <w:numPr>
          <w:ilvl w:val="0"/>
          <w:numId w:val="2"/>
        </w:numPr>
        <w:spacing w:after="90" w:line="276"/>
        <w:jc w:val="both"/>
      </w:pPr>
      <w:r>
        <w:rPr>
          <w:sz w:val="20"/>
          <w:szCs w:val="20"/>
        </w:rPr>
        <w:t xml:space="preserve">Valores numéricos planos, sin fórmulas: código, descripción, unidad, cantidad, precio unitario y total por fila y por nivel acumulado.</w:t>
      </w:r>
    </w:p>
    <w:p>
      <w:pPr>
        <w:pStyle w:val="Heading3"/>
        <w:spacing w:after="100" w:before="220"/>
      </w:pPr>
      <w:r>
        <w:rPr>
          <w:b/>
          <w:bCs/>
          <w:color w:val="5A6874"/>
          <w:sz w:val="20"/>
          <w:szCs w:val="20"/>
        </w:rPr>
        <w:t xml:space="preserve">PDF</w:t>
      </w:r>
    </w:p>
    <w:p>
      <w:pPr>
        <w:pStyle w:val="ListParagraph"/>
        <w:numPr>
          <w:ilvl w:val="0"/>
          <w:numId w:val="2"/>
        </w:numPr>
        <w:spacing w:after="90" w:line="276"/>
        <w:jc w:val="both"/>
      </w:pPr>
      <w:r>
        <w:rPr>
          <w:sz w:val="20"/>
          <w:szCs w:val="20"/>
        </w:rPr>
        <w:t xml:space="preserve">Documento corporativo limpio, con el logo y el NIT de la empresa en el encabezado, tomados de la configuración.</w:t>
      </w:r>
    </w:p>
    <w:p>
      <w:pPr>
        <w:pStyle w:val="ListParagraph"/>
        <w:numPr>
          <w:ilvl w:val="0"/>
          <w:numId w:val="2"/>
        </w:numPr>
        <w:spacing w:after="90" w:line="276"/>
        <w:jc w:val="both"/>
      </w:pPr>
      <w:r>
        <w:rPr>
          <w:sz w:val="20"/>
          <w:szCs w:val="20"/>
        </w:rPr>
        <w:t xml:space="preserve">La WBS en una tabla jerárquica, con estilos que distingan visualmente capítulos, subcapítulos y actividades con sus costos.</w:t>
      </w:r>
    </w:p>
    <w:p>
      <w:pPr>
        <w:spacing w:after="120" w:before="0" w:line="276"/>
        <w:jc w:val="both"/>
      </w:pPr>
      <w:r>
        <w:rPr>
          <w:sz w:val="20"/>
          <w:szCs w:val="20"/>
        </w:rPr>
        <w:t xml:space="preserve">Al exportar una versión específica en lugar del estado actual, el documento debe indicar el número de versión.</w:t>
      </w:r>
    </w:p>
    <w:p>
      <w:pPr>
        <w:pStyle w:val="Heading2"/>
        <w:spacing w:after="120"/>
      </w:pPr>
      <w:r>
        <w:rPr/>
        <w:t>9.6 Archivar un proyecto</w:t>
      </w:r>
    </w:p>
    <w:p>
      <w:pPr>
        <w:spacing w:after="120"/>
      </w:pPr>
      <w:r>
        <w:t>En el encabezado de la mesa de trabajo, junto a «Duplicar», está «Archivar proyecto». Está disponible en cualquier estado y es reversible. Archivar no borra nada y no cambia el estado del proyecto: lo saca de la vista maestra, que por defecto muestra solo los no archivados y ofrece una casilla «Ver archivados».</w:t>
      </w:r>
    </w:p>
    <w:p>
      <w:pPr>
        <w:spacing w:after="120"/>
      </w:pPr>
      <w:r>
        <w:t>Es la respuesta a la licitación que no se ganó. La transición Abierto → Cerrado no existe y no debe existir: «Cerrado» significa obra terminada, y usar ese estado para «licitación perdida» arruina cualquier métrica que después se saque del estado (D-18).</w:t>
      </w:r>
    </w:p>
    <w:p>
      <w:pPr>
        <w:pStyle w:val="Heading2"/>
        <w:spacing w:after="120"/>
      </w:pPr>
      <w:r>
        <w:rPr/>
        <w:t>9.7 Eliminar un proyecto</w:t>
      </w:r>
    </w:p>
    <w:p>
      <w:pPr>
        <w:spacing w:after="120"/>
      </w:pPr>
      <w:r>
        <w:t>El control solo aparece para el Administrador y solo en proyectos que nunca fueron activados. La confirmación advierte que se borran también sus versiones y su historial, y pide escribir el motivo.</w:t>
      </w:r>
    </w:p>
    <w:p>
      <w:pPr>
        <w:spacing w:after="120"/>
      </w:pPr>
      <w:r>
        <w:t>En un proyecto que alguna vez estuvo Activo el control no se muestra. Si se llega por otra vía, el mensaje dice que su línea base es registro contractual y ofrece archivarlo (D-18).</w:t>
      </w:r>
    </w:p>
    <w:p>
      <w:pPr>
        <w:pStyle w:val="Heading1"/>
        <w:pBdr>
          <w:bottom w:val="single" w:color="13496B" w:sz="10" w:space="6"/>
        </w:pBdr>
        <w:spacing w:after="180" w:before="420"/>
      </w:pPr>
      <w:r>
        <w:rPr>
          <w:b/>
          <w:bCs/>
          <w:color w:val="13496B"/>
          <w:sz w:val="30"/>
          <w:szCs w:val="30"/>
        </w:rPr>
        <w:t>10. Versiones e historial</w:t>
      </w:r>
    </w:p>
    <w:p>
      <w:pPr>
        <w:pStyle w:val="Heading2"/>
        <w:spacing w:after="120" w:before="300"/>
      </w:pPr>
      <w:r>
        <w:rPr>
          <w:b/>
          <w:bCs/>
          <w:color w:val="1F2933"/>
          <w:sz w:val="23"/>
          <w:szCs w:val="23"/>
        </w:rPr>
        <w:t>10.1 Versiones del presupuesto</w:t>
      </w:r>
    </w:p>
    <w:p>
      <w:pPr>
        <w:spacing w:after="120" w:before="0" w:line="276"/>
        <w:jc w:val="both"/>
      </w:pPr>
      <w:r>
        <w:rPr>
          <w:sz w:val="20"/>
          <w:szCs w:val="20"/>
        </w:rPr>
        <w:t xml:space="preserve">Una versión es una fotografía completa del presupuesto en un instante: todos los ítems, precios, cantidades, porcentajes de AIU y totales tal como estaban. Se guardan en cuatro momentos:</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4400"/>
        <w:gridCol w:w="4620"/>
      </w:tblGrid>
      <w:tr>
        <w:trPr>
          <w:cantSplit/>
          <w:tblHeader/>
        </w:trPr>
        <w:tc>
          <w:tcPr>
            <w:tcW w:type="dxa" w:w="4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Momento</w:t>
            </w:r>
          </w:p>
        </w:tc>
        <w:tc>
          <w:tcPr>
            <w:tcW w:type="dxa" w:w="4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Tipo</w:t>
            </w:r>
          </w:p>
        </w:tc>
      </w:tr>
      <w:tr>
        <w:trPr>
          <w:cantSplit/>
        </w:trPr>
        <w:tc>
          <w:tcPr>
            <w:tcW w:type="dxa" w:w="4400"/>
            <w:shd w:fill="auto" w:color="auto" w:val="clear"/>
            <w:tcMar>
              <w:top w:type="dxa" w:w="70"/>
              <w:left w:type="dxa" w:w="110"/>
              <w:bottom w:type="dxa" w:w="70"/>
              <w:right w:type="dxa" w:w="110"/>
            </w:tcMar>
          </w:tcPr>
          <w:p>
            <w:pPr>
              <w:spacing w:after="40" w:before="40" w:line="240"/>
              <w:jc w:val="left"/>
            </w:pPr>
            <w:r>
              <w:rPr>
                <w:sz w:val="18"/>
                <w:szCs w:val="18"/>
              </w:rPr>
              <w:t xml:space="preserve">Al pasar de Abierto a Activo</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Automática — es la línea base</w:t>
            </w:r>
          </w:p>
        </w:tc>
      </w:tr>
      <w:tr>
        <w:trPr>
          <w:cantSplit/>
        </w:trPr>
        <w:tc>
          <w:tcPr>
            <w:tcW w:type="dxa" w:w="4400"/>
            <w:shd w:fill="F7F9FA" w:color="auto" w:val="clear"/>
            <w:tcMar>
              <w:top w:type="dxa" w:w="70"/>
              <w:left w:type="dxa" w:w="110"/>
              <w:bottom w:type="dxa" w:w="70"/>
              <w:right w:type="dxa" w:w="110"/>
            </w:tcMar>
          </w:tcPr>
          <w:p>
            <w:pPr>
              <w:spacing w:after="40" w:before="40" w:line="240"/>
              <w:jc w:val="left"/>
            </w:pPr>
            <w:r>
              <w:rPr>
                <w:sz w:val="18"/>
                <w:szCs w:val="18"/>
              </w:rPr>
              <w:t xml:space="preserve">Al reabrir un proyecto Activo</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Automática — preserva la línea base anterior</w:t>
            </w:r>
          </w:p>
        </w:tc>
      </w:tr>
      <w:tr>
        <w:trPr>
          <w:cantSplit/>
        </w:trPr>
        <w:tc>
          <w:tcPr>
            <w:tcW w:type="dxa" w:w="4400"/>
            <w:shd w:fill="auto" w:color="auto" w:val="clear"/>
            <w:tcMar>
              <w:top w:type="dxa" w:w="70"/>
              <w:left w:type="dxa" w:w="110"/>
              <w:bottom w:type="dxa" w:w="70"/>
              <w:right w:type="dxa" w:w="110"/>
            </w:tcMar>
          </w:tcPr>
          <w:p>
            <w:pPr>
              <w:spacing w:after="40" w:before="40" w:line="240"/>
              <w:jc w:val="left"/>
            </w:pPr>
            <w:r>
              <w:rPr>
                <w:sz w:val="18"/>
                <w:szCs w:val="18"/>
              </w:rPr>
              <w:t xml:space="preserve">Al pasar de Activo a Cerrado</w:t>
            </w:r>
          </w:p>
        </w:tc>
        <w:tc>
          <w:tcPr>
            <w:tcW w:type="dxa" w:w="4620"/>
            <w:shd w:fill="auto" w:color="auto" w:val="clear"/>
            <w:tcMar>
              <w:top w:type="dxa" w:w="70"/>
              <w:left w:type="dxa" w:w="110"/>
              <w:bottom w:type="dxa" w:w="70"/>
              <w:right w:type="dxa" w:w="110"/>
            </w:tcMar>
          </w:tcPr>
          <w:p>
            <w:pPr>
              <w:spacing w:after="40" w:before="40" w:line="240"/>
              <w:jc w:val="left"/>
            </w:pPr>
            <w:r>
              <w:rPr>
                <w:sz w:val="18"/>
                <w:szCs w:val="18"/>
              </w:rPr>
              <w:t xml:space="preserve">Automática</w:t>
            </w:r>
          </w:p>
        </w:tc>
      </w:tr>
      <w:tr>
        <w:trPr>
          <w:cantSplit/>
        </w:trPr>
        <w:tc>
          <w:tcPr>
            <w:tcW w:type="dxa" w:w="4400"/>
            <w:shd w:fill="F7F9FA" w:color="auto" w:val="clear"/>
            <w:tcMar>
              <w:top w:type="dxa" w:w="70"/>
              <w:left w:type="dxa" w:w="110"/>
              <w:bottom w:type="dxa" w:w="70"/>
              <w:right w:type="dxa" w:w="110"/>
            </w:tcMar>
          </w:tcPr>
          <w:p>
            <w:pPr>
              <w:spacing w:after="40" w:before="40" w:line="240"/>
              <w:jc w:val="left"/>
            </w:pPr>
            <w:r>
              <w:rPr>
                <w:sz w:val="18"/>
                <w:szCs w:val="18"/>
              </w:rPr>
              <w:t xml:space="preserve">Cuando el usuario pulsa «Guardar versión»</w:t>
            </w:r>
          </w:p>
        </w:tc>
        <w:tc>
          <w:tcPr>
            <w:tcW w:type="dxa" w:w="4620"/>
            <w:shd w:fill="F7F9FA" w:color="auto" w:val="clear"/>
            <w:tcMar>
              <w:top w:type="dxa" w:w="70"/>
              <w:left w:type="dxa" w:w="110"/>
              <w:bottom w:type="dxa" w:w="70"/>
              <w:right w:type="dxa" w:w="110"/>
            </w:tcMar>
          </w:tcPr>
          <w:p>
            <w:pPr>
              <w:spacing w:after="40" w:before="40" w:line="240"/>
              <w:jc w:val="left"/>
            </w:pPr>
            <w:r>
              <w:rPr>
                <w:sz w:val="18"/>
                <w:szCs w:val="18"/>
              </w:rPr>
              <w:t xml:space="preserve">Manual — el motivo es obligatorio</w:t>
            </w:r>
          </w:p>
        </w:tc>
      </w:tr>
    </w:tbl>
    <w:p>
      <w:pPr>
        <w:spacing w:after="120" w:before="0" w:line="276"/>
        <w:jc w:val="both"/>
      </w:pPr>
      <w:r>
        <w:rPr>
          <w:sz w:val="20"/>
          <w:szCs w:val="20"/>
        </w:rPr>
        <w:t xml:space="preserve">El botón «Ver historial de versiones» muestra la lista con número, fecha, motivo y usuario que la generó. Desde ahí se puede consultar una versión en modo solo lectura —el presupuesto tal como estaba, sin posibilidad de editar— o exportarla a PDF o Excel.</w:t>
      </w:r>
    </w:p>
    <w:p>
      <w:pPr>
        <w:pStyle w:val="Heading2"/>
        <w:spacing w:after="120" w:before="300"/>
      </w:pPr>
      <w:r>
        <w:rPr>
          <w:b/>
          <w:bCs/>
          <w:color w:val="1F2933"/>
          <w:sz w:val="23"/>
          <w:szCs w:val="23"/>
        </w:rPr>
        <w:t>10.2 Historial de cambios</w:t>
      </w:r>
    </w:p>
    <w:p>
      <w:pPr>
        <w:spacing w:after="120" w:before="0" w:line="276"/>
        <w:jc w:val="both"/>
      </w:pPr>
      <w:r>
        <w:rPr>
          <w:sz w:val="20"/>
          <w:szCs w:val="20"/>
        </w:rPr>
        <w:t xml:space="preserve">Un botón «Ver historial de cambios» en la barra del proyecto abre un panel lateral con la lista cronológica descendente de eventos. Cada línea muestra fecha, usuario, tipo de evento, descripción del cambio y el valor anterior frente al nuevo.</w:t>
      </w:r>
    </w:p>
    <w:p>
      <w:pPr>
        <w:spacing w:after="120" w:before="0" w:line="276"/>
        <w:jc w:val="both"/>
      </w:pPr>
      <w:r>
        <w:rPr>
          <w:sz w:val="20"/>
          <w:szCs w:val="20"/>
        </w:rPr>
        <w:t>Los escribe la base de datos, no el backend (D-45): la aplicación no tiene permiso para insertar en el historial, así que no puede omitir un evento ni firmarlo a nombre de otro usuario. El autor sale del contexto de la transacción. Eventos que se registran automáticamente:</w:t>
      </w:r>
    </w:p>
    <w:p>
      <w:pPr>
        <w:pStyle w:val="ListParagraph"/>
        <w:numPr>
          <w:ilvl w:val="0"/>
          <w:numId w:val="2"/>
        </w:numPr>
        <w:spacing w:after="90" w:line="276"/>
        <w:jc w:val="both"/>
      </w:pPr>
      <w:r>
        <w:rPr>
          <w:sz w:val="20"/>
          <w:szCs w:val="20"/>
        </w:rPr>
        <w:t xml:space="preserve">Cambio de estado del proyecto.</w:t>
      </w:r>
    </w:p>
    <w:p>
      <w:pPr>
        <w:pStyle w:val="ListParagraph"/>
        <w:numPr>
          <w:ilvl w:val="0"/>
          <w:numId w:val="2"/>
        </w:numPr>
        <w:spacing w:after="90" w:line="276"/>
        <w:jc w:val="both"/>
      </w:pPr>
      <w:r>
        <w:rPr>
          <w:sz w:val="20"/>
          <w:szCs w:val="20"/>
        </w:rPr>
        <w:t xml:space="preserve">Reapertura, con su justificación.</w:t>
      </w:r>
    </w:p>
    <w:p>
      <w:pPr>
        <w:pStyle w:val="ListParagraph"/>
        <w:numPr>
          <w:ilvl w:val="0"/>
          <w:numId w:val="2"/>
        </w:numPr>
        <w:spacing w:after="90" w:line="276"/>
        <w:jc w:val="both"/>
      </w:pPr>
      <w:r>
        <w:rPr>
          <w:sz w:val="20"/>
          <w:szCs w:val="20"/>
        </w:rPr>
        <w:t xml:space="preserve">Ítem agregado o eliminado del presupuesto.</w:t>
      </w:r>
    </w:p>
    <w:p>
      <w:pPr>
        <w:pStyle w:val="ListParagraph"/>
        <w:numPr>
          <w:ilvl w:val="0"/>
          <w:numId w:val="2"/>
        </w:numPr>
        <w:spacing w:after="90" w:line="276"/>
        <w:jc w:val="both"/>
      </w:pPr>
      <w:r>
        <w:rPr>
          <w:sz w:val="20"/>
          <w:szCs w:val="20"/>
        </w:rPr>
        <w:t xml:space="preserve">Cantidad de obra modificada.</w:t>
      </w:r>
    </w:p>
    <w:p>
      <w:pPr>
        <w:pStyle w:val="ListParagraph"/>
        <w:numPr>
          <w:ilvl w:val="0"/>
          <w:numId w:val="2"/>
        </w:numPr>
        <w:spacing w:after="90" w:line="276"/>
        <w:jc w:val="both"/>
      </w:pPr>
      <w:r>
        <w:rPr>
          <w:sz w:val="20"/>
          <w:szCs w:val="20"/>
        </w:rPr>
        <w:t xml:space="preserve">Precio unitario modificado.</w:t>
      </w:r>
    </w:p>
    <w:p>
      <w:pPr>
        <w:pStyle w:val="ListParagraph"/>
        <w:numPr>
          <w:ilvl w:val="0"/>
          <w:numId w:val="2"/>
        </w:numPr>
        <w:spacing w:after="90" w:line="276"/>
        <w:jc w:val="both"/>
      </w:pPr>
      <w:r>
        <w:rPr>
          <w:sz w:val="20"/>
          <w:szCs w:val="20"/>
        </w:rPr>
        <w:t xml:space="preserve">Capítulo agregado o eliminado.</w:t>
      </w:r>
    </w:p>
    <w:p>
      <w:pPr>
        <w:pStyle w:val="ListParagraph"/>
        <w:numPr>
          <w:ilvl w:val="0"/>
          <w:numId w:val="2"/>
        </w:numPr>
        <w:spacing w:after="90" w:line="276"/>
        <w:jc w:val="both"/>
      </w:pPr>
      <w:r>
        <w:rPr>
          <w:sz w:val="20"/>
          <w:szCs w:val="20"/>
        </w:rPr>
        <w:t>AIU o IVA modificados.</w:t>
      </w:r>
    </w:p>
    <w:p>
      <w:pPr>
        <w:pStyle w:val="ListParagraph"/>
        <w:numPr>
          <w:ilvl w:val="0"/>
          <w:numId w:val="2"/>
        </w:numPr>
        <w:spacing w:after="90" w:line="276"/>
        <w:jc w:val="both"/>
      </w:pPr>
      <w:r>
        <w:rPr>
          <w:sz w:val="20"/>
          <w:szCs w:val="20"/>
        </w:rPr>
        <w:t>Presupuesto archivado, desarchivado o eliminado.</w:t>
      </w:r>
    </w:p>
    <w:p>
      <w:pPr>
        <w:pStyle w:val="ListParagraph"/>
        <w:numPr>
          <w:ilvl w:val="0"/>
          <w:numId w:val="2"/>
        </w:numPr>
        <w:spacing w:after="90" w:line="276"/>
        <w:jc w:val="both"/>
      </w:pPr>
      <w:r>
        <w:rPr>
          <w:sz w:val="20"/>
          <w:szCs w:val="20"/>
        </w:rPr>
        <w:t>Precio de un recurso modificado.</w:t>
      </w:r>
    </w:p>
    <w:p>
      <w:pPr>
        <w:spacing w:after="120" w:before="0" w:line="276"/>
        <w:jc w:val="both"/>
      </w:pPr>
      <w:r>
        <w:rPr>
          <w:sz w:val="20"/>
          <w:szCs w:val="20"/>
        </w:rPr>
        <w:t xml:space="preserve">El panel tiene filtros por rango de fechas, por tipo de evento y por usuario responsable.</w:t>
      </w: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El historial no se edita</w:t>
            </w:r>
          </w:p>
          <w:p>
            <w:pPr>
              <w:spacing w:after="40" w:line="276"/>
              <w:jc w:val="both"/>
            </w:pPr>
            <w:r>
              <w:rPr>
                <w:sz w:val="19"/>
                <w:szCs w:val="19"/>
              </w:rPr>
              <w:t>Ningún usuario, de ningún rol, ni siquiera el Administrador, puede editar o eliminar un registro del historial o una versión. La interfaz no debe ofrecer esos controles, y si alguien intenta la operación por otra vía, la base de datos la rechaza. La única excepción es eliminar un presupuesto que nunca se activó (§9.7, RF-PRE-40, D-18): al borrarlo se va en cascada todo lo suyo, incluido su historial. Sobrevive un solo evento, PRESUPUESTO_ELIMINADO, con su justificación obligatoria y sin referencia al presupuesto —precisamente para que la cascada no se lo lleve—. No es una grieta en la regla: es que de un proyecto borrado queda la constancia de que existió y de por qué se borró, y nada más.</w:t>
            </w:r>
          </w:p>
        </w:tc>
      </w:tr>
    </w:tbl>
    <w:p>
      <w:pPr>
        <w:pStyle w:val="Heading1"/>
        <w:pBdr>
          <w:bottom w:val="single" w:color="13496B" w:sz="10" w:space="6"/>
        </w:pBdr>
        <w:spacing w:after="180" w:before="420"/>
      </w:pPr>
      <w:r>
        <w:rPr>
          <w:b/>
          <w:bCs/>
          <w:color w:val="13496B"/>
          <w:sz w:val="30"/>
          <w:szCs w:val="30"/>
        </w:rPr>
        <w:t>11. Configuración</w:t>
      </w:r>
    </w:p>
    <w:p>
      <w:pPr>
        <w:spacing w:after="120" w:before="0" w:line="276"/>
        <w:jc w:val="both"/>
      </w:pPr>
      <w:r>
        <w:rPr>
          <w:sz w:val="20"/>
          <w:szCs w:val="20"/>
        </w:rPr>
        <w:t xml:space="preserve">Se accede desde el ícono de engranaje del menú principal. La pantalla se organiza en pestañas y tiene el botón Volver en la parte superior izquierda.</w:t>
      </w:r>
    </w:p>
    <w:p>
      <w:pPr>
        <w:pStyle w:val="Heading2"/>
        <w:spacing w:after="120" w:before="300"/>
      </w:pPr>
      <w:r>
        <w:rPr>
          <w:b/>
          <w:bCs/>
          <w:color w:val="1F2933"/>
          <w:sz w:val="23"/>
          <w:szCs w:val="23"/>
        </w:rPr>
        <w:t>11.1 Mi cuenta</w:t>
      </w:r>
    </w:p>
    <w:p>
      <w:pPr>
        <w:spacing w:after="120" w:before="0" w:line="276"/>
        <w:jc w:val="both"/>
      </w:pPr>
      <w:r>
        <w:rPr>
          <w:sz w:val="20"/>
          <w:szCs w:val="20"/>
        </w:rPr>
        <w:t xml:space="preserve">Muestra de forma estática el nombre, el correo de ingreso y el rol del usuario en sesión. Un botón «Cambiar Contraseña» abre un pop-out que pide la contraseña actual —validada por el servidor—, la nueva y su confirmación.</w:t>
      </w:r>
    </w:p>
    <w:p>
      <w:pPr>
        <w:pStyle w:val="Heading2"/>
        <w:spacing w:after="120" w:before="300"/>
      </w:pPr>
      <w:r>
        <w:rPr>
          <w:b/>
          <w:bCs/>
          <w:color w:val="1F2933"/>
          <w:sz w:val="23"/>
          <w:szCs w:val="23"/>
        </w:rPr>
        <w:t>11.2 Datos de empresa</w:t>
      </w:r>
    </w:p>
    <w:p>
      <w:pPr>
        <w:spacing w:after="120" w:before="0" w:line="276"/>
        <w:jc w:val="both"/>
      </w:pPr>
      <w:r>
        <w:rPr>
          <w:sz w:val="20"/>
          <w:szCs w:val="20"/>
        </w:rPr>
        <w:t>Formulario con razón social, NIT, dirección y teléfono, los cuatro editables, más la carga del logotipo en PNG o JPG. Si el NIT ya existe en otra empresa, el mensaje lo dice y pide revisarlo. El logo y el NIT se imprimen automáticamente en el encabezado de todos los PDF y exportaciones.</w:t>
      </w:r>
    </w:p>
    <w:p>
      <w:pPr>
        <w:spacing w:after="120" w:before="0" w:line="276"/>
        <w:jc w:val="both"/>
      </w:pPr>
      <w:r>
        <w:rPr>
          <w:sz w:val="20"/>
          <w:szCs w:val="20"/>
        </w:rPr>
        <w:t>El logotipo va en su propia sección, debajo del formulario: elegir el archivo lo sube, sin un «Guardar» aparte. Solo PNG o JPEG, hasta 1 MB. Se ve sobre fondo blanco, también en el tema oscuro, porque así sale impreso. Quitarlo no borra la imagen: las versiones guardadas de los proyectos conservan el logotipo que tenían, y una oferta reimpresa se ve igual que el día en que salió (D-64, D-71).</w:t>
      </w:r>
    </w:p>
    <w:p>
      <w:pPr>
        <w:pStyle w:val="Heading2"/>
        <w:spacing w:after="120" w:before="300"/>
      </w:pPr>
      <w:r>
        <w:rPr>
          <w:b/>
          <w:bCs/>
          <w:color w:val="1F2933"/>
          <w:sz w:val="23"/>
          <w:szCs w:val="23"/>
        </w:rPr>
        <w:t>11.3 Suscripción</w:t>
      </w:r>
    </w:p>
    <w:p>
      <w:pPr>
        <w:spacing w:after="120" w:before="0" w:line="276"/>
        <w:jc w:val="both"/>
      </w:pPr>
      <w:r>
        <w:rPr>
          <w:sz w:val="20"/>
          <w:szCs w:val="20"/>
        </w:rPr>
        <w:t>Muestra el plan activo, el estado de la suscripción —En prueba, Activa, Por pagar, Vencida, Suspendida o Cancelada—, la fecha de vencimiento y los días restantes. Ninguno de esos estados lo calcula la interfaz: los deriva la base de las fechas, y cambian solos con el calendario o en el instante en que se confirma un pago (D-25, D-74). Si la empresa está en período de prueba, la pantalla indica cuántos días quedan y cómo hacer el pago; si está por pagar, hasta qué día puede hacerlo.</w:t>
      </w:r>
    </w:p>
    <w:p>
      <w:pPr>
        <w:spacing w:after="120" w:before="0" w:line="276"/>
        <w:jc w:val="both"/>
      </w:pPr>
      <w:r>
        <w:rPr>
          <w:sz w:val="20"/>
          <w:szCs w:val="20"/>
        </w:rPr>
        <w:t>La empresa paga por fuera —transferencia, PSE o efectivo— y lo reporta con «Reportar un pago»: monto, fecha, medio, referencia, cuántos meses paga (1, 3, 6 o 12) y el comprobante, que es obligatorio. El botón lo ve el Administrador o quien tenga el permiso de suscripción, también con la suscripción vencida o suspendida, que es cuando más falta hace; no aparece mientras haya un pago esperando. Con la suscripción cancelada, solo el Administrador lo ve, como «Reportar el pago para reactivar», y solo en sus diez días.</w:t>
      </w:r>
    </w:p>
    <w:p>
      <w:pPr>
        <w:spacing w:after="120" w:before="0" w:line="276"/>
        <w:jc w:val="both"/>
      </w:pPr>
      <w:r>
        <w:rPr>
          <w:sz w:val="20"/>
          <w:szCs w:val="20"/>
        </w:rPr>
        <w:t>Reportar no da acceso. El pago queda «En verificación» con una franja que lo dice, y la empresa sigue en el estado que tenía hasta que el superadministrador lo confirma, porque un comprobante puede ser falso. Si lo rechaza, la pantalla muestra una alerta con el motivo y la empresa puede reportar de nuevo (D-73).</w:t>
      </w:r>
    </w:p>
    <w:p>
      <w:pPr>
        <w:spacing w:after="120" w:before="0" w:line="276"/>
        <w:jc w:val="both"/>
      </w:pPr>
      <w:r>
        <w:rPr>
          <w:sz w:val="20"/>
          <w:szCs w:val="20"/>
        </w:rPr>
        <w:t>Debajo, la tabla del historial de facturación con fecha, concepto, monto, método de pago y estado —Confirmado, En verificación o Rechazado—, del más reciente al más antiguo, y un botón por fila para descargar el comprobante en PDF.</w:t>
      </w:r>
    </w:p>
    <w:p>
      <w:pPr>
        <w:spacing w:after="120" w:before="0" w:line="276"/>
        <w:jc w:val="both"/>
      </w:pPr>
      <w:r>
        <w:rPr>
          <w:sz w:val="20"/>
          <w:szCs w:val="20"/>
        </w:rPr>
        <w:t>Al final, solo para el Administrador, una zona de cuidado con «Cancelar suscripción». La confirmación dice qué va a pasar —hasta qué día funciona, los diez días para reactivarla y la eliminación de los datos— y pide el motivo. Con la suscripción cancelada y antes de la fecha pagada, la pestaña ofrece «Reanudar la suscripción», sin pago.</w:t>
      </w:r>
    </w:p>
    <w:p>
      <w:pPr>
        <w:spacing w:after="60"/>
      </w:pPr>
    </w:p>
    <w:tbl>
      <w:tblPr>
        <w:tblW w:type="dxa" w:w="9020"/>
        <w:tblBorders>
          <w:top w:val="none" w:color="FFFFFF" w:sz="0"/>
          <w:left w:val="single" w:color="13496B" w:sz="18"/>
          <w:bottom w:val="none" w:color="FFFFFF" w:sz="0"/>
          <w:right w:val="none" w:color="FFFFFF" w:sz="0"/>
          <w:insideH w:val="none" w:color="FFFFFF" w:sz="0"/>
          <w:insideV w:val="none" w:color="FFFFFF" w:sz="0"/>
        </w:tblBorders>
      </w:tblPr>
      <w:tblGrid>
        <w:gridCol w:w="9020"/>
      </w:tblGrid>
      <w:tr>
        <w:trPr>
          <w:cantSplit/>
        </w:trPr>
        <w:tc>
          <w:tcPr>
            <w:tcW w:type="dxa" w:w="9020"/>
            <w:shd w:fill="E7EFF4" w:color="auto" w:val="clear"/>
            <w:tcMar>
              <w:top w:type="dxa" w:w="140"/>
              <w:left w:type="dxa" w:w="200"/>
              <w:bottom w:type="dxa" w:w="140"/>
              <w:right w:type="dxa" w:w="180"/>
            </w:tcMar>
          </w:tcPr>
          <w:p>
            <w:pPr>
              <w:spacing w:after="90" w:before="40"/>
            </w:pPr>
            <w:r>
              <w:rPr>
                <w:b/>
                <w:bCs/>
                <w:caps/>
                <w:color w:val="13496B"/>
                <w:sz w:val="18"/>
                <w:szCs w:val="18"/>
              </w:rPr>
              <w:t xml:space="preserve">El pago no se hace desde el sistema</w:t>
            </w:r>
          </w:p>
          <w:p>
            <w:pPr>
              <w:spacing w:after="40" w:line="276"/>
              <w:jc w:val="both"/>
            </w:pPr>
            <w:r>
              <w:rPr>
                <w:sz w:val="19"/>
                <w:szCs w:val="19"/>
              </w:rPr>
              <w:t xml:space="preserve">En el MVP no hay pasarela de pagos. El cliente paga por transferencia o PSE y el superadministrador registra el pago, que extiende la fecha de vencimiento. Esta pestaña muestra el estado y los datos para pagar; no cobra.</w:t>
            </w:r>
          </w:p>
        </w:tc>
      </w:tr>
    </w:tbl>
    <w:p>
      <w:pPr>
        <w:pStyle w:val="Heading2"/>
        <w:spacing w:after="120" w:before="300"/>
      </w:pPr>
      <w:r>
        <w:rPr>
          <w:b/>
          <w:bCs/>
          <w:color w:val="1F2933"/>
          <w:sz w:val="23"/>
          <w:szCs w:val="23"/>
        </w:rPr>
        <w:t>11.4 Usuarios</w:t>
      </w:r>
    </w:p>
    <w:p>
      <w:pPr>
        <w:spacing w:after="120" w:before="0" w:line="276"/>
        <w:jc w:val="both"/>
      </w:pPr>
      <w:r>
        <w:rPr>
          <w:sz w:val="20"/>
          <w:szCs w:val="20"/>
        </w:rPr>
        <w:t xml:space="preserve">El contenido depende del plan: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800"/>
        <w:gridCol w:w="7220"/>
      </w:tblGrid>
      <w:tr>
        <w:trPr>
          <w:cantSplit/>
          <w:tblHeader/>
        </w:trPr>
        <w:tc>
          <w:tcPr>
            <w:tcW w:type="dxa" w:w="18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Plan</w:t>
            </w:r>
          </w:p>
        </w:tc>
        <w:tc>
          <w:tcPr>
            <w:tcW w:type="dxa" w:w="72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Qué ofrece</w:t>
            </w:r>
          </w:p>
        </w:tc>
      </w:tr>
      <w:tr>
        <w:trPr>
          <w:cantSplit/>
        </w:trPr>
        <w:tc>
          <w:tcPr>
            <w:tcW w:type="dxa" w:w="1800"/>
            <w:shd w:fill="auto" w:color="auto" w:val="clear"/>
            <w:tcMar>
              <w:top w:type="dxa" w:w="70"/>
              <w:left w:type="dxa" w:w="110"/>
              <w:bottom w:type="dxa" w:w="70"/>
              <w:right w:type="dxa" w:w="110"/>
            </w:tcMar>
          </w:tcPr>
          <w:p>
            <w:pPr>
              <w:spacing w:after="40" w:before="40" w:line="240"/>
              <w:jc w:val="left"/>
            </w:pPr>
            <w:r>
              <w:rPr>
                <w:sz w:val="18"/>
                <w:szCs w:val="18"/>
              </w:rPr>
              <w:t xml:space="preserve">Personal</w:t>
            </w:r>
          </w:p>
        </w:tc>
        <w:tc>
          <w:tcPr>
            <w:tcW w:type="dxa" w:w="7220"/>
            <w:shd w:fill="auto" w:color="auto" w:val="clear"/>
            <w:tcMar>
              <w:top w:type="dxa" w:w="70"/>
              <w:left w:type="dxa" w:w="110"/>
              <w:bottom w:type="dxa" w:w="70"/>
              <w:right w:type="dxa" w:w="110"/>
            </w:tcMar>
          </w:tcPr>
          <w:p>
            <w:pPr>
              <w:spacing w:after="40" w:before="40" w:line="240"/>
              <w:jc w:val="left"/>
            </w:pPr>
            <w:r>
              <w:rPr>
                <w:sz w:val="18"/>
                <w:szCs w:val="18"/>
              </w:rPr>
              <w:t>El ingeniero crea a su único asistente: nombre, correo, rol y permisos granulares por módulo y acción. No fija la contraseña.</w:t>
            </w:r>
          </w:p>
        </w:tc>
      </w:tr>
      <w:tr>
        <w:trPr>
          <w:cantSplit/>
        </w:trPr>
        <w:tc>
          <w:tcPr>
            <w:tcW w:type="dxa" w:w="1800"/>
            <w:shd w:fill="F7F9FA" w:color="auto" w:val="clear"/>
            <w:tcMar>
              <w:top w:type="dxa" w:w="70"/>
              <w:left w:type="dxa" w:w="110"/>
              <w:bottom w:type="dxa" w:w="70"/>
              <w:right w:type="dxa" w:w="110"/>
            </w:tcMar>
          </w:tcPr>
          <w:p>
            <w:pPr>
              <w:spacing w:after="40" w:before="40" w:line="240"/>
              <w:jc w:val="left"/>
            </w:pPr>
            <w:r>
              <w:rPr>
                <w:sz w:val="18"/>
                <w:szCs w:val="18"/>
              </w:rPr>
              <w:t xml:space="preserve">Empresarial</w:t>
            </w:r>
          </w:p>
        </w:tc>
        <w:tc>
          <w:tcPr>
            <w:tcW w:type="dxa" w:w="7220"/>
            <w:shd w:fill="F7F9FA" w:color="auto" w:val="clear"/>
            <w:tcMar>
              <w:top w:type="dxa" w:w="70"/>
              <w:left w:type="dxa" w:w="110"/>
              <w:bottom w:type="dxa" w:w="70"/>
              <w:right w:type="dxa" w:w="110"/>
            </w:tcMar>
          </w:tcPr>
          <w:p>
            <w:pPr>
              <w:spacing w:after="40" w:before="40" w:line="240"/>
              <w:jc w:val="left"/>
            </w:pPr>
            <w:r>
              <w:rPr>
                <w:sz w:val="18"/>
                <w:szCs w:val="18"/>
              </w:rPr>
              <w:t>Panel completo. El administrador crea roles personalizados, les asigna permisos por módulo y acción, y da de alta usuarios asignándoles un rol. Tampoco fija contraseñas.</w:t>
            </w:r>
          </w:p>
        </w:tc>
      </w:tr>
    </w:tbl>
    <w:p>
      <w:pPr>
        <w:spacing w:after="120" w:before="0" w:line="276"/>
        <w:jc w:val="both"/>
      </w:pPr>
      <w:r>
        <w:rPr>
          <w:sz w:val="20"/>
          <w:szCs w:val="20"/>
        </w:rPr>
        <w:t>El administrador crea el usuario con nombre, correo y rol, sin contraseña. Al guardar, el sistema envía un enlace de activación de un solo uso, vigente 72 horas: el usuario lo abre, elige su propia contraseña y queda Activo. Si el enlace vence, el administrador lo reenvía desde la misma tabla y el anterior deja de servir (RF-AUT-18).</w:t>
      </w:r>
    </w:p>
    <w:p>
      <w:pPr>
        <w:spacing w:after="120" w:before="0" w:line="276"/>
        <w:jc w:val="both"/>
      </w:pPr>
      <w:r>
        <w:rPr>
          <w:sz w:val="20"/>
          <w:szCs w:val="20"/>
        </w:rPr>
        <w:t>Mientras no exista el envío de correos (fase 8 de construcción), el enlace de activación no sale por correo: lo genera el equipo de ConstruSoft y se lo entrega a la persona. El administrador no ve el enlace, porque con él se elige la contraseña de otra persona (decisión del dueño, 8 de octubre de 2026). La pestaña lo dice junto a los usuarios pendientes, y el botón de reenviar aparece cuando exista el correo. Un usuario revocado puede recibir de nuevo el acceso: vuelve Activo si ya tenía contraseña, o Pendiente si nunca la eligió.</w:t>
      </w:r>
    </w:p>
    <w:p>
      <w:pPr>
        <w:spacing w:after="120" w:before="0" w:line="276"/>
        <w:jc w:val="both"/>
      </w:pPr>
      <w:r>
        <w:rPr>
          <w:sz w:val="20"/>
          <w:szCs w:val="20"/>
        </w:rPr>
        <w:t xml:space="preserve">La tabla de usuarios muestra el estado de cada uno y permite revocar el acceso:</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800"/>
        <w:gridCol w:w="7220"/>
      </w:tblGrid>
      <w:tr>
        <w:trPr>
          <w:cantSplit/>
          <w:tblHeader/>
        </w:trPr>
        <w:tc>
          <w:tcPr>
            <w:tcW w:type="dxa" w:w="18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Estado</w:t>
            </w:r>
          </w:p>
        </w:tc>
        <w:tc>
          <w:tcPr>
            <w:tcW w:type="dxa" w:w="72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Significado</w:t>
            </w:r>
          </w:p>
        </w:tc>
      </w:tr>
      <w:tr>
        <w:trPr>
          <w:cantSplit/>
        </w:trPr>
        <w:tc>
          <w:tcPr>
            <w:tcW w:type="dxa" w:w="1800"/>
            <w:shd w:fill="auto" w:color="auto" w:val="clear"/>
            <w:tcMar>
              <w:top w:type="dxa" w:w="70"/>
              <w:left w:type="dxa" w:w="110"/>
              <w:bottom w:type="dxa" w:w="70"/>
              <w:right w:type="dxa" w:w="110"/>
            </w:tcMar>
          </w:tcPr>
          <w:p>
            <w:pPr>
              <w:spacing w:after="40" w:before="40" w:line="240"/>
              <w:jc w:val="left"/>
            </w:pPr>
            <w:r>
              <w:rPr>
                <w:sz w:val="18"/>
                <w:szCs w:val="18"/>
              </w:rPr>
              <w:t xml:space="preserve">Pendiente</w:t>
            </w:r>
          </w:p>
        </w:tc>
        <w:tc>
          <w:tcPr>
            <w:tcW w:type="dxa" w:w="7220"/>
            <w:shd w:fill="auto" w:color="auto" w:val="clear"/>
            <w:tcMar>
              <w:top w:type="dxa" w:w="70"/>
              <w:left w:type="dxa" w:w="110"/>
              <w:bottom w:type="dxa" w:w="70"/>
              <w:right w:type="dxa" w:w="110"/>
            </w:tcMar>
          </w:tcPr>
          <w:p>
            <w:pPr>
              <w:spacing w:after="40" w:before="40" w:line="240"/>
              <w:jc w:val="left"/>
            </w:pPr>
            <w:r>
              <w:rPr>
                <w:sz w:val="18"/>
                <w:szCs w:val="18"/>
              </w:rPr>
              <w:t>Invitado, aún no ha abierto el enlace de activación</w:t>
            </w:r>
          </w:p>
        </w:tc>
      </w:tr>
      <w:tr>
        <w:trPr>
          <w:cantSplit/>
        </w:trPr>
        <w:tc>
          <w:tcPr>
            <w:tcW w:type="dxa" w:w="1800"/>
            <w:shd w:fill="F7F9FA" w:color="auto" w:val="clear"/>
            <w:tcMar>
              <w:top w:type="dxa" w:w="70"/>
              <w:left w:type="dxa" w:w="110"/>
              <w:bottom w:type="dxa" w:w="70"/>
              <w:right w:type="dxa" w:w="110"/>
            </w:tcMar>
          </w:tcPr>
          <w:p>
            <w:pPr>
              <w:spacing w:after="40" w:before="40" w:line="240"/>
              <w:jc w:val="left"/>
            </w:pPr>
            <w:r>
              <w:rPr>
                <w:sz w:val="18"/>
                <w:szCs w:val="18"/>
              </w:rPr>
              <w:t xml:space="preserve">Activo</w:t>
            </w:r>
          </w:p>
        </w:tc>
        <w:tc>
          <w:tcPr>
            <w:tcW w:type="dxa" w:w="7220"/>
            <w:shd w:fill="F7F9FA" w:color="auto" w:val="clear"/>
            <w:tcMar>
              <w:top w:type="dxa" w:w="70"/>
              <w:left w:type="dxa" w:w="110"/>
              <w:bottom w:type="dxa" w:w="70"/>
              <w:right w:type="dxa" w:w="110"/>
            </w:tcMar>
          </w:tcPr>
          <w:p>
            <w:pPr>
              <w:spacing w:after="40" w:before="40" w:line="240"/>
              <w:jc w:val="left"/>
            </w:pPr>
            <w:r>
              <w:rPr>
                <w:sz w:val="18"/>
                <w:szCs w:val="18"/>
              </w:rPr>
              <w:t>Fijó su contraseña al consumir el enlace de activación</w:t>
            </w:r>
          </w:p>
        </w:tc>
      </w:tr>
      <w:tr>
        <w:trPr>
          <w:cantSplit/>
        </w:trPr>
        <w:tc>
          <w:tcPr>
            <w:tcW w:type="dxa" w:w="1800"/>
            <w:shd w:fill="auto" w:color="auto" w:val="clear"/>
            <w:tcMar>
              <w:top w:type="dxa" w:w="70"/>
              <w:left w:type="dxa" w:w="110"/>
              <w:bottom w:type="dxa" w:w="70"/>
              <w:right w:type="dxa" w:w="110"/>
            </w:tcMar>
          </w:tcPr>
          <w:p>
            <w:pPr>
              <w:spacing w:after="40" w:before="40" w:line="240"/>
              <w:jc w:val="left"/>
            </w:pPr>
            <w:r>
              <w:rPr>
                <w:sz w:val="18"/>
                <w:szCs w:val="18"/>
              </w:rPr>
              <w:t xml:space="preserve">Revocado</w:t>
            </w:r>
          </w:p>
        </w:tc>
        <w:tc>
          <w:tcPr>
            <w:tcW w:type="dxa" w:w="7220"/>
            <w:shd w:fill="auto" w:color="auto" w:val="clear"/>
            <w:tcMar>
              <w:top w:type="dxa" w:w="70"/>
              <w:left w:type="dxa" w:w="110"/>
              <w:bottom w:type="dxa" w:w="70"/>
              <w:right w:type="dxa" w:w="110"/>
            </w:tcMar>
          </w:tcPr>
          <w:p>
            <w:pPr>
              <w:spacing w:after="40" w:before="40" w:line="240"/>
              <w:jc w:val="left"/>
            </w:pPr>
            <w:r>
              <w:rPr>
                <w:sz w:val="18"/>
                <w:szCs w:val="18"/>
              </w:rPr>
              <w:t xml:space="preserve">Se le retiró el acceso. El usuario se conserva para la trazabilidad del historial</w:t>
            </w:r>
          </w:p>
        </w:tc>
      </w:tr>
    </w:tbl>
    <w:p>
      <w:pPr>
        <w:spacing w:after="120" w:before="0" w:line="276"/>
        <w:jc w:val="both"/>
      </w:pPr>
      <w:r>
        <w:rPr>
          <w:sz w:val="20"/>
          <w:szCs w:val="20"/>
        </w:rPr>
        <w:t>Los permisos se otorgan por módulo y acción: Recursos (ver, crear, editar, eliminar), APU (ver, crear, editar, eliminar), Proyectos (ver, crear, editar, exportar, duplicar), Configuración (datos de empresa, preferencias y ver suscripción) y Usuarios (gestionar). Son los mismos códigos del catálogo app.permiso del esquema. «Ver» es prerrequisito de las demás acciones de su módulo: marcar cualquiera marca «Ver» también, y «Ver» no se puede desmarcar mientras quede otra acción del módulo (RF-CFG-25). El cambio de estado del proyecto no es un permiso delegable: es exclusivo del Administrador. Y el rol Administrador tampoco se fabrica desde aquí: los roles que la pestaña crea son siempre personalizados, porque los de sistema —Administrador y Asistente— nacen con la empresa y su tipo no se puede cambiar (D-44). La interfaz no ofrece la opción.</w:t>
      </w:r>
    </w:p>
    <w:p>
      <w:pPr>
        <w:spacing w:after="120" w:before="0" w:line="276"/>
        <w:jc w:val="both"/>
      </w:pPr>
      <w:r>
        <w:rPr>
          <w:sz w:val="20"/>
          <w:szCs w:val="20"/>
        </w:rPr>
        <w:t>Marcar una acción marca también lo que necesita para funcionar: «Ver» de su módulo, «Ver» en APU para editar proyectos (D-59) y «Ver» en Recursos para crear o editar APU (D-70). Lo que no se puede desmarcar queda bloqueado, con el motivo escrito debajo. En el plan Personal, la pestaña muestra al asistente y la matriz del rol Asistente, que nunca incluye gestionar usuarios; en el Empresarial, además, la lista de roles.</w:t>
      </w:r>
    </w:p>
    <w:p>
      <w:pPr>
        <w:spacing w:after="120"/>
      </w:pPr>
      <w:r>
        <w:t>La pestaña no deja revocar, cambiar de rol ni eliminar al único usuario activo con rol Administrador. El mensaje lo nombra: «es el único administrador activo de la empresa». El registro pide además un correo de recuperación distinto del correo de ingreso, y el superadministrador puede designar un administrador nuevo si la empresa igualmente se queda sin ninguno (D-29, RF-SAD-14).</w:t>
      </w:r>
    </w:p>
    <w:p>
      <w:pPr>
        <w:pStyle w:val="Heading2"/>
        <w:spacing w:after="120" w:before="300"/>
      </w:pPr>
      <w:r>
        <w:rPr>
          <w:b/>
          <w:bCs/>
          <w:color w:val="1F2933"/>
          <w:sz w:val="23"/>
          <w:szCs w:val="23"/>
        </w:rPr>
        <w:t>11.5 Preferencias del sistema</w:t>
      </w:r>
    </w:p>
    <w:p>
      <w:pPr>
        <w:pStyle w:val="ListParagraph"/>
        <w:numPr>
          <w:ilvl w:val="0"/>
          <w:numId w:val="2"/>
        </w:numPr>
        <w:spacing w:after="90" w:line="276"/>
        <w:jc w:val="both"/>
      </w:pPr>
      <w:r>
        <w:rPr>
          <w:sz w:val="20"/>
          <w:szCs w:val="20"/>
        </w:rPr>
        <w:t>Moneda base de la empresa. El MVP solo ofrece el peso colombiano (COP); el selector queda preparado para cuando se agreguen más divisas al catálogo. Solo se puede cambiar mientras no existan recursos, APU ni presupuestos registrados; después queda bloqueada.</w:t>
      </w:r>
    </w:p>
    <w:p>
      <w:pPr>
        <w:pStyle w:val="ListParagraph"/>
        <w:numPr>
          <w:ilvl w:val="0"/>
          <w:numId w:val="2"/>
        </w:numPr>
        <w:spacing w:after="90" w:line="276"/>
        <w:jc w:val="both"/>
      </w:pPr>
      <w:r>
        <w:rPr>
          <w:sz w:val="20"/>
          <w:szCs w:val="20"/>
        </w:rPr>
        <w:t xml:space="preserve">Separador de miles y separador decimal, con vista previa del formato resultante.</w:t>
      </w:r>
    </w:p>
    <w:p>
      <w:pPr>
        <w:pStyle w:val="ListParagraph"/>
        <w:numPr>
          <w:ilvl w:val="0"/>
          <w:numId w:val="2"/>
        </w:numPr>
        <w:spacing w:after="90" w:line="276"/>
        <w:jc w:val="both"/>
      </w:pPr>
      <w:r>
        <w:rPr>
          <w:sz w:val="20"/>
          <w:szCs w:val="20"/>
        </w:rPr>
        <w:t xml:space="preserve">Número de decimales a mostrar: 0, 1 o 2, tanto en pantalla como en impresión.</w:t>
      </w:r>
    </w:p>
    <w:p>
      <w:pPr>
        <w:pStyle w:val="Heading2"/>
        <w:spacing w:after="120" w:before="300"/>
      </w:pPr>
      <w:r>
        <w:rPr>
          <w:b/>
          <w:bCs/>
          <w:color w:val="1F2933"/>
          <w:sz w:val="23"/>
          <w:szCs w:val="23"/>
        </w:rPr>
        <w:t>11.6 Parametrización</w:t>
      </w:r>
    </w:p>
    <w:p>
      <w:pPr>
        <w:pStyle w:val="Heading3"/>
        <w:spacing w:after="100" w:before="220"/>
      </w:pPr>
      <w:r>
        <w:rPr>
          <w:b/>
          <w:bCs/>
          <w:color w:val="5A6874"/>
          <w:sz w:val="20"/>
          <w:szCs w:val="20"/>
        </w:rPr>
        <w:t>Sin AIU estándar</w:t>
      </w:r>
    </w:p>
    <w:p>
      <w:pPr>
        <w:spacing w:after="120" w:before="0" w:line="276"/>
        <w:jc w:val="both"/>
      </w:pPr>
      <w:r>
        <w:rPr>
          <w:sz w:val="20"/>
          <w:szCs w:val="20"/>
        </w:rPr>
        <w:t>La parametrización de la empresa no incluye el AIU ni el IVA. Los cuatro porcentajes son de cada presupuesto y se editan en su mesa de trabajo: el AIU se negocia obra por obra, así que precargarlo desde aquí haría que una oferta saliera con el AIU de otra sin que nadie lo note (D-41). Al crear un presupuesto, el AIU nace en cero y el IVA en 19 %.</w:t>
      </w:r>
    </w:p>
    <w:p>
      <w:pPr>
        <w:pStyle w:val="Heading3"/>
        <w:spacing w:after="100" w:before="220"/>
      </w:pPr>
      <w:r>
        <w:rPr>
          <w:b/>
          <w:bCs/>
          <w:color w:val="5A6874"/>
          <w:sz w:val="20"/>
          <w:szCs w:val="20"/>
        </w:rPr>
        <w:t xml:space="preserve">Unidades de medida</w:t>
      </w:r>
    </w:p>
    <w:p>
      <w:pPr>
        <w:spacing w:after="120" w:before="0" w:line="276"/>
        <w:jc w:val="both"/>
      </w:pPr>
      <w:r>
        <w:rPr>
          <w:sz w:val="20"/>
          <w:szCs w:val="20"/>
        </w:rPr>
        <w:t xml:space="preserve">Lista maestra editable de las unidades oficiales de la empresa, con símbolo y descripción. Bloquea la entrada de datos basura por parte de otros usuarios.</w:t>
      </w:r>
    </w:p>
    <w:p>
      <w:pPr>
        <w:spacing w:after="120" w:before="0" w:line="276"/>
        <w:jc w:val="both"/>
      </w:pPr>
      <w:r>
        <w:rPr>
          <w:sz w:val="20"/>
          <w:szCs w:val="20"/>
        </w:rPr>
        <w:t xml:space="preserve">La empresa nace con estas doce, las estándar de la construcción en Colombia:</w:t>
      </w:r>
    </w:p>
    <w:tbl>
      <w:tblPr>
        <w:tblW w:type="dxa" w:w="7000"/>
        <w:tblBorders>
          <w:top w:val="single" w:color="D4DAE0" w:sz="2"/>
          <w:left w:val="none" w:color="FFFFFF" w:sz="0"/>
          <w:bottom w:val="single" w:color="D4DAE0" w:sz="2"/>
          <w:right w:val="none" w:color="FFFFFF" w:sz="0"/>
          <w:insideH w:val="single" w:color="E4E8EC" w:sz="2"/>
          <w:insideV w:val="none" w:color="FFFFFF" w:sz="0"/>
        </w:tblBorders>
      </w:tblPr>
      <w:tblGrid>
        <w:gridCol w:w="1100"/>
        <w:gridCol w:w="2400"/>
        <w:gridCol w:w="1100"/>
        <w:gridCol w:w="2400"/>
      </w:tblGrid>
      <w:tr>
        <w:trPr>
          <w:cantSplit/>
          <w:tblHeader/>
        </w:trPr>
        <w:tc>
          <w:tcPr>
            <w:tcW w:type="dxa" w:w="11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Símbolo</w:t>
            </w:r>
          </w:p>
        </w:tc>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Descripción</w:t>
            </w:r>
          </w:p>
        </w:tc>
        <w:tc>
          <w:tcPr>
            <w:tcW w:type="dxa" w:w="11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Símbolo</w:t>
            </w:r>
          </w:p>
        </w:tc>
        <w:tc>
          <w:tcPr>
            <w:tcW w:type="dxa" w:w="24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Descripción</w:t>
            </w:r>
          </w:p>
        </w:tc>
      </w:tr>
      <w:tr>
        <w:trPr>
          <w:cantSplit/>
        </w:trPr>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m</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Metro</w:t>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Glb</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Global</w:t>
            </w:r>
          </w:p>
        </w:tc>
      </w:tr>
      <w:tr>
        <w:trPr>
          <w:cantSplit/>
        </w:trPr>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m²</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Metro cuadrado</w:t>
            </w:r>
          </w:p>
        </w:tc>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Gal</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Galón</w:t>
            </w:r>
          </w:p>
        </w:tc>
      </w:tr>
      <w:tr>
        <w:trPr>
          <w:cantSplit/>
        </w:trPr>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m³</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Metro cúbico</w:t>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Lt</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Litro</w:t>
            </w:r>
          </w:p>
        </w:tc>
      </w:tr>
      <w:tr>
        <w:trPr>
          <w:cantSplit/>
        </w:trPr>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Kg</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Kilogramo</w:t>
            </w:r>
          </w:p>
        </w:tc>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Ms</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Mes</w:t>
            </w:r>
          </w:p>
        </w:tc>
      </w:tr>
      <w:tr>
        <w:trPr>
          <w:cantSplit/>
        </w:trPr>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Und</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Unidad</w:t>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X</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Todo costo</w:t>
            </w:r>
          </w:p>
        </w:tc>
      </w:tr>
      <w:tr>
        <w:trPr>
          <w:cantSplit/>
        </w:trPr>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Hr</w:t>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Hora</w:t>
            </w:r>
          </w:p>
        </w:tc>
        <w:tc>
          <w:tcPr>
            <w:tcW w:type="dxa" w:w="1100"/>
            <w:shd w:fill="F7F9FA"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2400"/>
            <w:shd w:fill="F7F9FA" w:color="auto" w:val="clear"/>
            <w:tcMar>
              <w:top w:type="dxa" w:w="70"/>
              <w:left w:type="dxa" w:w="110"/>
              <w:bottom w:type="dxa" w:w="70"/>
              <w:right w:type="dxa" w:w="110"/>
            </w:tcMar>
          </w:tcPr>
          <w:p>
            <w:pPr>
              <w:spacing w:after="40" w:before="40" w:line="240"/>
              <w:jc w:val="left"/>
            </w:pPr>
            <w:r>
              <w:rPr>
                <w:sz w:val="18"/>
                <w:szCs w:val="18"/>
              </w:rPr>
              <w:t xml:space="preserve"/>
            </w:r>
          </w:p>
        </w:tc>
      </w:tr>
      <w:tr>
        <w:trPr>
          <w:cantSplit/>
        </w:trPr>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Jr</w:t>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Jornal</w:t>
            </w:r>
          </w:p>
        </w:tc>
        <w:tc>
          <w:tcPr>
            <w:tcW w:type="dxa" w:w="1100"/>
            <w:shd w:fill="auto" w:color="auto" w:val="clear"/>
            <w:tcMar>
              <w:top w:type="dxa" w:w="70"/>
              <w:left w:type="dxa" w:w="110"/>
              <w:bottom w:type="dxa" w:w="70"/>
              <w:right w:type="dxa" w:w="110"/>
            </w:tcMar>
          </w:tcPr>
          <w:p>
            <w:pPr>
              <w:spacing w:after="40" w:before="40" w:line="240"/>
              <w:jc w:val="left"/>
            </w:pPr>
            <w:r>
              <w:rPr>
                <w:sz w:val="18"/>
                <w:szCs w:val="18"/>
              </w:rPr>
              <w:t xml:space="preserve"/>
            </w:r>
          </w:p>
        </w:tc>
        <w:tc>
          <w:tcPr>
            <w:tcW w:type="dxa" w:w="2400"/>
            <w:shd w:fill="auto" w:color="auto" w:val="clear"/>
            <w:tcMar>
              <w:top w:type="dxa" w:w="70"/>
              <w:left w:type="dxa" w:w="110"/>
              <w:bottom w:type="dxa" w:w="70"/>
              <w:right w:type="dxa" w:w="110"/>
            </w:tcMar>
          </w:tcPr>
          <w:p>
            <w:pPr>
              <w:spacing w:after="40" w:before="40" w:line="240"/>
              <w:jc w:val="left"/>
            </w:pPr>
            <w:r>
              <w:rPr>
                <w:sz w:val="18"/>
                <w:szCs w:val="18"/>
              </w:rPr>
              <w:t xml:space="preserve"/>
            </w:r>
          </w:p>
        </w:tc>
      </w:tr>
    </w:tbl>
    <w:p>
      <w:pPr>
        <w:spacing w:after="120" w:before="0" w:line="276"/>
        <w:jc w:val="both"/>
      </w:pPr>
      <w:r>
        <w:rPr>
          <w:sz w:val="20"/>
          <w:szCs w:val="20"/>
        </w:rPr>
        <w:t xml:space="preserve">No es una lista cerrada: el usuario puede renombrarlas, eliminar las que no use y crear las suyas, incluidas las de otro sistema de medida si trabaja fuera de Colombia.</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1500"/>
        <w:gridCol w:w="7520"/>
      </w:tblGrid>
      <w:tr>
        <w:trPr>
          <w:cantSplit/>
          <w:tblHeader/>
        </w:trPr>
        <w:tc>
          <w:tcPr>
            <w:tcW w:type="dxa" w:w="15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Acción</w:t>
            </w:r>
          </w:p>
        </w:tc>
        <w:tc>
          <w:tcPr>
            <w:tcW w:type="dxa" w:w="75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Comportamiento</w:t>
            </w:r>
          </w:p>
        </w:tc>
      </w:tr>
      <w:tr>
        <w:trPr>
          <w:cantSplit/>
        </w:trPr>
        <w:tc>
          <w:tcPr>
            <w:tcW w:type="dxa" w:w="1500"/>
            <w:shd w:fill="auto" w:color="auto" w:val="clear"/>
            <w:tcMar>
              <w:top w:type="dxa" w:w="70"/>
              <w:left w:type="dxa" w:w="110"/>
              <w:bottom w:type="dxa" w:w="70"/>
              <w:right w:type="dxa" w:w="110"/>
            </w:tcMar>
          </w:tcPr>
          <w:p>
            <w:pPr>
              <w:spacing w:after="40" w:before="40" w:line="240"/>
              <w:jc w:val="left"/>
            </w:pPr>
            <w:r>
              <w:rPr>
                <w:sz w:val="18"/>
                <w:szCs w:val="18"/>
              </w:rPr>
              <w:t xml:space="preserve">Crear</w:t>
            </w:r>
          </w:p>
        </w:tc>
        <w:tc>
          <w:tcPr>
            <w:tcW w:type="dxa" w:w="7520"/>
            <w:shd w:fill="auto" w:color="auto" w:val="clear"/>
            <w:tcMar>
              <w:top w:type="dxa" w:w="70"/>
              <w:left w:type="dxa" w:w="110"/>
              <w:bottom w:type="dxa" w:w="70"/>
              <w:right w:type="dxa" w:w="110"/>
            </w:tcMar>
          </w:tcPr>
          <w:p>
            <w:pPr>
              <w:spacing w:after="40" w:before="40" w:line="240"/>
              <w:jc w:val="left"/>
            </w:pPr>
            <w:r>
              <w:rPr>
                <w:sz w:val="18"/>
                <w:szCs w:val="18"/>
              </w:rPr>
              <w:t>Pide símbolo y descripción. Si el símbolo ya existe en la empresa, muestra el error y pide uno distinto. La comparación no distingue mayúsculas: «Kg» y «kg» son el mismo símbolo y no pueden convivir, que es exactamente la entrada de datos basura que esta lista existe para impedir (D-31).</w:t>
            </w:r>
          </w:p>
        </w:tc>
      </w:tr>
      <w:tr>
        <w:trPr>
          <w:cantSplit/>
        </w:trPr>
        <w:tc>
          <w:tcPr>
            <w:tcW w:type="dxa" w:w="1500"/>
            <w:shd w:fill="F7F9FA" w:color="auto" w:val="clear"/>
            <w:tcMar>
              <w:top w:type="dxa" w:w="70"/>
              <w:left w:type="dxa" w:w="110"/>
              <w:bottom w:type="dxa" w:w="70"/>
              <w:right w:type="dxa" w:w="110"/>
            </w:tcMar>
          </w:tcPr>
          <w:p>
            <w:pPr>
              <w:spacing w:after="40" w:before="40" w:line="240"/>
              <w:jc w:val="left"/>
            </w:pPr>
            <w:r>
              <w:rPr>
                <w:sz w:val="18"/>
                <w:szCs w:val="18"/>
              </w:rPr>
              <w:t xml:space="preserve">Editar</w:t>
            </w:r>
          </w:p>
        </w:tc>
        <w:tc>
          <w:tcPr>
            <w:tcW w:type="dxa" w:w="7520"/>
            <w:shd w:fill="F7F9FA" w:color="auto" w:val="clear"/>
            <w:tcMar>
              <w:top w:type="dxa" w:w="70"/>
              <w:left w:type="dxa" w:w="110"/>
              <w:bottom w:type="dxa" w:w="70"/>
              <w:right w:type="dxa" w:w="110"/>
            </w:tcMar>
          </w:tcPr>
          <w:p>
            <w:pPr>
              <w:spacing w:after="40" w:before="40" w:line="240"/>
              <w:jc w:val="left"/>
            </w:pPr>
            <w:r>
              <w:rPr>
                <w:sz w:val="18"/>
                <w:szCs w:val="18"/>
              </w:rPr>
              <w:t xml:space="preserve">Permite modificar símbolo o descripción, con la misma validación de duplicado.</w:t>
            </w:r>
          </w:p>
        </w:tc>
      </w:tr>
      <w:tr>
        <w:trPr>
          <w:cantSplit/>
        </w:trPr>
        <w:tc>
          <w:tcPr>
            <w:tcW w:type="dxa" w:w="1500"/>
            <w:shd w:fill="auto" w:color="auto" w:val="clear"/>
            <w:tcMar>
              <w:top w:type="dxa" w:w="70"/>
              <w:left w:type="dxa" w:w="110"/>
              <w:bottom w:type="dxa" w:w="70"/>
              <w:right w:type="dxa" w:w="110"/>
            </w:tcMar>
          </w:tcPr>
          <w:p>
            <w:pPr>
              <w:spacing w:after="40" w:before="40" w:line="240"/>
              <w:jc w:val="left"/>
            </w:pPr>
            <w:r>
              <w:rPr>
                <w:sz w:val="18"/>
                <w:szCs w:val="18"/>
              </w:rPr>
              <w:t xml:space="preserve">Eliminar</w:t>
            </w:r>
          </w:p>
        </w:tc>
        <w:tc>
          <w:tcPr>
            <w:tcW w:type="dxa" w:w="7520"/>
            <w:shd w:fill="auto" w:color="auto" w:val="clear"/>
            <w:tcMar>
              <w:top w:type="dxa" w:w="70"/>
              <w:left w:type="dxa" w:w="110"/>
              <w:bottom w:type="dxa" w:w="70"/>
              <w:right w:type="dxa" w:w="110"/>
            </w:tcMar>
          </w:tcPr>
          <w:p>
            <w:pPr>
              <w:spacing w:after="40" w:before="40" w:line="240"/>
              <w:jc w:val="left"/>
            </w:pPr>
            <w:r>
              <w:rPr>
                <w:sz w:val="18"/>
                <w:szCs w:val="18"/>
              </w:rPr>
              <w:t xml:space="preserve">Si la unidad está en uso en algún recurso o APU, la eliminación se bloquea con un mensaje explicativo. Si no, pide confirmación.</w:t>
            </w:r>
          </w:p>
        </w:tc>
      </w:tr>
    </w:tbl>
    <w:p>
      <w:pPr>
        <w:spacing w:after="120" w:before="0" w:line="276"/>
        <w:jc w:val="both"/>
      </w:pPr>
      <w:r>
        <w:rPr>
          <w:sz w:val="20"/>
          <w:szCs w:val="20"/>
        </w:rPr>
        <w:t xml:space="preserve">Las unidades creadas quedan disponibles de inmediato en el selector de Recursos y de APU.</w:t>
      </w:r>
    </w:p>
    <w:p>
      <w:pPr>
        <w:spacing w:after="120"/>
      </w:pPr>
      <w:r>
        <w:t>Cambiar la unidad de un recurso o de un APU que ya está en uso queda bloqueado. El mensaje dice en cuántos APU o presupuestos está en uso y sugiere crear un recurso nuevo con la unidad correcta. Ajustar los rendimientos exigiría un factor de conversión que el sistema no tiene ni puede deducir, porque las unidades son símbolos de texto que cada empresa define libremente (D-31).</w:t>
      </w:r>
    </w:p>
    <w:p>
      <w:pPr>
        <w:pStyle w:val="Heading2"/>
        <w:spacing w:after="120" w:before="300"/>
      </w:pPr>
      <w:r>
        <w:rPr>
          <w:b/>
          <w:bCs/>
          <w:color w:val="1F2933"/>
          <w:sz w:val="23"/>
          <w:szCs w:val="23"/>
        </w:rPr>
        <w:t>11.7 Notificaciones</w:t>
      </w:r>
    </w:p>
    <w:p>
      <w:pPr>
        <w:spacing w:after="120" w:before="0" w:line="276"/>
        <w:jc w:val="both"/>
      </w:pPr>
      <w:r>
        <w:rPr>
          <w:sz w:val="20"/>
          <w:szCs w:val="20"/>
        </w:rPr>
        <w:t xml:space="preserve">Casillas para activar o desactivar los avisos por correo: fin del período de prueba con dos días de anticipación, vencimiento de la suscripción con cinco días y cambios de estado del proyecto (RF-CFG-21).</w:t>
      </w:r>
    </w:p>
    <w:p>
      <w:pPr>
        <w:pStyle w:val="Heading1"/>
        <w:pBdr>
          <w:bottom w:val="single" w:color="13496B" w:sz="10" w:space="6"/>
        </w:pBdr>
        <w:spacing w:after="180" w:before="420"/>
      </w:pPr>
      <w:r>
        <w:rPr>
          <w:b/>
          <w:bCs/>
          <w:color w:val="13496B"/>
          <w:sz w:val="30"/>
          <w:szCs w:val="30"/>
        </w:rPr>
        <w:t>12. Lo que no se construye</w:t>
      </w:r>
    </w:p>
    <w:p>
      <w:pPr>
        <w:spacing w:after="120" w:before="0" w:line="276"/>
        <w:jc w:val="both"/>
      </w:pPr>
      <w:r>
        <w:rPr>
          <w:sz w:val="20"/>
          <w:szCs w:val="20"/>
        </w:rPr>
        <w:t>Estas funciones se nombran en algún punto del producto o son las que cualquiera esperaría encontrar en un sistema de presupuestación. Ninguna se programa en el MVP, y la lista existe para que no se cuelen.</w:t>
      </w:r>
    </w:p>
    <w:tbl>
      <w:tblPr>
        <w:tblW w:type="dxa" w:w="9020"/>
        <w:tblBorders>
          <w:top w:val="single" w:color="D4DAE0" w:sz="2"/>
          <w:left w:val="none" w:color="FFFFFF" w:sz="0"/>
          <w:bottom w:val="single" w:color="D4DAE0" w:sz="2"/>
          <w:right w:val="none" w:color="FFFFFF" w:sz="0"/>
          <w:insideH w:val="single" w:color="E4E8EC" w:sz="2"/>
          <w:insideV w:val="none" w:color="FFFFFF" w:sz="0"/>
        </w:tblBorders>
      </w:tblPr>
      <w:tblGrid>
        <w:gridCol w:w="3200"/>
        <w:gridCol w:w="2620"/>
      </w:tblGrid>
      <w:tr>
        <w:trPr>
          <w:cantSplit/>
          <w:tblHeader/>
        </w:trPr>
        <w:tc>
          <w:tcPr>
            <w:tcW w:type="dxa" w:w="320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Función</w:t>
            </w:r>
          </w:p>
        </w:tc>
        <w:tc>
          <w:tcPr>
            <w:tcW w:type="dxa" w:w="2620"/>
            <w:shd w:fill="13496B" w:color="auto" w:val="clear"/>
            <w:tcMar>
              <w:top w:type="dxa" w:w="70"/>
              <w:left w:type="dxa" w:w="110"/>
              <w:bottom w:type="dxa" w:w="70"/>
              <w:right w:type="dxa" w:w="110"/>
            </w:tcMar>
          </w:tcPr>
          <w:p>
            <w:pPr>
              <w:spacing w:after="40" w:before="40" w:line="240"/>
              <w:jc w:val="left"/>
            </w:pPr>
            <w:r>
              <w:rPr>
                <w:b/>
                <w:bCs/>
                <w:color w:val="FFFFFF"/>
                <w:sz w:val="18"/>
                <w:szCs w:val="18"/>
              </w:rPr>
              <w:t xml:space="preserve">Estado</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Plantilla de capítulos base preconfigurable</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Fase 2. La duplicación de proyectos cubre el caso</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Importación masiva de recursos y APU por Excel</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Construida, por decisión del dueño del 6 de octubre de 2026. Ver §5.5 y §6.6</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Paleta de colores corporativa inyectada en los PDF</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Fase 2. El PDF usa logo y NIT únicamente</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Formulario de soporte técnico con tickets y adjuntos</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Sin requisito</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Solicitud de activación del Editor al Administrador</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No existe. Activar es exclusivo del Administrador</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Módulo de órdenes de cambio con campos y aprobaciones</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No existe. Se resuelve con reapertura justificada</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Edición directa de un proyecto en estado Activo</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No existe. Hay que reabrir</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Rol Lector / Cliente con acceso al sistema</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Fase 2. En el MVP el cliente recibe el PDF</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Selector de moneda por proyecto</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La moneda se hereda de la empresa</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Pasarela de pagos y cobro recurrente automático</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Fase 2. En el MVP el cobro es manual</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Avance físico: cantidad ejecutada, % de avance y valor ejecutado</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Fase 2, dentro del control de obra (D-43). El MVP termina en la línea base aprobada</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 xml:space="preserve">Compras, inventario, vales de salida, contratos, anticipos, otrosíes</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Fase 2 completa</w:t>
            </w:r>
          </w:p>
        </w:tc>
      </w:tr>
      <w:tr>
        <w:trPr>
          <w:cantSplit/>
        </w:trPr>
        <w:tc>
          <w:tcPr>
            <w:tcW w:type="dxa" w:w="3200"/>
            <w:shd w:fill="F7F9FA" w:color="auto" w:val="clear"/>
            <w:tcMar>
              <w:top w:type="dxa" w:w="70"/>
              <w:left w:type="dxa" w:w="110"/>
              <w:bottom w:type="dxa" w:w="70"/>
              <w:right w:type="dxa" w:w="110"/>
            </w:tcMar>
          </w:tcPr>
          <w:p>
            <w:pPr>
              <w:spacing w:after="40" w:before="40" w:line="240"/>
              <w:jc w:val="left"/>
            </w:pPr>
            <w:r>
              <w:rPr>
                <w:sz w:val="18"/>
                <w:szCs w:val="18"/>
              </w:rPr>
              <w:t xml:space="preserve">Reportes, indicadores EVM, cubos de datos</w:t>
            </w:r>
          </w:p>
        </w:tc>
        <w:tc>
          <w:tcPr>
            <w:tcW w:type="dxa" w:w="2620"/>
            <w:shd w:fill="F7F9FA" w:color="auto" w:val="clear"/>
            <w:tcMar>
              <w:top w:type="dxa" w:w="70"/>
              <w:left w:type="dxa" w:w="110"/>
              <w:bottom w:type="dxa" w:w="70"/>
              <w:right w:type="dxa" w:w="110"/>
            </w:tcMar>
          </w:tcPr>
          <w:p>
            <w:pPr>
              <w:spacing w:after="40" w:before="40" w:line="240"/>
              <w:jc w:val="left"/>
            </w:pPr>
            <w:r>
              <w:rPr>
                <w:sz w:val="18"/>
                <w:szCs w:val="18"/>
              </w:rPr>
              <w:t xml:space="preserve">Fase 2 / 3</w:t>
            </w:r>
          </w:p>
        </w:tc>
      </w:tr>
      <w:tr>
        <w:trPr>
          <w:cantSplit/>
        </w:trPr>
        <w:tc>
          <w:tcPr>
            <w:tcW w:type="dxa" w:w="3200"/>
            <w:shd w:fill="auto" w:color="auto" w:val="clear"/>
            <w:tcMar>
              <w:top w:type="dxa" w:w="70"/>
              <w:left w:type="dxa" w:w="110"/>
              <w:bottom w:type="dxa" w:w="70"/>
              <w:right w:type="dxa" w:w="110"/>
            </w:tcMar>
          </w:tcPr>
          <w:p>
            <w:pPr>
              <w:spacing w:after="40" w:before="40" w:line="240"/>
              <w:jc w:val="left"/>
            </w:pPr>
            <w:r>
              <w:rPr>
                <w:sz w:val="18"/>
                <w:szCs w:val="18"/>
              </w:rPr>
              <w:t>Cronograma o Gantt, facturación electrónica del constructor a su cliente final, integración BIM/CAD</w:t>
            </w:r>
          </w:p>
        </w:tc>
        <w:tc>
          <w:tcPr>
            <w:tcW w:type="dxa" w:w="2620"/>
            <w:shd w:fill="auto" w:color="auto" w:val="clear"/>
            <w:tcMar>
              <w:top w:type="dxa" w:w="70"/>
              <w:left w:type="dxa" w:w="110"/>
              <w:bottom w:type="dxa" w:w="70"/>
              <w:right w:type="dxa" w:w="110"/>
            </w:tcMar>
          </w:tcPr>
          <w:p>
            <w:pPr>
              <w:spacing w:after="40" w:before="40" w:line="240"/>
              <w:jc w:val="left"/>
            </w:pPr>
            <w:r>
              <w:rPr>
                <w:sz w:val="18"/>
                <w:szCs w:val="18"/>
              </w:rPr>
              <w:t xml:space="preserve">Fuera del producto, de forma permanente</w:t>
            </w:r>
          </w:p>
        </w:tc>
      </w:tr>
    </w:tbl>
    <w:p>
      <w:pPr>
        <w:spacing w:after="200"/>
      </w:pPr>
    </w:p>
    <w:p>
      <w:pPr>
        <w:spacing w:after="120" w:before="0" w:line="276"/>
        <w:jc w:val="center"/>
      </w:pPr>
      <w:r>
        <w:rPr>
          <w:i/>
          <w:iCs/>
          <w:color w:val="7A8896"/>
          <w:sz w:val="20"/>
          <w:szCs w:val="20"/>
        </w:rPr>
        <w:t xml:space="preserve">— Fin del documento —</w:t>
      </w:r>
    </w:p>
    <w:sectPr>
      <w:headerReference w:type="default" r:id="rId7"/>
      <w:headerReference w:type="first" r:id="rId8"/>
      <w:footerReference w:type="default" r:id="rId9"/>
      <w:footerReference w:type="first" r:id="rId10"/>
      <w:headerReference w:type="even" r:id="rId12"/>
      <w:footerReference w:type="even" r:id="rId13"/>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AE0" w:sz="4" w:space="4"/>
      </w:pBdr>
      <w:jc w:val="right"/>
    </w:pPr>
    <w:r>
      <w:rPr>
        <w:color w:val="8A97A3"/>
        <w:sz w:val="15"/>
        <w:szCs w:val="15"/>
      </w:rPr>
      <w:t>CONSTRUSOFT · Guía de comportamiento de interfaz</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Comportamiento de interfaz</dc:title>
  <dc:creator>Juan Sebastián Lopera Ayala</dc:creator>
  <cp:lastModifiedBy>Un-named</cp:lastModifiedBy>
  <cp:revision>1</cp:revision>
  <dcterms:created xsi:type="dcterms:W3CDTF">2026-09-15T05:20:09.454Z</dcterms:created>
  <dcterms:modified xsi:type="dcterms:W3CDTF">2026-09-15T05:20:09.454Z</dcterms:modified>
</cp:coreProperties>
</file>

<file path=docProps/custom.xml><?xml version="1.0" encoding="utf-8"?>
<Properties xmlns="http://schemas.openxmlformats.org/officeDocument/2006/custom-properties" xmlns:vt="http://schemas.openxmlformats.org/officeDocument/2006/docPropsVTypes"/>
</file>