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termina sin pago, el usuario inicia sesión y la empresa pasa a SOLO LECTURA. Abre Recursos, APU y Presupuestos, los consulta y los exporta; cualquier acción que escriba se rechaza, y la pantalla de suscripción es donde están los datos para pagar. Hasta el 30 de septiembre de 2026 esta guía decía que el menú no se mostraba y que no abría nada; la decisión del dueño, de esa fecha, cambió el bloqueo por la solo lectura, porque los datos son del cliente. Desde el 12 de octubre de 2026 esa solo lectura queda para la prueba;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Al confirmarse el pago, todo vuelve a estar como estaba. A los 60 días de suspendida, los datos de la empresa se eliminan.</w:t>
      </w:r>
    </w:p>
    <w:p>
      <w:pPr>
        <w:spacing w:after="120" w:before="0" w:line="276"/>
        <w:jc w:val="both"/>
      </w:pPr>
      <w:r>
        <w:rPr>
          <w:sz w:val="20"/>
          <w:szCs w:val="20"/>
        </w:rPr>
        <w:t>La suscripción la cancelan el Administrador de la empresa o el superadministrador, y cancelar es definitivo. La cuenta funciona hasta la fecha que ya pagó y no se le cobra más. Desde el día siguiente nadie entra,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la prueba vencida se sigue eliminando a mano (D-74).</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1.2 Vigas de amarre». La fila de cada capítulo y subcapítulo lleva además un botón para agregar una actividad ahí mismo, con un icono distinto del de agregar subcapítulo. Así, el ítem 1.1.1 se agrega dentro del subcapítulo 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