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suscripción no está vigente —prueba agotada sin pago, o mensualidad vencida—, el usuario inicia sesión y la empresa pasa a SOLO LECTURA. Abre Recursos, APU y Presupuestos, los consulta y los exporta; cualquier acción que escriba se rechaza, y la pantalla de suscripción vencida es donde están los datos para pagar. Hasta el 30 de septiembre de 2026 esta guía decía que el menú no se mostraba y que no abría nada; la decisión del dueño, de esa fecha, cambió el bloqueo por la solo lectura, porque los datos son del cliente y una empresa a la que se le pasó la renovación tiene que poder sacar sus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dos listas que piden una acción: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1.2 Vigas de amarre». La fila de cada capítulo y subcapítulo lleva además un botón para agregar una actividad ahí mismo, con un icono distinto del de agregar subcapítulo. Así, el ítem 1.1.1 se agrega dentro del subcapítulo 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 xml:space="preserve">Debajo, la tabla del historial de facturación con fecha, concepto, monto, método de pago y estado,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