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b/>
          <w:bCs/>
          <w:caps/>
          <w:color w:val="7A8896"/>
          <w:spacing w:val="60"/>
          <w:sz w:val="17"/>
          <w:szCs w:val="17"/>
        </w:rPr>
        <w:t xml:space="preserve">Paquete de desarrollo</w:t>
      </w:r>
    </w:p>
    <w:p>
      <w:pPr>
        <w:spacing w:after="120"/>
      </w:pPr>
      <w:r>
        <w:rPr>
          <w:b/>
          <w:bCs/>
          <w:color w:val="13496B"/>
          <w:sz w:val="44"/>
          <w:szCs w:val="44"/>
        </w:rPr>
        <w:t xml:space="preserve">Por dónde empezar</w:t>
      </w:r>
    </w:p>
    <w:p>
      <w:pPr>
        <w:pBdr>
          <w:bottom w:val="single" w:color="13496B" w:sz="12" w:space="10"/>
        </w:pBdr>
        <w:spacing w:after="700"/>
      </w:pPr>
      <w:r>
        <w:rPr>
          <w:color w:val="3C4A57"/>
          <w:sz w:val="24"/>
          <w:szCs w:val="24"/>
        </w:rPr>
        <w:t>Índice del paquete, puesta en marcha de la base y reglas que no se rompen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Documento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00 de 07</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Fecha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16 de septiembre de 2026 · revisiones del 22 de septiembre y del 16 de octubre de 2026</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Preparado para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Juan Sebastián Lopera Ayala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Contenido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Ocho archivos y una carpeta: siete documentos, el esquema de la base de datos (archivo 05) y la carpeta migraciones con los cambios posteriores al esquema</w:t>
            </w:r>
          </w:p>
        </w:tc>
      </w:tr>
    </w:tbl>
    <w:p>
      <w:pPr>
        <w:spacing w:before="160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Antes de abrir cualquier otro archivo</w:t>
            </w:r>
          </w:p>
          <w:p>
            <w:pPr>
              <w:spacing w:after="110" w:line="276"/>
              <w:jc w:val="both"/>
            </w:pPr>
            <w:r>
              <w:rPr>
                <w:sz w:val="19"/>
                <w:szCs w:val="19"/>
              </w:rPr>
              <w:t>Esta carpeta es el paquete completo y es lo único que hay que leer para programar el MVP. Cualquier otro archivo del proyecto que esté fuera de ella es material antiguo: contiene fórmulas incorrectas y describe funciones que quedaron fuera del alcance.</w:t>
            </w:r>
          </w:p>
          <w:p>
            <w:pPr>
              <w:spacing w:after="40" w:line="276"/>
              <w:jc w:val="both"/>
            </w:pPr>
            <w:r>
              <w:rPr>
                <w:sz w:val="19"/>
                <w:szCs w:val="19"/>
              </w:rPr>
              <w:t>Si alguien del equipo tiene esos archivos, conviene sacarlos de la carpeta de trabajo.</w:t>
            </w:r>
          </w:p>
        </w:tc>
      </w:tr>
    </w:tbl>
    <w:p>
      <w:r>
        <w:br w:type="page"/>
      </w:r>
    </w:p>
    <w:p>
      <w:pPr>
        <w:pStyle w:val="Heading1"/>
        <w:pBdr>
          <w:bottom w:val="single" w:color="13496B" w:sz="10" w:space="6"/>
        </w:pBdr>
        <w:spacing w:after="180" w:before="420"/>
      </w:pPr>
      <w:r>
        <w:rPr>
          <w:b/>
          <w:bCs/>
          <w:color w:val="13496B"/>
          <w:sz w:val="30"/>
          <w:szCs w:val="30"/>
        </w:rPr>
        <w:t xml:space="preserve">1. Qué es este paquete</w:t>
      </w:r>
    </w:p>
    <w:p>
      <w:pPr>
        <w:spacing w:after="120" w:before="0" w:line="276"/>
        <w:jc w:val="both"/>
      </w:pPr>
      <w:r>
        <w:rPr>
          <w:sz w:val="20"/>
          <w:szCs w:val="20"/>
        </w:rPr>
        <w:t>Todo lo necesario para empezar a programar CONSTRUSOFT sin tener que reconstruir el contexto ni preguntar por lo que ya está decidido. Los documentos están pensados para leerse en orden, y entre todos describen un solo estado del sistema: el vigente. Ninguno guarda decisiones anteriores ni variantes descartadas.</w:t>
      </w:r>
    </w:p>
    <w:p>
      <w:pPr>
        <w:spacing w:after="120" w:before="0" w:line="276"/>
        <w:jc w:val="both"/>
      </w:pPr>
      <w:r>
        <w:rPr>
          <w:sz w:val="20"/>
          <w:szCs w:val="20"/>
        </w:rPr>
        <w:t>Si un documento de este paquete contradice a otro, manda el de número más bajo, con una excepción: las fórmulas del documento 06 mandan sobre la descripción de pantalla del 02. Y por encima de todos manda el esquema, el archivo 05, en todo lo relativo a los datos.</w:t>
      </w:r>
    </w:p>
    <w:p>
      <w:pPr>
        <w:spacing w:after="120" w:before="0" w:line="276"/>
        <w:jc w:val="both"/>
      </w:pPr>
      <w:r>
        <w:rPr>
          <w:sz w:val="20"/>
          <w:szCs w:val="20"/>
        </w:rPr>
        <w:t xml:space="preserve">El documento 07 es la excepción a la numeración: llegó después del MVP y completa al 01 con lo que se construye a partir de ahí. Y el esquema ya no es un solo archivo: el 05 es su estado inicial y las migraciones de la carpeta migraciones, aplicadas en orden, son su estado actual (D-77).</w:t>
      </w:r>
    </w:p>
    <w:p>
      <w:pPr>
        <w:pStyle w:val="Heading1"/>
        <w:pBdr>
          <w:bottom w:val="single" w:color="13496B" w:sz="10" w:space="6"/>
        </w:pBdr>
        <w:spacing w:after="180" w:before="420"/>
      </w:pPr>
      <w:r>
        <w:rPr>
          <w:b/>
          <w:bCs/>
          <w:color w:val="13496B"/>
          <w:sz w:val="30"/>
          <w:szCs w:val="30"/>
        </w:rPr>
        <w:t xml:space="preserve">2. Qué contiene y en qué orden leerlo</w:t>
      </w:r>
    </w:p>
    <w:p>
      <w:pPr>
        <w:spacing w:after="80"/>
      </w:pP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2700"/>
        <w:gridCol w:w="4200"/>
        <w:gridCol w:w="2120"/>
      </w:tblGrid>
      <w:tr>
        <w:trPr>
          <w:cantSplit/>
          <w:tblHeader/>
        </w:trPr>
        <w:tc>
          <w:tcPr>
            <w:tcW w:type="dxa" w:w="2700"/>
            <w:tcW w:w="2000" w:type="dxa"/>
            <w:tcMar>
              <w:top w:w="70" w:type="dxa"/>
              <w:left w:w="110" w:type="dxa"/>
              <w:bottom w:w="70" w:type="dxa"/>
              <w:right w:w="110" w:type="dxa"/>
            </w:tcMar>
            <w:shd w:val="clear" w:color="auto" w:fill="13496B"/>
          </w:tcPr>
          <w:p>
            <w:pPr>
              <w:spacing w:before="40" w:after="80"/>
            </w:pPr>
            <w:r>
              <w:rPr>
                <w:b/>
                <w:color w:val="FFFFFF"/>
                <w:sz w:val="18"/>
              </w:rPr>
              <w:t>Archivo</w:t>
            </w:r>
          </w:p>
        </w:tc>
        <w:tc>
          <w:tcPr>
            <w:tcW w:type="dxa" w:w="4200"/>
            <w:tcW w:w="4600" w:type="dxa"/>
            <w:tcMar>
              <w:top w:w="70" w:type="dxa"/>
              <w:left w:w="110" w:type="dxa"/>
              <w:bottom w:w="70" w:type="dxa"/>
              <w:right w:w="110" w:type="dxa"/>
            </w:tcMar>
            <w:shd w:val="clear" w:color="auto" w:fill="13496B"/>
          </w:tcPr>
          <w:p>
            <w:pPr>
              <w:spacing w:before="40" w:after="80"/>
            </w:pPr>
            <w:r>
              <w:rPr>
                <w:b/>
                <w:color w:val="FFFFFF"/>
                <w:sz w:val="18"/>
              </w:rPr>
              <w:t>Qué es</w:t>
            </w:r>
          </w:p>
        </w:tc>
        <w:tc>
          <w:tcPr>
            <w:tcW w:type="dxa" w:w="2120"/>
            <w:tcW w:w="2420" w:type="dxa"/>
            <w:tcMar>
              <w:top w:w="70" w:type="dxa"/>
              <w:left w:w="110" w:type="dxa"/>
              <w:bottom w:w="70" w:type="dxa"/>
              <w:right w:w="110" w:type="dxa"/>
            </w:tcMar>
            <w:shd w:val="clear" w:color="auto" w:fill="13496B"/>
          </w:tcPr>
          <w:p>
            <w:pPr>
              <w:spacing w:before="40" w:after="80"/>
            </w:pPr>
            <w:r>
              <w:rPr>
                <w:b/>
                <w:color w:val="FFFFFF"/>
                <w:sz w:val="18"/>
              </w:rPr>
              <w:t>Cuándo se lee</w:t>
            </w:r>
          </w:p>
        </w:tc>
      </w:tr>
      <w:tr>
        <w:tc>
          <w:tcPr>
            <w:tcW w:type="dxa" w:w="2700"/>
            <w:tcW w:w="2000" w:type="dxa"/>
            <w:tcMar>
              <w:top w:w="70" w:type="dxa"/>
              <w:left w:w="110" w:type="dxa"/>
              <w:bottom w:w="70" w:type="dxa"/>
              <w:right w:w="110" w:type="dxa"/>
            </w:tcMar>
          </w:tcPr>
          <w:p>
            <w:pPr>
              <w:spacing w:before="40" w:after="80"/>
            </w:pPr>
            <w:r>
              <w:rPr>
                <w:b w:val="0"/>
                <w:sz w:val="19"/>
              </w:rPr>
              <w:t>00 — LÉEME primero</w:t>
            </w:r>
          </w:p>
        </w:tc>
        <w:tc>
          <w:tcPr>
            <w:tcW w:type="dxa" w:w="4200"/>
            <w:tcW w:w="4600" w:type="dxa"/>
            <w:tcMar>
              <w:top w:w="70" w:type="dxa"/>
              <w:left w:w="110" w:type="dxa"/>
              <w:bottom w:w="70" w:type="dxa"/>
              <w:right w:w="110" w:type="dxa"/>
            </w:tcMar>
          </w:tcPr>
          <w:p>
            <w:pPr>
              <w:spacing w:before="40" w:after="80"/>
            </w:pPr>
            <w:r>
              <w:rPr>
                <w:b w:val="0"/>
                <w:sz w:val="19"/>
              </w:rPr>
              <w:t>Este documento: el índice del paquete, la puesta en marcha de la base y las reglas que no se rompen.</w:t>
            </w:r>
          </w:p>
        </w:tc>
        <w:tc>
          <w:tcPr>
            <w:tcW w:type="dxa" w:w="2120"/>
            <w:tcW w:w="2420" w:type="dxa"/>
            <w:tcMar>
              <w:top w:w="70" w:type="dxa"/>
              <w:left w:w="110" w:type="dxa"/>
              <w:bottom w:w="70" w:type="dxa"/>
              <w:right w:w="110" w:type="dxa"/>
            </w:tcMar>
          </w:tcPr>
          <w:p>
            <w:pPr>
              <w:spacing w:before="40" w:after="80"/>
            </w:pPr>
            <w:r>
              <w:rPr>
                <w:b w:val="0"/>
                <w:sz w:val="19"/>
              </w:rPr>
              <w:t>Ahora</w:t>
            </w:r>
          </w:p>
        </w:tc>
      </w:tr>
      <w:tr>
        <w:tc>
          <w:tcPr>
            <w:tcW w:type="dxa" w:w="2700"/>
            <w:tcW w:w="2000" w:type="dxa"/>
            <w:tcMar>
              <w:top w:w="70" w:type="dxa"/>
              <w:left w:w="110" w:type="dxa"/>
              <w:bottom w:w="70" w:type="dxa"/>
              <w:right w:w="110" w:type="dxa"/>
            </w:tcMar>
          </w:tcPr>
          <w:p>
            <w:pPr>
              <w:spacing w:before="40" w:after="80"/>
            </w:pPr>
            <w:r>
              <w:rPr>
                <w:b w:val="0"/>
                <w:sz w:val="19"/>
              </w:rPr>
              <w:t>01 — Alcance del MVP</w:t>
            </w:r>
          </w:p>
        </w:tc>
        <w:tc>
          <w:tcPr>
            <w:tcW w:type="dxa" w:w="4200"/>
            <w:tcW w:w="4600" w:type="dxa"/>
            <w:tcMar>
              <w:top w:w="70" w:type="dxa"/>
              <w:left w:w="110" w:type="dxa"/>
              <w:bottom w:w="70" w:type="dxa"/>
              <w:right w:w="110" w:type="dxa"/>
            </w:tcMar>
          </w:tcPr>
          <w:p>
            <w:pPr>
              <w:spacing w:before="40" w:after="80"/>
            </w:pPr>
            <w:r>
              <w:rPr>
                <w:b w:val="0"/>
                <w:sz w:val="19"/>
              </w:rPr>
              <w:t>El documento normativo. Qué se construye y qué no, las reglas de negocio, los requisitos funcionales numerados, el motivo de cada decisión de diseño (sección 14) y lo único que sigue sin decidir (sección 17).</w:t>
            </w:r>
          </w:p>
        </w:tc>
        <w:tc>
          <w:tcPr>
            <w:tcW w:type="dxa" w:w="2120"/>
            <w:tcW w:w="2420" w:type="dxa"/>
            <w:tcMar>
              <w:top w:w="70" w:type="dxa"/>
              <w:left w:w="110" w:type="dxa"/>
              <w:bottom w:w="70" w:type="dxa"/>
              <w:right w:w="110" w:type="dxa"/>
            </w:tcMar>
          </w:tcPr>
          <w:p>
            <w:pPr>
              <w:spacing w:before="40" w:after="80"/>
            </w:pPr>
            <w:r>
              <w:rPr>
                <w:b w:val="0"/>
                <w:sz w:val="19"/>
              </w:rPr>
              <w:t>Completo, antes de escribir una línea</w:t>
            </w:r>
          </w:p>
        </w:tc>
      </w:tr>
      <w:tr>
        <w:tc>
          <w:tcPr>
            <w:tcW w:type="dxa" w:w="2700"/>
            <w:tcW w:w="2000" w:type="dxa"/>
            <w:tcMar>
              <w:top w:w="70" w:type="dxa"/>
              <w:left w:w="110" w:type="dxa"/>
              <w:bottom w:w="70" w:type="dxa"/>
              <w:right w:w="110" w:type="dxa"/>
            </w:tcMar>
          </w:tcPr>
          <w:p>
            <w:pPr>
              <w:spacing w:before="40" w:after="80"/>
            </w:pPr>
            <w:r>
              <w:rPr>
                <w:b w:val="0"/>
                <w:sz w:val="19"/>
              </w:rPr>
              <w:t>02 — Guía de comportamiento de interfaz</w:t>
            </w:r>
          </w:p>
        </w:tc>
        <w:tc>
          <w:tcPr>
            <w:tcW w:type="dxa" w:w="4200"/>
            <w:tcW w:w="4600" w:type="dxa"/>
            <w:tcMar>
              <w:top w:w="70" w:type="dxa"/>
              <w:left w:w="110" w:type="dxa"/>
              <w:bottom w:w="70" w:type="dxa"/>
              <w:right w:w="110" w:type="dxa"/>
            </w:tcMar>
          </w:tcPr>
          <w:p>
            <w:pPr>
              <w:spacing w:before="40" w:after="80"/>
            </w:pPr>
            <w:r>
              <w:rPr>
                <w:b w:val="0"/>
                <w:sz w:val="19"/>
              </w:rPr>
              <w:t>Cómo se ve y cómo se comporta cada pantalla, módulo por módulo. Responde al «cómo», no al «qué».</w:t>
            </w:r>
          </w:p>
        </w:tc>
        <w:tc>
          <w:tcPr>
            <w:tcW w:type="dxa" w:w="2120"/>
            <w:tcW w:w="2420" w:type="dxa"/>
            <w:tcMar>
              <w:top w:w="70" w:type="dxa"/>
              <w:left w:w="110" w:type="dxa"/>
              <w:bottom w:w="70" w:type="dxa"/>
              <w:right w:w="110" w:type="dxa"/>
            </w:tcMar>
          </w:tcPr>
          <w:p>
            <w:pPr>
              <w:spacing w:before="40" w:after="80"/>
            </w:pPr>
            <w:r>
              <w:rPr>
                <w:b w:val="0"/>
                <w:sz w:val="19"/>
              </w:rPr>
              <w:t>Completo antes de empezar; después, por módulo</w:t>
            </w:r>
          </w:p>
        </w:tc>
      </w:tr>
      <w:tr>
        <w:tc>
          <w:tcPr>
            <w:tcW w:type="dxa" w:w="2700"/>
            <w:tcW w:w="2000" w:type="dxa"/>
            <w:tcMar>
              <w:top w:w="70" w:type="dxa"/>
              <w:left w:w="110" w:type="dxa"/>
              <w:bottom w:w="70" w:type="dxa"/>
              <w:right w:w="110" w:type="dxa"/>
            </w:tcMar>
          </w:tcPr>
          <w:p>
            <w:pPr>
              <w:spacing w:before="40" w:after="80"/>
            </w:pPr>
            <w:r>
              <w:rPr>
                <w:b w:val="0"/>
                <w:sz w:val="19"/>
              </w:rPr>
              <w:t>03 — Plan de desarrollo por fases</w:t>
            </w:r>
          </w:p>
        </w:tc>
        <w:tc>
          <w:tcPr>
            <w:tcW w:type="dxa" w:w="4200"/>
            <w:tcW w:w="4600" w:type="dxa"/>
            <w:tcMar>
              <w:top w:w="70" w:type="dxa"/>
              <w:left w:w="110" w:type="dxa"/>
              <w:bottom w:w="70" w:type="dxa"/>
              <w:right w:w="110" w:type="dxa"/>
            </w:tcMar>
          </w:tcPr>
          <w:p>
            <w:pPr>
              <w:spacing w:before="40" w:after="80"/>
            </w:pPr>
            <w:r>
              <w:rPr>
                <w:b w:val="0"/>
                <w:sz w:val="19"/>
              </w:rPr>
              <w:t>Las fases 0 a 7 de construcción del MVP, qué entra en cada una y el hito que la cierra; y el plan de las fases 2, 3 y 4 del producto, con las reglas para crecer sin romper lo que ya funciona.</w:t>
            </w:r>
          </w:p>
        </w:tc>
        <w:tc>
          <w:tcPr>
            <w:tcW w:type="dxa" w:w="2120"/>
            <w:tcW w:w="2420" w:type="dxa"/>
            <w:tcMar>
              <w:top w:w="70" w:type="dxa"/>
              <w:left w:w="110" w:type="dxa"/>
              <w:bottom w:w="70" w:type="dxa"/>
              <w:right w:w="110" w:type="dxa"/>
            </w:tcMar>
          </w:tcPr>
          <w:p>
            <w:pPr>
              <w:spacing w:before="40" w:after="80"/>
            </w:pPr>
            <w:r>
              <w:rPr>
                <w:b w:val="0"/>
                <w:sz w:val="19"/>
              </w:rPr>
              <w:t>Al planear; y al cerrar cada fase</w:t>
            </w:r>
          </w:p>
        </w:tc>
      </w:tr>
      <w:tr>
        <w:tc>
          <w:tcPr>
            <w:tcW w:type="dxa" w:w="2700"/>
            <w:tcW w:w="2000" w:type="dxa"/>
            <w:tcMar>
              <w:top w:w="70" w:type="dxa"/>
              <w:left w:w="110" w:type="dxa"/>
              <w:bottom w:w="70" w:type="dxa"/>
              <w:right w:w="110" w:type="dxa"/>
            </w:tcMar>
          </w:tcPr>
          <w:p>
            <w:pPr>
              <w:spacing w:before="40" w:after="80"/>
            </w:pPr>
            <w:r>
              <w:rPr>
                <w:b w:val="0"/>
                <w:sz w:val="19"/>
              </w:rPr>
              <w:t>04 — Decisiones técnicas y stack</w:t>
            </w:r>
          </w:p>
        </w:tc>
        <w:tc>
          <w:tcPr>
            <w:tcW w:type="dxa" w:w="4200"/>
            <w:tcW w:w="4600" w:type="dxa"/>
            <w:tcMar>
              <w:top w:w="70" w:type="dxa"/>
              <w:left w:w="110" w:type="dxa"/>
              <w:bottom w:w="70" w:type="dxa"/>
              <w:right w:w="110" w:type="dxa"/>
            </w:tcMar>
          </w:tcPr>
          <w:p>
            <w:pPr>
              <w:spacing w:before="40" w:after="80"/>
            </w:pPr>
            <w:r>
              <w:rPr>
                <w:b w:val="0"/>
                <w:sz w:val="19"/>
              </w:rPr>
              <w:t>Con qué se construye, las trampas que más cuestan, seguridad y despliegue.</w:t>
            </w:r>
          </w:p>
        </w:tc>
        <w:tc>
          <w:tcPr>
            <w:tcW w:type="dxa" w:w="2120"/>
            <w:tcW w:w="2420" w:type="dxa"/>
            <w:tcMar>
              <w:top w:w="70" w:type="dxa"/>
              <w:left w:w="110" w:type="dxa"/>
              <w:bottom w:w="70" w:type="dxa"/>
              <w:right w:w="110" w:type="dxa"/>
            </w:tcMar>
          </w:tcPr>
          <w:p>
            <w:pPr>
              <w:spacing w:before="40" w:after="80"/>
            </w:pPr>
            <w:r>
              <w:rPr>
                <w:b w:val="0"/>
                <w:sz w:val="19"/>
              </w:rPr>
              <w:t>Antes de montar el proyecto</w:t>
            </w:r>
          </w:p>
        </w:tc>
      </w:tr>
      <w:tr>
        <w:tc>
          <w:tcPr>
            <w:tcW w:type="dxa" w:w="2700"/>
            <w:tcW w:w="2000" w:type="dxa"/>
            <w:tcMar>
              <w:top w:w="70" w:type="dxa"/>
              <w:left w:w="110" w:type="dxa"/>
              <w:bottom w:w="70" w:type="dxa"/>
              <w:right w:w="110" w:type="dxa"/>
            </w:tcMar>
          </w:tcPr>
          <w:p>
            <w:pPr>
              <w:spacing w:before="40" w:after="80"/>
            </w:pPr>
            <w:r>
              <w:rPr>
                <w:b w:val="0"/>
                <w:sz w:val="19"/>
              </w:rPr>
              <w:t>05 — construsoft_mvp_schema.sql</w:t>
            </w:r>
          </w:p>
        </w:tc>
        <w:tc>
          <w:tcPr>
            <w:tcW w:type="dxa" w:w="4200"/>
            <w:tcW w:w="4600" w:type="dxa"/>
            <w:tcMar>
              <w:top w:w="70" w:type="dxa"/>
              <w:left w:w="110" w:type="dxa"/>
              <w:bottom w:w="70" w:type="dxa"/>
              <w:right w:w="110" w:type="dxa"/>
            </w:tcMar>
          </w:tcPr>
          <w:p>
            <w:pPr>
              <w:spacing w:before="40" w:after="80"/>
            </w:pPr>
            <w:r>
              <w:rPr>
                <w:b w:val="0"/>
                <w:sz w:val="19"/>
              </w:rPr>
              <w:t xml:space="preserve">El esquema de base de datos, con las reglas de negocio incorporadas. Es la migración 0: se ejecuta tal cual sobre PostgreSQL. Manda sobre todo lo demás en materia de datos.</w:t>
            </w:r>
          </w:p>
        </w:tc>
        <w:tc>
          <w:tcPr>
            <w:tcW w:type="dxa" w:w="2120"/>
            <w:tcW w:w="2420" w:type="dxa"/>
            <w:tcMar>
              <w:top w:w="70" w:type="dxa"/>
              <w:left w:w="110" w:type="dxa"/>
              <w:bottom w:w="70" w:type="dxa"/>
              <w:right w:w="110" w:type="dxa"/>
            </w:tcMar>
          </w:tcPr>
          <w:p>
            <w:pPr>
              <w:spacing w:before="40" w:after="80"/>
            </w:pPr>
            <w:r>
              <w:rPr>
                <w:b w:val="0"/>
                <w:sz w:val="19"/>
              </w:rPr>
              <w:t>Al montar el ambiente</w:t>
            </w:r>
          </w:p>
        </w:tc>
      </w:tr>
      <w:tr>
        <w:tc>
          <w:tcPr>
            <w:tcW w:type="dxa" w:w="2700"/>
            <w:tcW w:w="2000" w:type="dxa"/>
            <w:tcMar>
              <w:top w:w="70" w:type="dxa"/>
              <w:left w:w="110" w:type="dxa"/>
              <w:bottom w:w="70" w:type="dxa"/>
              <w:right w:w="110" w:type="dxa"/>
            </w:tcMar>
          </w:tcPr>
          <w:p>
            <w:pPr>
              <w:spacing w:before="40" w:after="80"/>
            </w:pPr>
            <w:r>
              <w:rPr>
                <w:b w:val="0"/>
                <w:sz w:val="19"/>
              </w:rPr>
              <w:t>06 — Fórmulas y cálculos</w:t>
            </w:r>
          </w:p>
        </w:tc>
        <w:tc>
          <w:tcPr>
            <w:tcW w:type="dxa" w:w="4200"/>
            <w:tcW w:w="4600" w:type="dxa"/>
            <w:tcMar>
              <w:top w:w="70" w:type="dxa"/>
              <w:left w:w="110" w:type="dxa"/>
              <w:bottom w:w="70" w:type="dxa"/>
              <w:right w:w="110" w:type="dxa"/>
            </w:tcMar>
          </w:tcPr>
          <w:p>
            <w:pPr>
              <w:spacing w:before="40" w:after="80"/>
            </w:pPr>
            <w:r>
              <w:rPr>
                <w:b w:val="0"/>
                <w:sz w:val="19"/>
              </w:rPr>
              <w:t>Las diecisiete operaciones que hace el sistema, cada una con su fórmula, el punto de la base donde vive y un ejemplo numérico verificado.</w:t>
            </w:r>
          </w:p>
        </w:tc>
        <w:tc>
          <w:tcPr>
            <w:tcW w:type="dxa" w:w="2120"/>
            <w:tcW w:w="2420" w:type="dxa"/>
            <w:tcMar>
              <w:top w:w="70" w:type="dxa"/>
              <w:left w:w="110" w:type="dxa"/>
              <w:bottom w:w="70" w:type="dxa"/>
              <w:right w:w="110" w:type="dxa"/>
            </w:tcMar>
          </w:tcPr>
          <w:p>
            <w:pPr>
              <w:spacing w:before="40" w:after="80"/>
            </w:pPr>
            <w:r>
              <w:rPr>
                <w:b w:val="0"/>
                <w:sz w:val="19"/>
              </w:rPr>
              <w:t>Al programar cualquier cálculo; y para auditar la aritmética</w:t>
            </w:r>
          </w:p>
        </w:tc>
      </w:tr>
      <w:tr>
        <w:tc>
          <w:tcPr>
            <w:tcW w:type="dxa" w:w="2700"/>
            <w:tcW w:w="2000" w:type="dxa"/>
            <w:tcMar>
              <w:top w:w="70" w:type="dxa"/>
              <w:left w:w="110" w:type="dxa"/>
              <w:bottom w:w="70" w:type="dxa"/>
              <w:right w:w="110" w:type="dxa"/>
            </w:tcMar>
          </w:tcPr>
          <w:p>
            <w:pPr>
              <w:spacing w:before="40" w:after="80"/>
            </w:pPr>
            <w:r>
              <w:rPr>
                <w:b w:val="0"/>
                <w:sz w:val="19"/>
              </w:rPr>
              <w:t xml:space="preserve">07 — Alcance después del MVP</w:t>
            </w:r>
          </w:p>
        </w:tc>
        <w:tc>
          <w:tcPr>
            <w:tcW w:type="dxa" w:w="4200"/>
            <w:tcW w:w="4600" w:type="dxa"/>
            <w:tcMar>
              <w:top w:w="70" w:type="dxa"/>
              <w:left w:w="110" w:type="dxa"/>
              <w:bottom w:w="70" w:type="dxa"/>
              <w:right w:w="110" w:type="dxa"/>
            </w:tcMar>
          </w:tcPr>
          <w:p>
            <w:pPr>
              <w:spacing w:before="40" w:after="80"/>
            </w:pPr>
            <w:r>
              <w:rPr>
                <w:b w:val="0"/>
                <w:sz w:val="19"/>
              </w:rPr>
              <w:t xml:space="preserve">Cómo crece el sistema sin romper lo que funciona: las reglas para cada módulo nuevo, el orden de los módulos y los requisitos, reglas y decisiones de cada uno (módulo 0, cimientos; módulo 1, programación de obra).</w:t>
            </w:r>
          </w:p>
        </w:tc>
        <w:tc>
          <w:tcPr>
            <w:tcW w:type="dxa" w:w="2120"/>
            <w:tcW w:w="2420" w:type="dxa"/>
            <w:tcMar>
              <w:top w:w="70" w:type="dxa"/>
              <w:left w:w="110" w:type="dxa"/>
              <w:bottom w:w="70" w:type="dxa"/>
              <w:right w:w="110" w:type="dxa"/>
            </w:tcMar>
          </w:tcPr>
          <w:p>
            <w:pPr>
              <w:spacing w:before="40" w:after="80"/>
            </w:pPr>
            <w:r>
              <w:rPr>
                <w:b w:val="0"/>
                <w:sz w:val="19"/>
              </w:rPr>
              <w:t xml:space="preserve">Antes de empezar cualquier módulo nuevo</w:t>
            </w:r>
          </w:p>
        </w:tc>
      </w:tr>
      <w:tr>
        <w:tc>
          <w:tcPr>
            <w:tcW w:type="dxa" w:w="2700"/>
            <w:tcW w:w="2000" w:type="dxa"/>
            <w:tcMar>
              <w:top w:w="70" w:type="dxa"/>
              <w:left w:w="110" w:type="dxa"/>
              <w:bottom w:w="70" w:type="dxa"/>
              <w:right w:w="110" w:type="dxa"/>
            </w:tcMar>
          </w:tcPr>
          <w:p>
            <w:pPr>
              <w:spacing w:before="40" w:after="80"/>
            </w:pPr>
            <w:r>
              <w:rPr>
                <w:b w:val="0"/>
                <w:sz w:val="19"/>
              </w:rPr>
              <w:t xml:space="preserve">migraciones (carpeta)</w:t>
            </w:r>
          </w:p>
        </w:tc>
        <w:tc>
          <w:tcPr>
            <w:tcW w:type="dxa" w:w="4200"/>
            <w:tcW w:w="4600" w:type="dxa"/>
            <w:tcMar>
              <w:top w:w="70" w:type="dxa"/>
              <w:left w:w="110" w:type="dxa"/>
              <w:bottom w:w="70" w:type="dxa"/>
              <w:right w:w="110" w:type="dxa"/>
            </w:tcMar>
          </w:tcPr>
          <w:p>
            <w:pPr>
              <w:spacing w:before="40" w:after="80"/>
            </w:pPr>
            <w:r>
              <w:rPr>
                <w:b w:val="0"/>
                <w:sz w:val="19"/>
              </w:rPr>
              <w:t xml:space="preserve">Los cambios al esquema posteriores al 05, uno por archivo numerado (0001, 0002…), cada uno con su archivo para revertirlo.</w:t>
            </w:r>
          </w:p>
        </w:tc>
        <w:tc>
          <w:tcPr>
            <w:tcW w:type="dxa" w:w="2120"/>
            <w:tcW w:w="2420" w:type="dxa"/>
            <w:tcMar>
              <w:top w:w="70" w:type="dxa"/>
              <w:left w:w="110" w:type="dxa"/>
              <w:bottom w:w="70" w:type="dxa"/>
              <w:right w:w="110" w:type="dxa"/>
            </w:tcMar>
          </w:tcPr>
          <w:p>
            <w:pPr>
              <w:spacing w:before="40" w:after="80"/>
            </w:pPr>
            <w:r>
              <w:rPr>
                <w:b w:val="0"/>
                <w:sz w:val="19"/>
              </w:rPr>
              <w:t xml:space="preserve">Al montar el ambiente, después del 05</w:t>
            </w:r>
          </w:p>
        </w:tc>
      </w:tr>
    </w:tbl>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Si solo se puede leer una cosa</w:t>
            </w:r>
          </w:p>
          <w:p>
            <w:pPr>
              <w:spacing w:after="40" w:line="276"/>
              <w:jc w:val="both"/>
            </w:pPr>
            <w:r>
              <w:rPr>
                <w:sz w:val="19"/>
                <w:szCs w:val="19"/>
              </w:rPr>
              <w:t xml:space="preserve">Que sea el documento 01, secciones 10 (alcance), 11 (reglas de negocio) y 15 (qué se puede modificar en cada estado). Esas tres secciones son las que evitan construir algo que después hay que desmontar.</w:t>
            </w:r>
          </w:p>
        </w:tc>
      </w:tr>
    </w:tbl>
    <w:p>
      <w:pPr>
        <w:pStyle w:val="Heading1"/>
        <w:pBdr>
          <w:bottom w:val="single" w:color="13496B" w:sz="10" w:space="6"/>
        </w:pBdr>
        <w:spacing w:after="180" w:before="420"/>
      </w:pPr>
      <w:r>
        <w:rPr>
          <w:b/>
          <w:bCs/>
          <w:color w:val="13496B"/>
          <w:sz w:val="30"/>
          <w:szCs w:val="30"/>
        </w:rPr>
        <w:t xml:space="preserve">3. Puesta en marcha de la base de datos</w:t>
      </w:r>
    </w:p>
    <w:p>
      <w:pPr>
        <w:spacing w:after="120" w:before="0" w:line="276"/>
        <w:jc w:val="both"/>
      </w:pPr>
      <w:r>
        <w:rPr>
          <w:sz w:val="20"/>
          <w:szCs w:val="20"/>
        </w:rPr>
        <w:t xml:space="preserve">El esquema corre sobre PostgreSQL 15 o superior. Se probó sobre la 16. El mínimo es la 15 porque las vistas usan security_invoker, que no existe antes: una vista sin ese ajuste aplica los permisos de su dueño y no los de quien consulta. El 05 no crea ninguna; la primera llegó con la migración 0001 (plataforma.v_parametros), y desde la 0003 la verificación de cada migración rechaza una vista sin el ajuste (D-80).</w:t>
      </w:r>
    </w:p>
    <w:p>
      <w:pPr>
        <w:pStyle w:val="Heading2"/>
        <w:spacing w:after="120" w:before="300"/>
      </w:pPr>
      <w:r>
        <w:rPr>
          <w:b/>
          <w:bCs/>
          <w:color w:val="1F2933"/>
          <w:sz w:val="23"/>
          <w:szCs w:val="23"/>
        </w:rPr>
        <w:t xml:space="preserve">3.1 Crear la base</w:t>
      </w:r>
    </w:p>
    <w:p>
      <w:pPr>
        <w:spacing w:after="120" w:before="0" w:line="276"/>
        <w:jc w:val="both"/>
      </w:pPr>
      <w:r>
        <w:rPr>
          <w:sz w:val="20"/>
          <w:szCs w:val="20"/>
        </w:rPr>
        <w:t xml:space="preserve">Dos comandos: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4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Paso</w:t>
            </w:r>
          </w:p>
        </w:tc>
        <w:tc>
          <w:tcPr>
            <w:tcW w:type="dxa" w:w="64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Comando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Crear la base de datos</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createdb construsoft</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Ejecutar el esquema</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psql -d construsoft -f "05 - construsoft_mvp_schema.sql"  ·  Un solo archivo, ejecutado como SUPERUSUARIO: crea los seis roles de grupo del esquema, y dos de ellos —construsoft_auth y construsoft_super— necesitan BYPASSRLS.</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Aplicar las migraciones</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npm run migrar  ·  Aplica en orden las de la carpeta migraciones que falten, también como superusuario, y se detiene si la huella de una ya aplicada cambió (D-77).</w:t>
            </w:r>
          </w:p>
        </w:tc>
      </w:tr>
    </w:tbl>
    <w:p>
      <w:pPr>
        <w:spacing w:after="120" w:before="0" w:line="276"/>
        <w:jc w:val="both"/>
      </w:pPr>
      <w:r>
        <w:rPr>
          <w:sz w:val="20"/>
          <w:szCs w:val="20"/>
        </w:rPr>
        <w:t xml:space="preserve">Las cinco extensiones que se habilitan —pgcrypto, citext, pg_trgm, btree_gin y unaccent— vienen con cualquier instalación estándar de PostgreSQL. No hay que instalar nada aparte. El esquema crea además el rol construsoft_auth (NOLOGIN, BYPASSRLS), que es el dueño de las dos funciones de autenticación: por eso el archivo necesita superusuario. Desde el 14 de octubre de 2026 el esquema cambia solo por migraciones (D-77): el 05 no se edita, y cada cambio es un archivo de la carpeta migraciones que se aplica una sola vez, en orden.</w:t>
      </w:r>
    </w:p>
    <w:p>
      <w:pPr>
        <w:pStyle w:val="Heading2"/>
        <w:spacing w:after="120" w:before="300"/>
      </w:pPr>
      <w:r>
        <w:rPr>
          <w:b/>
          <w:bCs/>
          <w:color w:val="1F2933"/>
          <w:sz w:val="23"/>
          <w:szCs w:val="23"/>
        </w:rPr>
        <w:t xml:space="preserve">3.2 Crear el rol de la aplicación</w:t>
      </w:r>
    </w:p>
    <w:p>
      <w:pPr>
        <w:spacing w:after="120" w:before="0" w:line="276"/>
        <w:jc w:val="both"/>
      </w:pPr>
      <w:r>
        <w:rPr>
          <w:sz w:val="20"/>
          <w:szCs w:val="20"/>
        </w:rPr>
        <w:t xml:space="preserve">El esquema crea seis roles de grupo, todos sin LOGIN: construsoft_owner (dueño de las tablas), construsoft_super (dueño de las funciones que cruzan inquilinos), construsoft_app (la aplicación), construsoft_superadmin (el panel), construsoft_auth (dueño de las dos funciones de autenticación) y construsoft_autenticador (el único que puede ejecutarlas; D-50). Lo único que decide el despliegue son los TRES roles de conexión, con contraseña, que heredan de ellos: app_login para la aplicación, superadmin_login para el panel y auth_login, miembro de construsoft_autenticador, solo para el paso de autenticación (D-46, D-50). Son tres conexiones, no una con tres sombreros: si el backend inicia sesión con app_login, la base le responde «permiso denegado», que es exactamente lo que tiene que pasar. Ninguno de los tres es dueño de nada. Con FORCE ROW LEVEL SECURITY, que el esquema aplica, el dueño también está sujeto a las políticas —solo las ignoran los superusuarios y los roles con BYPASSRLS—, así que el motivo no es que las esquive: es el privilegio mínimo, y que el dueño puede alterar o desactivar las propias políticas.</w:t>
      </w: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Sin esto, el aislamiento entre empresas no existe</w:t>
            </w:r>
          </w:p>
          <w:p>
            <w:pPr>
              <w:spacing w:after="40" w:line="276"/>
              <w:jc w:val="both"/>
            </w:pPr>
            <w:r>
              <w:rPr>
                <w:sz w:val="19"/>
                <w:szCs w:val="19"/>
              </w:rPr>
              <w:t xml:space="preserve">Es el error de configuración más fácil de cometer y el más caro: todo funciona, las pruebas pasan, y el día que dos clientes usen el sistema a la vez uno verá los presupuestos del otro. Conviene dejarlo resuelto en la fase 0 y cubrirlo con una prueba automática.</w:t>
            </w:r>
          </w:p>
        </w:tc>
      </w:tr>
    </w:tbl>
    <w:p>
      <w:pPr>
        <w:pStyle w:val="Heading2"/>
        <w:spacing w:after="120" w:before="300"/>
      </w:pPr>
      <w:r>
        <w:rPr>
          <w:b/>
          <w:bCs/>
          <w:color w:val="1F2933"/>
          <w:sz w:val="23"/>
          <w:szCs w:val="23"/>
        </w:rPr>
        <w:t xml:space="preserve">3.3 Fijar el inquilino en cada transacción</w:t>
      </w:r>
    </w:p>
    <w:p>
      <w:pPr>
        <w:spacing w:after="120" w:before="0" w:line="276"/>
        <w:jc w:val="both"/>
      </w:pPr>
      <w:r>
        <w:rPr>
          <w:sz w:val="20"/>
          <w:szCs w:val="20"/>
        </w:rPr>
        <w:t>La aplicación debe ejecutar, al abrir cada transacción, la instrucción que fija qué empresa está operando. Si no lo hace, las consultas devuelven cero filas y parecerá que la base está vacía. Junto a ella va una segunda que fija qué usuario pregunta.</w:t>
      </w:r>
    </w:p>
    <w:p>
      <w:pPr>
        <w:spacing w:after="120" w:before="0" w:line="276"/>
        <w:jc w:val="both"/>
      </w:pPr>
      <w:r>
        <w:rPr>
          <w:sz w:val="20"/>
          <w:szCs w:val="20"/>
        </w:rPr>
        <w:t>Tiene que morir con la transacción: SELECT set_config('app.tenant_id', $1, true), donde ese true es el «local». La forma SET LOCAL app.tenant_id = $1 NO es SQL válido, porque SET no admite parámetros vinculados, y quien la escriba literalmente terminará interpolando la cadena a mano, que es inyección. La diferencia con un SET normal importa: el normal sobrevive y se filtra a la siguiente petición que reutilice esa conexión del grupo. Para leer el contexto se usa app.fn_tenant_actual(), nunca current_setting directo: después de la primera transacción, current_setting devuelve cadena vacía en lugar de nulo, y el casteo a uuid revienta con un error 500 en vez de devolver cero filas. Junto a esa línea va SELECT set_config('app.usuario_id', $2, true). No es opcional: desde D-45 es el autor de cada evento del historial, así que la transacción que no la fije deja eventos sin firmar. Además prepara el control de acceso por proyecto de la fase 2, que será un cambio de política y no una reforma del backend. El detalle está en la sección 4.2 del documento 04.</w:t>
      </w:r>
    </w:p>
    <w:p>
      <w:pPr>
        <w:pStyle w:val="Heading2"/>
        <w:spacing w:after="120" w:before="300"/>
      </w:pPr>
      <w:r>
        <w:rPr>
          <w:b/>
          <w:bCs/>
          <w:color w:val="1F2933"/>
          <w:sz w:val="23"/>
          <w:szCs w:val="23"/>
        </w:rPr>
        <w:t xml:space="preserve">3.4 Verificar que quedó bien</w:t>
      </w:r>
    </w:p>
    <w:p>
      <w:pPr>
        <w:spacing w:after="120" w:before="0" w:line="276"/>
        <w:jc w:val="both"/>
      </w:pPr>
      <w:r>
        <w:rPr>
          <w:sz w:val="20"/>
          <w:szCs w:val="20"/>
        </w:rPr>
        <w:t xml:space="preserve">Con el 05 y las migraciones de hoy (0001 a 0005), la base tiene 33 tablas en el esquema app —31 de inquilino y dos catálogos globales— y 13 en plataforma, 97 disparadores (91 en app), 34 políticas de aislamiento (31 en app), una vista (plataforma.v_parametros) y 159 funciones (119 en app). Esas cifras cambian con cada migración; las dos comprobaciones que no cambian son que app.fn_verificar_rls() y app.fn_verificar_funciones() devuelvan cero filas: si la primera devuelve alguna, hay una tabla de inquilino sin aislamiento; si la segunda, una función privilegiada mal asegurada. La tercera es intentar, con el rol de la aplicación, las operaciones que la base tiene que rechazar. Estas son:</w:t>
      </w:r>
    </w:p>
    <w:p>
      <w:pPr>
        <w:pStyle w:val="ListParagraph"/>
        <w:numPr>
          <w:ilvl w:val="0"/>
          <w:numId w:val="2"/>
        </w:numPr>
        <w:spacing w:after="90" w:line="276"/>
        <w:jc w:val="both"/>
      </w:pPr>
      <w:r>
        <w:rPr>
          <w:sz w:val="20"/>
          <w:szCs w:val="20"/>
        </w:rPr>
        <w:t xml:space="preserve">Editar la cantidad de un ítem en un proyecto en estado Activo.</w:t>
      </w:r>
    </w:p>
    <w:p>
      <w:pPr>
        <w:pStyle w:val="ListParagraph"/>
        <w:numPr>
          <w:ilvl w:val="0"/>
          <w:numId w:val="2"/>
        </w:numPr>
        <w:spacing w:after="90" w:line="276"/>
        <w:jc w:val="both"/>
      </w:pPr>
      <w:r>
        <w:rPr>
          <w:sz w:val="20"/>
          <w:szCs w:val="20"/>
        </w:rPr>
        <w:t xml:space="preserve">Modificar un registro del historial de cambios.</w:t>
      </w:r>
    </w:p>
    <w:p>
      <w:pPr>
        <w:pStyle w:val="ListParagraph"/>
        <w:numPr>
          <w:ilvl w:val="0"/>
          <w:numId w:val="2"/>
        </w:numPr>
        <w:spacing w:after="90" w:line="276"/>
        <w:jc w:val="both"/>
      </w:pPr>
      <w:r>
        <w:rPr>
          <w:sz w:val="20"/>
          <w:szCs w:val="20"/>
        </w:rPr>
        <w:t xml:space="preserve">Poner desperdicio a un recurso que no sea material.</w:t>
      </w:r>
    </w:p>
    <w:p>
      <w:pPr>
        <w:pStyle w:val="ListParagraph"/>
        <w:numPr>
          <w:ilvl w:val="0"/>
          <w:numId w:val="2"/>
        </w:numPr>
        <w:spacing w:after="90" w:line="276"/>
        <w:jc w:val="both"/>
      </w:pPr>
      <w:r>
        <w:rPr>
          <w:sz w:val="20"/>
          <w:szCs w:val="20"/>
        </w:rPr>
        <w:t xml:space="preserve">Pasar un proyecto de Abierto directamente a Cerrado.</w:t>
      </w:r>
    </w:p>
    <w:p>
      <w:pPr>
        <w:pStyle w:val="ListParagraph"/>
        <w:numPr>
          <w:ilvl w:val="0"/>
          <w:numId w:val="2"/>
        </w:numPr>
        <w:spacing w:after="90" w:line="276"/>
        <w:jc w:val="both"/>
      </w:pPr>
      <w:r>
        <w:rPr>
          <w:sz w:val="20"/>
          <w:szCs w:val="20"/>
        </w:rPr>
        <w:t xml:space="preserve">Borrar un recurso que está en uso en algún APU.</w:t>
      </w:r>
    </w:p>
    <w:p>
      <w:pPr>
        <w:pStyle w:val="ListParagraph"/>
        <w:numPr>
          <w:ilvl w:val="0"/>
          <w:numId w:val="2"/>
        </w:numPr>
        <w:spacing w:after="90" w:line="276"/>
        <w:jc w:val="both"/>
      </w:pPr>
      <w:r>
        <w:rPr>
          <w:sz w:val="20"/>
          <w:szCs w:val="20"/>
        </w:rPr>
        <w:t>Guardar una actividad con un precio unitario distinto al de su versión de APU.</w:t>
      </w:r>
    </w:p>
    <w:p>
      <w:pPr>
        <w:pStyle w:val="ListParagraph"/>
        <w:numPr>
          <w:ilvl w:val="0"/>
          <w:numId w:val="2"/>
        </w:numPr>
        <w:spacing w:after="90" w:line="276"/>
        <w:jc w:val="both"/>
      </w:pPr>
      <w:r>
        <w:rPr>
          <w:sz w:val="20"/>
          <w:szCs w:val="20"/>
        </w:rPr>
        <w:t>Guardar un APU sin ninguna versión, o una versión sin líneas.</w:t>
      </w:r>
    </w:p>
    <w:p>
      <w:pPr>
        <w:pStyle w:val="ListParagraph"/>
        <w:numPr>
          <w:ilvl w:val="0"/>
          <w:numId w:val="2"/>
        </w:numPr>
        <w:spacing w:after="90" w:line="276"/>
        <w:jc w:val="both"/>
      </w:pPr>
      <w:r>
        <w:rPr>
          <w:sz w:val="20"/>
          <w:szCs w:val="20"/>
        </w:rPr>
        <w:t>Saltarse el congelamiento fijando desde la aplicación una bandera de purga.</w:t>
      </w:r>
    </w:p>
    <w:p>
      <w:pPr>
        <w:pStyle w:val="ListParagraph"/>
        <w:numPr>
          <w:ilvl w:val="0"/>
          <w:numId w:val="2"/>
        </w:numPr>
        <w:spacing w:after="90" w:line="276"/>
        <w:jc w:val="both"/>
      </w:pPr>
      <w:r>
        <w:rPr>
          <w:sz w:val="20"/>
          <w:szCs w:val="20"/>
        </w:rPr>
        <w:t>Tocar un presupuesto de otra empresa pasando su identificador a una función.</w:t>
      </w:r>
    </w:p>
    <w:p>
      <w:pPr>
        <w:pStyle w:val="ListParagraph"/>
        <w:numPr>
          <w:ilvl w:val="0"/>
          <w:numId w:val="2"/>
        </w:numPr>
        <w:spacing w:after="90" w:line="276"/>
        <w:jc w:val="both"/>
      </w:pPr>
      <w:r>
        <w:rPr>
          <w:sz w:val="20"/>
          <w:szCs w:val="20"/>
        </w:rPr>
        <w:t>Dar el permiso de gestionar usuarios al rol Asistente.</w:t>
      </w:r>
    </w:p>
    <w:p>
      <w:pPr>
        <w:pStyle w:val="ListParagraph"/>
        <w:numPr>
          <w:ilvl w:val="0"/>
          <w:numId w:val="2"/>
        </w:numPr>
        <w:spacing w:after="90" w:line="276"/>
        <w:jc w:val="both"/>
      </w:pPr>
      <w:r>
        <w:rPr>
          <w:sz w:val="20"/>
          <w:szCs w:val="20"/>
        </w:rPr>
        <w:t>Registrar un pago sin período ni fecha de vencimiento, o con una fecha ya vencida.</w:t>
      </w:r>
    </w:p>
    <w:p>
      <w:pPr>
        <w:pStyle w:val="ListParagraph"/>
        <w:numPr>
          <w:ilvl w:val="0"/>
          <w:numId w:val="2"/>
        </w:numPr>
        <w:spacing w:after="90" w:line="276"/>
        <w:jc w:val="both"/>
      </w:pPr>
      <w:r>
        <w:rPr>
          <w:sz w:val="20"/>
          <w:szCs w:val="20"/>
        </w:rPr>
        <w:t>Crear un subcapítulo en un presupuesto estructurado por ítems.</w:t>
      </w:r>
    </w:p>
    <w:p>
      <w:pPr>
        <w:pStyle w:val="ListParagraph"/>
        <w:numPr>
          <w:ilvl w:val="0"/>
          <w:numId w:val="2"/>
        </w:numPr>
        <w:spacing w:after="90" w:line="276"/>
        <w:jc w:val="both"/>
      </w:pPr>
      <w:r>
        <w:rPr>
          <w:sz w:val="20"/>
          <w:szCs w:val="20"/>
        </w:rPr>
        <w:t>Registrar dos veces el mismo pago de la pasarela: el segundo intento no suma un período más.</w:t>
      </w:r>
    </w:p>
    <w:p>
      <w:pPr>
        <w:pStyle w:val="ListParagraph"/>
        <w:numPr>
          <w:ilvl w:val="0"/>
          <w:numId w:val="2"/>
        </w:numPr>
        <w:spacing w:after="90" w:line="276"/>
        <w:jc w:val="both"/>
      </w:pPr>
      <w:r>
        <w:rPr>
          <w:sz w:val="20"/>
          <w:szCs w:val="20"/>
        </w:rPr>
        <w:t>Activar un proyecto que ya está Activo, o cerrar uno ya Cerrado: la fecha de la línea base no se reescribe.</w:t>
      </w:r>
    </w:p>
    <w:p>
      <w:pPr>
        <w:pStyle w:val="ListParagraph"/>
        <w:numPr>
          <w:ilvl w:val="0"/>
          <w:numId w:val="2"/>
        </w:numPr>
        <w:spacing w:after="90" w:line="276"/>
        <w:jc w:val="both"/>
      </w:pPr>
      <w:r>
        <w:rPr>
          <w:sz w:val="20"/>
          <w:szCs w:val="20"/>
        </w:rPr>
        <w:t>Resolver un correo a un usuario, y con él su hash de contraseña, desde la conexión de la aplicación.</w:t>
      </w:r>
    </w:p>
    <w:p>
      <w:pPr>
        <w:pStyle w:val="ListParagraph"/>
        <w:numPr>
          <w:ilvl w:val="0"/>
          <w:numId w:val="2"/>
        </w:numPr>
        <w:spacing w:after="90" w:line="276"/>
        <w:jc w:val="both"/>
      </w:pPr>
      <w:r>
        <w:rPr>
          <w:sz w:val="20"/>
          <w:szCs w:val="20"/>
        </w:rPr>
        <w:t>Escribir un evento del historial, a mano o llamando a la función interna desde fuera de un trigger.</w:t>
      </w:r>
    </w:p>
    <w:p>
      <w:pPr>
        <w:pStyle w:val="ListParagraph"/>
        <w:numPr>
          <w:ilvl w:val="0"/>
          <w:numId w:val="2"/>
        </w:numPr>
        <w:spacing w:after="90" w:line="276"/>
        <w:jc w:val="both"/>
      </w:pPr>
      <w:r>
        <w:rPr>
          <w:sz w:val="20"/>
          <w:szCs w:val="20"/>
        </w:rPr>
        <w:t>Ascender un rol personalizado a Administrador, o crear un segundo rol de tipo Administrador.</w:t>
      </w:r>
    </w:p>
    <w:p>
      <w:pPr>
        <w:spacing w:after="120" w:before="0" w:line="276"/>
        <w:jc w:val="both"/>
      </w:pPr>
      <w:r>
        <w:rPr>
          <w:sz w:val="20"/>
          <w:szCs w:val="20"/>
        </w:rPr>
        <w:t>Y también: cambiar el AIU, el porcentaje de IVA o el nombre de un proyecto Activo, escribir valor_total a mano, mover un ítem a otro presupuesto, dejar un capítulo colgando de sí mismo, revocar al único administrador de una empresa, dar a un rol una acción sin el permiso de ver de su módulo, y dejar a un usuario Activo sin contraseña. Si alguna pasa sin error, algo quedó mal en la instalación.</w:t>
      </w:r>
    </w:p>
    <w:p>
      <w:pPr>
        <w:pStyle w:val="Heading1"/>
        <w:pBdr>
          <w:bottom w:val="single" w:color="13496B" w:sz="10" w:space="6"/>
        </w:pBdr>
        <w:spacing w:after="180" w:before="420"/>
      </w:pPr>
      <w:r>
        <w:rPr>
          <w:b/>
          <w:bCs/>
          <w:color w:val="13496B"/>
          <w:sz w:val="30"/>
          <w:szCs w:val="30"/>
        </w:rPr>
        <w:t>4. Las diez reglas que no se rompen</w:t>
      </w:r>
    </w:p>
    <w:p>
      <w:pPr>
        <w:spacing w:after="120" w:before="0" w:line="276"/>
        <w:jc w:val="both"/>
      </w:pPr>
      <w:r>
        <w:rPr>
          <w:sz w:val="20"/>
          <w:szCs w:val="20"/>
        </w:rPr>
        <w:t>Estas reglas gobiernan el desarrollo, lo haga una persona o una herramienta de inteligencia artificial que asista la programación. Si se usa un asistente, conviene pegarlas como contexto inicial del proyecto —en Claude Code, un archivo CLAUDE.md en la raíz del repositorio— junto con la jerarquía de documentos de la sección 1.</w:t>
      </w:r>
    </w:p>
    <w:p>
      <w:pPr>
        <w:spacing w:after="120" w:before="0" w:line="276"/>
        <w:jc w:val="both"/>
      </w:pPr>
      <w:r>
        <w:rPr>
          <w:sz w:val="20"/>
          <w:szCs w:val="20"/>
        </w:rPr>
        <w:t>Ninguna es negociable, y las diez tienen la misma raíz: el esquema y los documentos ya decidieron, y lo que se inventa a mitad del desarrollo hay que desmontarlo después.</w:t>
      </w:r>
    </w:p>
    <w:p>
      <w:pPr>
        <w:spacing w:after="60"/>
      </w:pP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Regla</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En una línea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1. No ampliar el alcance</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Nada que no esté en el documento 01 o, para lo que se construye después del MVP, en el 07, por evidente que parezca. La sección 10.2 del 01 y la 13 del documento 02 listan una por una las funciones que no se construyen.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2. El esquema manda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Prohibido generar migraciones desde un ORM: borrarían los triggers que defienden las reglas. El 05 no se edita; cada cambio es una migración numerada, escrita a mano, con su reverso y su prueba (D-77).</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3. El dinero nunca es un number</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El controlador devuelve numeric como texto y así se queda. Nada de parseFloat. El cálculo financiero vive en SQL.</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4. Aislamiento entre inquilinos</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set_config de app.tenant_id y app.usuario_id al abrir cada transacción, rol no dueño, índices encabezados por tenant_id, contexto ausente devuelve cero filas.</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5. El cálculo se valida en el servidor</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El frontend previsualiza; la cifra que vale la devuelve el servidor. Las fórmulas oficiales están en el documento 06, y las que mueven varias tablas ya son funciones de la base.</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6. Autorización en cada petición</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Ocultar un botón no es control de acceso. Cambiar el estado del proyecto es exclusivo del Administrador.</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7. Todo lo que escribe, emite evento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Servicio de auditoría desde la fase 0, aunque el panel sea de la fase 4.</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8. Los estados del proyecto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Abierto edita todo; Activo y Cerrado congelan la línea base. Cerrado es terminal. Para cambiar un activo hay que reabrirlo.</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9. Las banderas no defienden nada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Ninguna variable de sesión —purga, recálculo— vale por sí sola: la base solo la acepta dentro de sus propias funciones. La defensa es el privilegio, no la bandera.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10. Una empresa no existe para otra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Toda función que recibe un identificador comprueba la empresa antes de actuar y responde «no existe en esta empresa», sin revelar código, nombre ni estado.</w:t>
            </w:r>
          </w:p>
        </w:tc>
      </w:tr>
    </w:tbl>
    <w:p>
      <w:pPr>
        <w:spacing w:after="80"/>
      </w:pP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Lo que no se hace cuando la documentación no resuelve algo</w:t>
            </w:r>
          </w:p>
          <w:p>
            <w:pPr>
              <w:spacing w:after="110" w:line="276"/>
              <w:jc w:val="both"/>
            </w:pPr>
            <w:r>
              <w:rPr>
                <w:sz w:val="19"/>
                <w:szCs w:val="19"/>
              </w:rPr>
              <w:t>Inventarlo. Ante una ambigüedad se implementa lo que sí está definido, se marca con un comentario PENDIENTE y se dice en voz alta, en vez de elegir por cuenta propia y seguir adelante.</w:t>
            </w:r>
          </w:p>
          <w:p>
            <w:pPr>
              <w:spacing w:after="40" w:line="276"/>
              <w:jc w:val="both"/>
            </w:pPr>
            <w:r>
              <w:rPr>
                <w:sz w:val="19"/>
                <w:szCs w:val="19"/>
              </w:rPr>
              <w:t>Es la diferencia entre avanzar y generar trabajo de desmontaje.</w:t>
            </w:r>
          </w:p>
        </w:tc>
      </w:tr>
    </w:tbl>
    <w:p>
      <w:pPr>
        <w:pStyle w:val="Heading1"/>
        <w:pBdr>
          <w:bottom w:val="single" w:color="13496B" w:sz="10" w:space="6"/>
        </w:pBdr>
        <w:spacing w:after="180" w:before="420"/>
      </w:pPr>
      <w:r>
        <w:rPr>
          <w:b/>
          <w:bCs/>
          <w:color w:val="13496B"/>
          <w:sz w:val="30"/>
          <w:szCs w:val="30"/>
        </w:rPr>
        <w:t xml:space="preserve">5. Lo que no está en este paquete</w:t>
      </w:r>
    </w:p>
    <w:p>
      <w:pPr>
        <w:spacing w:after="120" w:before="0" w:line="276"/>
        <w:jc w:val="both"/>
      </w:pPr>
      <w:r>
        <w:rPr>
          <w:sz w:val="20"/>
          <w:szCs w:val="20"/>
        </w:rPr>
        <w:t xml:space="preserve">Deliberadamente, para que nadie lo programe:</w:t>
      </w:r>
    </w:p>
    <w:p>
      <w:pPr>
        <w:pStyle w:val="ListParagraph"/>
        <w:numPr>
          <w:ilvl w:val="0"/>
          <w:numId w:val="2"/>
        </w:numPr>
        <w:spacing w:after="90" w:line="276"/>
        <w:jc w:val="both"/>
      </w:pPr>
      <w:r>
        <w:rPr>
          <w:sz w:val="20"/>
          <w:szCs w:val="20"/>
        </w:rPr>
        <w:t>El módulo de control de obra: compras, inventario en sitio, vales de salida, contratos, anticipos, amortizaciones y otrosíes. Es el eslabón 4 completo y corresponde a la fase 2 del producto, que el documento 03 desglosa en seis bloques.</w:t>
      </w:r>
    </w:p>
    <w:p>
      <w:pPr>
        <w:pStyle w:val="ListParagraph"/>
        <w:numPr>
          <w:ilvl w:val="0"/>
          <w:numId w:val="2"/>
        </w:numPr>
        <w:spacing w:after="90" w:line="276"/>
        <w:jc w:val="both"/>
      </w:pPr>
      <w:r>
        <w:rPr>
          <w:sz w:val="20"/>
          <w:szCs w:val="20"/>
        </w:rPr>
        <w:t>Los reportes analíticos, los indicadores de valor ganado y el generador de consultas. Eslabón 5, fase 3 del producto.</w:t>
      </w:r>
    </w:p>
    <w:p>
      <w:pPr>
        <w:pStyle w:val="ListParagraph"/>
        <w:numPr>
          <w:ilvl w:val="0"/>
          <w:numId w:val="2"/>
        </w:numPr>
        <w:spacing w:after="90" w:line="276"/>
        <w:jc w:val="both"/>
      </w:pPr>
      <w:r>
        <w:rPr>
          <w:sz w:val="20"/>
          <w:szCs w:val="20"/>
        </w:rPr>
        <w:t xml:space="preserve">El rol Lector/Cliente con acceso al sistema. En el MVP el cliente recibe el PDF.</w:t>
      </w:r>
    </w:p>
    <w:p>
      <w:pPr>
        <w:pStyle w:val="ListParagraph"/>
        <w:numPr>
          <w:ilvl w:val="0"/>
          <w:numId w:val="2"/>
        </w:numPr>
        <w:spacing w:after="90" w:line="276"/>
        <w:jc w:val="both"/>
      </w:pPr>
      <w:r>
        <w:rPr>
          <w:sz w:val="20"/>
          <w:szCs w:val="20"/>
        </w:rPr>
        <w:t xml:space="preserve">Multimoneda dentro de una misma empresa. Cada empresa opera en una sola divisa.</w:t>
      </w:r>
    </w:p>
    <w:p>
      <w:pPr>
        <w:pStyle w:val="ListParagraph"/>
        <w:numPr>
          <w:ilvl w:val="0"/>
          <w:numId w:val="2"/>
        </w:numPr>
        <w:spacing w:after="90" w:line="276"/>
        <w:jc w:val="both"/>
      </w:pPr>
      <w:r>
        <w:rPr>
          <w:sz w:val="20"/>
          <w:szCs w:val="20"/>
        </w:rPr>
        <w:t xml:space="preserve">Pasarela de pagos, checkout y cobro recurrente automático. En el MVP el cliente paga por transferencia o PSE y el superadministrador registra el pago; el sistema corta el acceso solo, por fecha de vencimiento.</w:t>
      </w:r>
    </w:p>
    <w:p>
      <w:pPr>
        <w:spacing w:after="60"/>
      </w:pPr>
    </w:p>
    <w:p>
      <w:pPr>
        <w:spacing w:after="120" w:before="0" w:line="276"/>
        <w:jc w:val="both"/>
      </w:pPr>
      <w:r>
        <w:rPr>
          <w:sz w:val="20"/>
          <w:szCs w:val="20"/>
        </w:rPr>
      </w:r>
    </w:p>
    <w:p>
      <w:pPr>
        <w:pStyle w:val="Heading1"/>
        <w:spacing w:after="120"/>
      </w:pPr>
      <w:r>
        <w:t>6. Lo que sigue abierto</w:t>
      </w:r>
    </w:p>
    <w:p>
      <w:pPr>
        <w:spacing w:after="120"/>
      </w:pPr>
      <w:r>
        <w:rPr/>
        <w:t xml:space="preserve">Nada de lo que falta es técnico. La sección 17 del documento 01 lo enumera punto por punto, con la fase antes de la cual hay que resolverlo. Son tres decisiones y una lista de compras:</w:t>
      </w:r>
    </w:p>
    <w:p>
      <w:pPr>
        <w:pStyle w:val="ListParagraph"/>
        <w:spacing w:after="120"/>
      </w:pPr>
      <w:r>
        <w:t>•  El precio de cada plan y el régimen tributario con el que se factura la suscripción. Van juntas y la segunda necesita contador.</w:t>
      </w:r>
    </w:p>
    <w:p>
      <w:pPr>
        <w:pStyle w:val="ListParagraph"/>
        <w:spacing w:after="120"/>
      </w:pPr>
      <w:r>
        <w:rPr/>
        <w:t xml:space="preserve">•  La identidad visual ya está decidida: la define web/DISENO.md (16 de octubre de 2026).</w:t>
      </w:r>
    </w:p>
    <w:p>
      <w:pPr>
        <w:pStyle w:val="ListParagraph"/>
        <w:spacing w:after="120"/>
      </w:pPr>
      <w:r>
        <w:rPr/>
        <w:t xml:space="preserve">•  Los textos legales de la Ley 1581: política de tratamiento, aviso de privacidad y autorización del titular. Hay una versión provisional del 13 de octubre de 2026 que el registro hace aceptar; el texto definitivo necesita abogado.</w:t>
      </w:r>
    </w:p>
    <w:p>
      <w:pPr>
        <w:pStyle w:val="ListParagraph"/>
        <w:spacing w:after="120"/>
      </w:pPr>
      <w:r>
        <w:rPr/>
        <w:t xml:space="preserve">•  Servicios por contratar: correo transaccional, planificador de tareas, almacenamiento de objetos (mientras tanto, las imágenes viven en la base, D-71), hosting, dominio y la rutina de respaldo con su prueba de restauración.</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Un detalle operativo del período de prueba</w:t>
            </w:r>
          </w:p>
          <w:p>
            <w:pPr>
              <w:spacing w:before="40" w:after="100"/>
            </w:pPr>
            <w:r>
              <w:rPr>
                <w:sz w:val="19"/>
              </w:rPr>
              <w:t xml:space="preserve">Cuando una prueba se agota sin pago, la empresa tiene 10 días en solo lectura por si se decide: consulta, exporta y paga. Si no paga, la prueba queda cancelada.</w:t>
            </w:r>
          </w:p>
          <w:p>
            <w:pPr>
              <w:spacing w:before="40" w:after="40"/>
            </w:pPr>
            <w:r>
              <w:rPr>
                <w:sz w:val="19"/>
              </w:rPr>
              <w:t xml:space="preserve">Desde el 13 de octubre de 2026 sus datos los elimina la purga diaria ese mismo día, igual que los de una suspendida a los 60 días y los de una cancelada que no se reactivó (D-74, D-76). Antes era una eliminación manual del superadministrador.</w:t>
            </w:r>
          </w:p>
        </w:tc>
      </w:tr>
    </w:tbl>
    <w:p>
      <w:pPr>
        <w:jc w:val="center"/>
      </w:pPr>
      <w:r>
        <w:rPr>
          <w:i/>
          <w:sz w:val="19"/>
        </w:rPr>
        <w:t>— Fin del documento —</w:t>
      </w:r>
    </w:p>
    <w:sectPr>
      <w:headerReference w:type="default" r:id="rId7"/>
      <w:headerReference w:type="first" r:id="rId8"/>
      <w:footerReference w:type="default" r:id="rId9"/>
      <w:footerReference w:type="first" r:id="rId10"/>
      <w:headerReference w:type="even" r:id="rId12"/>
      <w:footerReference w:type="even" r:id="rId13"/>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4"/>
      </w:pBdr>
      <w:jc w:val="right"/>
    </w:pPr>
    <w:r>
      <w:rPr>
        <w:color w:val="8A97A3"/>
        <w:sz w:val="15"/>
        <w:szCs w:val="15"/>
      </w:rPr>
      <w:t>CONSTRUSOFT · Paquete de desarrollo · Léeme primero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dónde empezar</dc:title>
  <dc:creator>Juan Sebastián Lopera Ayala</dc:creator>
  <cp:lastModifiedBy>Un-named</cp:lastModifiedBy>
  <cp:revision>1</cp:revision>
  <dcterms:created xsi:type="dcterms:W3CDTF">2026-09-15T05:01:38.285Z</dcterms:created>
  <dcterms:modified xsi:type="dcterms:W3CDTF">2026-09-15T05:01:38.285Z</dcterms:modified>
</cp:coreProperties>
</file>

<file path=docProps/custom.xml><?xml version="1.0" encoding="utf-8"?>
<Properties xmlns="http://schemas.openxmlformats.org/officeDocument/2006/custom-properties" xmlns:vt="http://schemas.openxmlformats.org/officeDocument/2006/docPropsVTypes"/>
</file>