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07</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16 de septiembre de 2026 · revisiones del 22 de septiembre, del 1 y del 13 de octubre, y del 16 de octubre de 2026 contra lo construido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20" w:before="0" w:line="276"/>
        <w:jc w:val="both"/>
      </w:pPr>
      <w:r>
        <w:rPr>
          <w:sz w:val="20"/>
          <w:szCs w:val="20"/>
        </w:rPr>
        <w:t>Cambios de octubre de 2026. Por decisión del dueño (6 de octubre), lo que la persona crea, abre, duplica, archiva y activa se llama «proyecto» en toda la interfaz, y el menú dice «Proyectos». «Presupuesto» se queda para las cifras del proyecto: el desglose, los totales, la línea base. Las rutas y los nombres del esquema no cambian. Donde este documento todavía diga «presupuesto» para nombrar la cosa, léase «proyecto».</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Cuando la prueba gratuita de 15 días termina sin pago, la empresa tiene 10 días en SOLO LECTURA para decidir: abre Recursos, APU y Presupuestos, los consulta y los exporta, y la pantalla de suscripción es donde paga. Cualquier acción que escriba se rechaza. Si en esos 10 días no paga, la prueba queda cancelada: nadie entra y sus datos se eliminan ese mismo día (decisión del dueño, 13 de octubre de 2026; D-76). Un pago reportado dentro del plazo la mantiene en solo lectura mientras se verifica. Una suscripción pagada sigue el ciclo de los párrafos siguientes (D-74).</w:t>
      </w:r>
    </w:p>
    <w:p>
      <w:pPr>
        <w:spacing w:after="120" w:before="0" w:line="276"/>
        <w:jc w:val="both"/>
      </w:pPr>
      <w:r>
        <w:rPr>
          <w:sz w:val="20"/>
          <w:szCs w:val="20"/>
        </w:rPr>
        <w:t>Cuando una suscripción pagada vence, la empresa tiene dos días hábiles para pagar —lunes a viernes, sin los festivos de Colombia— y mientras tanto todo funciona. Una franja en cada pantalla dice hasta qué día. Si reporta el pago dentro del plazo, la cuenta sigue funcionando mientras se verifica. Si el superadministrador rechaza ese pago, la empresa tiene dos días hábiles más, contados desde el rechazo, para reenviar el comprobante.</w:t>
      </w:r>
    </w:p>
    <w:p>
      <w:pPr>
        <w:spacing w:after="120" w:before="0" w:line="276"/>
        <w:jc w:val="both"/>
      </w:pPr>
      <w:r>
        <w:rPr>
          <w:sz w:val="20"/>
          <w:szCs w:val="20"/>
        </w:rPr>
        <w:t xml:space="preserve">Si el plazo pasa sin pago, la cuenta queda SUSPENDIDA. Al entrar, la persona ve una sola pantalla, sin menú: qué pasó, desde cuándo y en qué fecha se eliminan los datos si no paga, y debajo la pestaña de suscripción para reportar el pago. Ya no abre Recursos, APU ni Presupuestos, ni siquiera para consultar; lo único que puede hacer además de pagar es exportar sus proyectos a PDF y Excel, porque los datos son suyos (D-76). Al confirmarse el pago, todo vuelve a estar como estaba. A los 60 días de suspendida, los datos de la empresa se eliminan.</w:t>
      </w:r>
    </w:p>
    <w:p>
      <w:pPr>
        <w:spacing w:after="120" w:before="0" w:line="276"/>
        <w:jc w:val="both"/>
      </w:pPr>
      <w:r>
        <w:rPr>
          <w:sz w:val="20"/>
          <w:szCs w:val="20"/>
        </w:rPr>
        <w:t xml:space="preserve">La suscripción la cancelan el Administrador de la empresa o el superadministrador, y cancelar es definitivo. La cuenta funciona hasta la fecha que ya pagó y no se le cobra más. Desde el día siguiente nadie entra, salvo para exportar sus proyectos (D-76), y durante diez días solo el Administrador puede reactivarla, reportando un pago que el superadministrador confirma. Antes de esa fecha la puede reanudar sin pagar. Pasados los diez días, los datos se eliminan. La suspensión que decide el superadministrador también deja solo esa pantalla, pero sin camino de pago: no se resuelve pagando.</w:t>
      </w:r>
    </w:p>
    <w:p>
      <w:pPr>
        <w:spacing w:after="120" w:before="0" w:line="276"/>
        <w:jc w:val="both"/>
      </w:pPr>
      <w:r>
        <w:rPr>
          <w:sz w:val="20"/>
          <w:szCs w:val="20"/>
        </w:rPr>
        <w:t xml:space="preserve">Los plazos de este apartado —dos días hábiles, 60 días, 10 días— son los valores iniciales. Desde el 14 de octubre de 2026 el superadministrador los cambia en la pantalla Plazos del panel, y cada plazo se cuenta con el valor vigente el día en que empieza a correr (D-78, documento 07).</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durante los 15 días,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Solo la prueba que terminó sin pago: diez días en solo lectura, consulta y exporta, y la pantalla de suscripción para pagar. Sin pago, queda cancelada y sus datos se eliminan (D-76).</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c>
          <w:tcPr>
            <w:tcW w:type="dxa" w:w="2600"/>
          </w:tcPr>
          <w:p>
            <w:r>
              <w:rPr/>
              <w:t xml:space="preserve">Por pagar</w:t>
            </w:r>
          </w:p>
        </w:tc>
        <w:tc>
          <w:tcPr>
            <w:tcW w:type="dxa" w:w="6420"/>
          </w:tcPr>
          <w:p>
            <w:r>
              <w:rPr/>
              <w:t xml:space="preserve">El sistema completo durante los dos días hábiles de gracia, con una franja que dice hasta qué día puede pagar (D-74).</w:t>
            </w:r>
          </w:p>
        </w:tc>
      </w:tr>
      <w:tr>
        <w:tc>
          <w:tcPr>
            <w:tcW w:type="dxa" w:w="2600"/>
          </w:tcPr>
          <w:p>
            <w:r>
              <w:rPr/>
              <w:t xml:space="preserve">Suspendida</w:t>
            </w:r>
          </w:p>
        </w:tc>
        <w:tc>
          <w:tcPr>
            <w:tcW w:type="dxa" w:w="6420"/>
          </w:tcPr>
          <w:p>
            <w:r>
              <w:rPr/>
              <w:t xml:space="preserve">Una sola pantalla, sin menú: la suscripción para pagar y la exportación de sus proyectos. A los 60 días sus datos se eliminan. Si la suspendió el superadministrador, la pantalla lo dice con esas palabras y no ofrece pagar, porque pagar no lo resuelve (D-74, D-76).</w:t>
            </w:r>
          </w:p>
        </w:tc>
      </w:tr>
      <w:tr>
        <w:tc>
          <w:tcPr>
            <w:tcW w:type="dxa" w:w="2600"/>
          </w:tcPr>
          <w:p>
            <w:r>
              <w:rPr/>
              <w:t xml:space="preserve">Cancelada</w:t>
            </w:r>
          </w:p>
        </w:tc>
        <w:tc>
          <w:tcPr>
            <w:tcW w:type="dxa" w:w="6420"/>
          </w:tcPr>
          <w:p>
            <w:r>
              <w:rPr/>
              <w:t xml:space="preserve">El sistema completo hasta la fecha que ya pagó, con la opción de reanudar sin pagar. Después, diez días en que solo el Administrador puede reactivarla reportando un pago, y se pueden exportar los proyectos. Luego sus datos se eliminan (D-74, D-76).</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p>
            <w:pPr/>
            <w:r>
              <w:t>Desde el 30 de septiembre de 2026 esa regla tiene dientes: los datos no solo se conservan, se pueden exportar con la suscripción vencida. Y la comprobación vive en la base, dentro de app.fn_exigir_permiso: pasan las acciones de VER y EXPORTAR, se rechaza el resto. Un endpoint nuevo que se olvide de comprobarla queda cubierto igual.</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spacing w:after="120" w:before="0" w:line="276"/>
        <w:jc w:val="both"/>
      </w:pPr>
      <w:r>
        <w:rPr>
          <w:sz w:val="20"/>
          <w:szCs w:val="20"/>
        </w:rPr>
        <w:t>El panel vive en /superadmin/ y tiene su propio ingreso, su propia sesión y su propio menú: Resumen, Empresas, Pagos y Bitácora. Usa el mismo marco que la aplicación de las empresas —barra lateral plegable, migas, tarjetas y capas—, y bajo la marca lleva un sello «Plataforma» para que nadie confunda en qué consola está. El superadministrador se crea por terminal y elige su contraseña allí mismo (decisión del dueño, 9 de octubre de 2026).</w:t>
      </w:r>
    </w:p>
    <w:p>
      <w:pPr>
        <w:spacing w:after="120" w:before="0" w:line="276"/>
        <w:jc w:val="both"/>
      </w:pPr>
      <w:r>
        <w:rPr>
          <w:sz w:val="20"/>
          <w:szCs w:val="20"/>
        </w:rPr>
        <w:t>El resumen muestra cuántas empresas pagan, cuántas están en prueba, vencidas o suspendidas, lo que entró en el mes, y las listas que piden una acción. La primera, arriba de todo, son los pagos por verificar: los que reportaron las empresas y nadie ha revisado, del más antiguo al más reciente. Debajo, las que vencen en los próximos siete días y las pruebas vencidas sin pago. La lista de empresas se filtra por estado y por plan, y se busca por razón social o NIT.</w:t>
      </w:r>
    </w:p>
    <w:p>
      <w:pPr>
        <w:spacing w:after="120" w:before="0" w:line="276"/>
        <w:jc w:val="both"/>
      </w:pPr>
      <w:r>
        <w:rPr>
          <w:sz w:val="20"/>
          <w:szCs w:val="20"/>
        </w:rPr>
        <w:t>La ficha de cada empresa pone arriba lo de todos los días —registrar un pago, cambiar plan o vencimiento, suspender o reactivar, designar administrador— y abajo, separada, una zona de cuidado con lo que no tiene vuelta atrás: cancelar la suscripción —que surte efecto en la fecha pagada y que el panel no puede revertir— y eliminar los datos. Toda acción pide un motivo y queda en la bitácora del panel. El panel no ve proyectos ni catálogos de las empresas: solo cuántos tienen.</w:t>
      </w:r>
    </w:p>
    <w:p>
      <w:pPr>
        <w:spacing w:after="120" w:before="0" w:line="276"/>
        <w:jc w:val="both"/>
      </w:pPr>
      <w:r>
        <w:rPr>
          <w:sz w:val="20"/>
          <w:szCs w:val="20"/>
        </w:rPr>
        <w:t>Registrar un pago pide el monto, la fecha, el método, la referencia y, opcionalmente, el comprobante (PNG, JPEG o PDF hasta 5 MB). Cubre un período de 1, 3, 6 o 12 meses, o hasta una fecha que se escribe a mano. Antes de guardar, la capa muestra hasta cuándo queda vigente, contando desde el vencimiento actual o desde hoy, lo que sea más tarde. Eliminar los datos exige escribir la razón social exacta y solo se ofrece para pruebas vencidas hace más de 10 días sin pago.</w:t>
      </w:r>
    </w:p>
    <w:p>
      <w:pPr>
        <w:spacing w:after="120" w:before="0" w:line="276"/>
        <w:jc w:val="both"/>
      </w:pPr>
      <w:r>
        <w:rPr>
          <w:sz w:val="20"/>
          <w:szCs w:val="20"/>
        </w:rPr>
        <w:t>Un pago que reportó la empresa aparece en su ficha como «Pago por verificar», con el comprobante a un clic. Confirmarlo pide revisar el período (viene el que pidió la empresa), muestra hasta cuándo queda vigente y exige marcar «Revisé el comprobante y el dinero está en la cuenta»: solo entonces se activa el plan. Rechazarlo pide un motivo, que la empresa lee tal cual. La lista de pagos se filtra también por estado —confirmado, por verificar, rechazado— y su total suma solo los confirmados (D-73).</w:t>
      </w:r>
    </w:p>
    <w:p>
      <w:pPr>
        <w:pStyle w:val="Heading1"/>
        <w:pBdr>
          <w:bottom w:val="single" w:color="13496B" w:sz="10" w:space="6"/>
        </w:pBdr>
        <w:spacing w:after="180" w:before="420"/>
      </w:pPr>
      <w:r>
        <w:rPr>
          <w:b/>
          <w:bCs/>
          <w:color w:val="13496B"/>
          <w:sz w:val="30"/>
          <w:szCs w:val="30"/>
        </w:rPr>
        <w:t xml:space="preserve">La ficha muestra los plazos que corren: hasta cuándo puede pagar sin suspenderse, desde cuándo está suspendida, hasta cuándo se puede reactivar una cancelada y en qué fecha se eliminan sus datos. El resumen suma «Por pagar» y una lista «Sus datos se eliminan pronto» con las que se eliminan en los próximos siete días. Esas eliminaciones las hace un proceso diario, también la de la prueba que no se pagó en sus diez días de solo lectura (D-74, D-76).</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spacing w:after="120" w:before="0" w:line="276"/>
        <w:jc w:val="both"/>
      </w:pPr>
      <w:r>
        <w:rPr>
          <w:sz w:val="20"/>
          <w:szCs w:val="20"/>
        </w:rPr>
        <w:t>El nombre no se repite en la empresa, sin distinguir mayúsculas ni espacios al principio o al final (decisión del dueño, 7 de octubre de 2026). Vale al crear, al editar y al importar. El error va en el campo Nombre y dice qué recurso ya lo tiene. Guardar un recurso con su propio nombre no cuenta como repetirlo.</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El IVA es opcional. Al crear un recurso de tipo material o equipo, el campo llega con 19 % y se puede cambiar; en personal y actividad a todo costo llega vacío. Vacío es 0 %, y entonces los dos precios quedan idénticos. Mientras el usuario no haya tocado el IVA, el valor sugerido sigue al tipo que elija; si ya lo escribió, se respeta (decisión del dueño, 6 de octubre de 2026). Un campo de cifra no acepta letras: solo dígitos y el separador decimal de la empresa.</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2"/>
        <w:spacing w:after="120" w:before="300"/>
      </w:pPr>
      <w:r>
        <w:rPr>
          <w:b/>
          <w:bCs/>
          <w:color w:val="1F2933"/>
          <w:sz w:val="23"/>
          <w:szCs w:val="23"/>
        </w:rPr>
        <w:t>5.5 Importar desde Excel</w:t>
      </w:r>
    </w:p>
    <w:p>
      <w:pPr>
        <w:spacing w:after="120" w:before="0" w:line="276"/>
        <w:jc w:val="both"/>
      </w:pPr>
      <w:r>
        <w:rPr>
          <w:sz w:val="20"/>
          <w:szCs w:val="20"/>
        </w:rPr>
        <w:t>Por decisión del dueño (6 de octubre de 2026), el botón «Importar desde Excel» de la vista maestra abre un pop-out con tres pasos: descargar la plantilla, llenarla y subirla. La plantilla trae listas desplegables con los tipos y las unidades de la empresa, y se llena con uno solo de los dos precios por fila.</w:t>
      </w:r>
    </w:p>
    <w:p>
      <w:pPr>
        <w:spacing w:after="120" w:before="0" w:line="276"/>
        <w:jc w:val="both"/>
      </w:pPr>
      <w:r>
        <w:rPr>
          <w:sz w:val="20"/>
          <w:szCs w:val="20"/>
        </w:rPr>
        <w:t>La importación es todo o nada: si una fila tiene un error, no entra ninguna, y el pop-out muestra todos los errores con su hoja, su fila —la que Excel muestra a la izquierda— y su columna, para corregirlos y volver a subir el archivo. Solo crea recursos; nunca edita uno que ya existe. Un nombre repetido, en el catálogo o dentro del mismo archivo, es un error de la fila.</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spacing w:after="120" w:before="0" w:line="276"/>
        <w:jc w:val="both"/>
      </w:pPr>
      <w:r>
        <w:rPr>
          <w:sz w:val="20"/>
          <w:szCs w:val="20"/>
        </w:rPr>
        <w:t>El nombre de la actividad no se repite en la empresa, con la misma regla que los recursos: sin distinguir mayúsculas ni espacios de los bordes (decisión del dueño, 8 de octubre de 2026).</w:t>
      </w:r>
    </w:p>
    <w:p>
      <w:pPr>
        <w:spacing w:after="120" w:before="0" w:line="276"/>
        <w:jc w:val="both"/>
      </w:pPr>
      <w:r>
        <w:rPr>
          <w:sz w:val="20"/>
          <w:szCs w:val="20"/>
        </w:rPr>
        <w:t xml:space="preserve">Con el módulo de programación (documento 07, RF-APU-25) la versión del APU gana un campo opcional más: el rendimiento de la actividad, en unidades por jornal, del que sale la duración en el cronograma. Va junto al nombre y la unidad, rotulado «Rendimiento de la actividad (unidades por jornal)» para que no se confunda con el rendimiento de cada recurso; es opcional, mayor que cero y con hasta cuatro decimales. Cambiarlo es editar el APU: crea una versión nueva y hace la misma pregunta por los presupuestos abiertos (§6.4).</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Nace vacía: la escribe quien arma el APU.</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Nace vacío.</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Los dos campos nacen vacíos, sin una cifra de ejemplo adentro (decisión del dueño, 22 de octubre de 2026): cada cifra la escribe quien arma el APU, y si falta una, guardar dice cuál.</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2"/>
        <w:spacing w:after="120" w:before="300"/>
      </w:pPr>
      <w:r>
        <w:rPr>
          <w:b/>
          <w:bCs/>
          <w:color w:val="1F2933"/>
          <w:sz w:val="23"/>
          <w:szCs w:val="23"/>
        </w:rPr>
        <w:t>6.6 Importar desde Excel</w:t>
      </w:r>
    </w:p>
    <w:p>
      <w:pPr>
        <w:spacing w:after="120" w:before="0" w:line="276"/>
        <w:jc w:val="both"/>
      </w:pPr>
      <w:r>
        <w:rPr>
          <w:sz w:val="20"/>
          <w:szCs w:val="20"/>
        </w:rPr>
        <w:t>Igual que en Recursos (§5.5): plantilla, todo o nada, y el informe por fila. La plantilla de APU tiene una hoja con los APU —nombre, unidad y, opcional, el rendimiento de la actividad, más una clave que la persona inventa para unir las hojas— y otra con la composición, una fila por línea con el código del recurso, la cantidad, el rendimiento y el desperdicio. Una tercera hoja trae el catálogo de recursos vigente, solo para consultar los códigos. Los recursos tienen que existir antes de importar los APU que los usan.</w:t>
      </w:r>
    </w:p>
    <w:p>
      <w:pPr>
        <w:pStyle w:val="Heading1"/>
        <w:pBdr>
          <w:bottom w:val="single" w:color="13496B" w:sz="10" w:space="6"/>
        </w:pBdr>
        <w:spacing w:after="180" w:before="420"/>
      </w:pPr>
      <w:r>
        <w:rPr>
          <w:b/>
          <w:bCs/>
          <w:color w:val="13496B"/>
          <w:sz w:val="30"/>
          <w:szCs w:val="30"/>
        </w:rPr>
        <w:t>7. Módulo Proyectos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En la parte superior: barra de búsqueda por nombre o código, filtro desplegable por estado, botón «Crear Nuevo Proyecto» a la derecha y botón Volver.</w:t>
      </w:r>
    </w:p>
    <w:p>
      <w:pPr>
        <w:spacing w:after="120" w:before="0" w:line="276"/>
        <w:jc w:val="both"/>
      </w:pPr>
      <w:r>
        <w:rPr>
          <w:sz w:val="20"/>
          <w:szCs w:val="20"/>
        </w:rPr>
        <w:t>Cada proyecto se muestra como una tarjeta con su código, su estado escrito con palabra, nombre, ubicación, valor total, fecha de la última modificación y modo de estructura. La tarjeta entera abre la mesa de trabajo. Un conmutador pasa a la vista de lista, y el navegador recuerda la elección (decisión del dueño, 6 de octubre de 2026).</w:t>
      </w:r>
    </w:p>
    <w:p>
      <w:pPr>
        <w:pStyle w:val="Heading2"/>
        <w:spacing w:after="120" w:before="300"/>
      </w:pPr>
      <w:r>
        <w:rPr>
          <w:b/>
          <w:bCs/>
          <w:color w:val="1F2933"/>
          <w:sz w:val="23"/>
          <w:szCs w:val="23"/>
        </w:rPr>
        <w:t>7.1 Crear un proyecto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Al presionar «Iniciar Proyecto»,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8. Módulo Proyectos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Entera, sin «.0»; con ceros a la izquierda si el nivel tiene diez o más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 2, 3… (01 … 12 con diez o más)</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 xml:space="preserve">Subcapítulos</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Decimal; van antes que las actividades de su padre</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1.1, 1.2… (1.01 … 1.12 con diez o más)</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1.1.1, 1.1.2…</w:t>
            </w:r>
          </w:p>
        </w:tc>
      </w:tr>
    </w:tbl>
    <w:p>
      <w:pPr>
        <w:spacing w:after="120" w:before="0" w:line="276"/>
        <w:jc w:val="both"/>
      </w:pPr>
      <w:r>
        <w:rPr>
          <w:sz w:val="20"/>
          <w:szCs w:val="20"/>
        </w:rPr>
        <w:t>El sistema asigna y recalcula la codificación automáticamente, y el usuario nunca la escribe. Bajo cada capítulo o subcapítulo van primero sus subcapítulos y después sus actividades directas, a cualquier profundidad. Los capítulos se numeran 1, 2, 3 y los subcapítulos 1.1, 1.2 y 1.1.1, con ceros a la izquierda para que todos los del mismo nivel tengan el mismo ancho: de 10 a 99 en un nivel, dos cifras (01 … 12); de 100 a 999, tres. Las actividades no llevan número jerárquico: en la columna del código muestran el código de su APU, y el bloque en que están dice a qué capítulo pertenecen. Por ejemplo: 01 CIMENTACIÓN, 01.1 Concretos, APU-0007 Concreto de zapatas, APU-0005 Excavación manual (decisión del dueño, 13 de octubre de 2026; D-75).</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Reordenar la posición, desplazando arriba o abajo. Un subcapítulo se mueve entre los subcapítulos de su nivel y una actividad entre las actividades: los subcapítulos siempre quedan arriba.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3"/>
        <w:spacing w:after="120"/>
      </w:pPr>
      <w:r>
        <w:rPr/>
        <w:t>Ver por niveles</w:t>
      </w:r>
    </w:p>
    <w:p>
      <w:pPr>
        <w:spacing w:after="120"/>
      </w:pPr>
      <w:r>
        <w:t xml:space="preserve">Sobre la tabla, «Nivel» deja elegir hasta qué nivel se ve la estructura, como los niveles de esquema de Excel: el 1 muestra solo los capítulos, plegados; el 2, los capítulos y lo que cuelga de ellos; y así hasta el último, que lo muestra todo con las actividades. Cuántos niveles hay sale de la estructura del proyecto: con capítulos, subcapítulos y actividades son tres. Al lado, «Expandir todo» y «Contraer todo». Plegar o desplegar un capítulo a mano sigue funcionando, y entonces ningún nivel queda marcado. Es solo una forma de ver: no se guarda ni cambia nada del proyecto (pedido del dueño, 22 de octubre de 2026).</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En una estructura por EDT, cada capítulo y cada subcapítulo tiene su propia casilla, y la casilla dice a qué nivel pertenece: «Agregar actividad en 01.2 Vigas de amarre». La fila de cada capítulo y subcapítulo lleva además un botón para agregar una actividad ahí mismo, con un icono distinto del de agregar subcapítulo. Así, una actividad se agrega dentro del subcapítulo 01.1, sin confundirlo con el capítulo de arriba.</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Al final de la lista de capítulos hay una barra fija con DOS renglones y nada más: Total Costo Directo y VALOR TOTAL. El desglose completo vive en un panel que se abre desde esa barra, y que es además donde se editan los cuatro porcentajes. Decisión del dueño del proyecto, 30 de septiembre de 2026; antes la barra mostraba las ocho líneas.</w:t>
      </w:r>
    </w:p>
    <w:p>
      <w:pPr/>
      <w:r>
        <w:t>Son dos renglones y no uno, y la razón es el costo directo. La clasificación de cada actividad se hereda del capítulo donde se pone, no se escribe (D-8, D-16): es lo único del cálculo que puede salir mal sin producir ningún error. Una actividad metida en el capítulo equivocado cambia la base del AIU en silencio. El valor total solo sube o baja; el costo directo dice si cambió por la razón que el usuario creía. Con un solo renglón, ese error se descubre leyendo el PDF delante del cliente.</w:t>
      </w:r>
    </w:p>
    <w:p>
      <w:pPr/>
      <w:r>
        <w:t>El panel es lateral y no modal, y la diferencia importa en un caso concreto: cuando el costo indirecto sale raro y hay que recorrer la lista buscando la actividad mal clasificada, el desglose tiene que poder quedar a la vista mientras se recorre. Y el panel no es solo una vista: los cuatro porcentajes se editan ahí y el total se mueve a la par. Eso es lo que justifica el clic.</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Total Costo Indirecto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Suma de los capítulos clasificados como indirectos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Total Costo 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Suma de los capítulos clasificados como 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Administración (A)</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Imprevistos (I)</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Costo Directo × %I</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Utilidad (U)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A + I + U. Es la suma de los tres, no una repetición de ellos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IVA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Utilidad × %IVA. La etiqueta impresa dice solo «IVA (19,00 %)»</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Indirecto + Costo Directo + AIU + IVA</w:t>
            </w:r>
          </w:p>
        </w:tc>
      </w:tr>
    </w:tbl>
    <w:p>
      <w:pPr>
        <w:spacing w:after="120" w:before="0" w:line="276"/>
        <w:jc w:val="both"/>
      </w:pPr>
      <w:r>
        <w:rPr>
          <w:sz w:val="20"/>
          <w:szCs w:val="20"/>
        </w:rPr>
        <w:t>El orden es decisión del dueño del proyecto, del 30 de septiembre de 2026, y es el mismo en el panel, en el PDF y en el Excel: donde aparezcan estos números, aparecen así. Antes el costo directo iba primero, con el AIU pegado a él —que es lo único sobre lo que se calcula— y el costo indirecto al final, ya sin porcentaje encima.</w:t>
      </w:r>
    </w:p>
    <w:p>
      <w:pPr/>
      <w:r>
        <w:t>Lo que el orden nuevo le quita al lector, dicho una vez para que no se pierda: con el AIU entre la Utilidad y el IVA, y con la etiqueta corta, la línea del IVA ya no dice sobre qué se calculó. La base sigue siendo la Utilidad y solo la Utilidad. Es una concesión a la limpieza del pie, aceptada a sabiendas; el documento 06 lo explica con cifras.</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editan en el panel del pie, mientras el presupuesto esté Abierto. Arrancan en cero, porque el AIU se negocia obra por obra: el sistema no inventa un 25 % ni ningún otro valor. El IVA es el único que nace con valor, 19 %, porque esa tarifa la pone la ley.</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p>
            <w:pPr/>
            <w:r>
              <w:t>Este aviso va en la barra de dos renglones, NO en el panel. Un aviso que hay que abrir para verlo no avisa, y el error que señala —un capítulo clasificado como indirecto cuando era directo— es justamente de los que no dan ningún otro síntoma.</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Proyecto»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El botón «Exportar»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spacing w:after="120" w:before="0" w:line="276"/>
        <w:jc w:val="both"/>
      </w:pPr>
      <w:r>
        <w:rPr>
          <w:sz w:val="20"/>
          <w:szCs w:val="20"/>
        </w:rPr>
        <w:t>El logotipo va en su propia sección, debajo del formulario: elegir el archivo lo sube, sin un «Guardar» aparte. Solo PNG o JPEG, hasta 1 MB. Se ve sobre fondo blanco, también en el tema oscuro, porque así sale impreso. Quitarlo no borra la imagen: las versiones guardadas de los proyectos conservan el logotipo que tenían, y una oferta reimpresa se ve igual que el día en que salió (D-64, D-71).</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Por pagar, Vencida, Suspendida o Cancelada—, la fecha de vencimiento y los días restantes. Ninguno de esos estados lo calcula la interfaz: los deriva la base de las fechas, y cambian solos con el calendario o en el instante en que se confirma un pago (D-25, D-74). Si la empresa está en período de prueba, la pantalla indica cuántos días quedan y cómo hacer el pago; si está por pagar, hasta qué día puede hacerlo.</w:t>
      </w:r>
    </w:p>
    <w:p>
      <w:pPr>
        <w:spacing w:after="120" w:before="0" w:line="276"/>
        <w:jc w:val="both"/>
      </w:pPr>
      <w:r>
        <w:rPr>
          <w:sz w:val="20"/>
          <w:szCs w:val="20"/>
        </w:rPr>
        <w:t>La empresa paga por fuera —transferencia, PSE o efectivo— y lo reporta con «Reportar un pago»: monto, fecha, medio, referencia, cuántos meses paga (1, 3, 6 o 12) y el comprobante, que es obligatorio. El botón lo ve el Administrador o quien tenga el permiso de suscripción, también con la suscripción vencida o suspendida, que es cuando más falta hace; no aparece mientras haya un pago esperando. Con la suscripción cancelada, solo el Administrador lo ve, como «Reportar el pago para reactivar», y solo en sus diez días.</w:t>
      </w:r>
    </w:p>
    <w:p>
      <w:pPr>
        <w:spacing w:after="120" w:before="0" w:line="276"/>
        <w:jc w:val="both"/>
      </w:pPr>
      <w:r>
        <w:rPr>
          <w:sz w:val="20"/>
          <w:szCs w:val="20"/>
        </w:rPr>
        <w:t>Reportar no da acceso. El pago queda «En verificación» con una franja que lo dice, y la empresa sigue en el estado que tenía hasta que el superadministrador lo confirma, porque un comprobante puede ser falso. Si lo rechaza, la pantalla muestra una alerta con el motivo y la empresa puede reportar de nuevo (D-73).</w:t>
      </w:r>
    </w:p>
    <w:p>
      <w:pPr>
        <w:spacing w:after="120" w:before="0" w:line="276"/>
        <w:jc w:val="both"/>
      </w:pPr>
      <w:r>
        <w:rPr>
          <w:sz w:val="20"/>
          <w:szCs w:val="20"/>
        </w:rPr>
        <w:t>Debajo, la tabla del historial de facturación con fecha, concepto, monto, método de pago y estado —Confirmado, En verificación o Rechazado—, del más reciente al más antiguo, y un botón por fila para descargar el comprobante en PDF.</w:t>
      </w:r>
    </w:p>
    <w:p>
      <w:pPr>
        <w:spacing w:after="120" w:before="0" w:line="276"/>
        <w:jc w:val="both"/>
      </w:pPr>
      <w:r>
        <w:rPr>
          <w:sz w:val="20"/>
          <w:szCs w:val="20"/>
        </w:rPr>
        <w:t>Al final, solo para el Administrador, una zona de cuidado con «Cancelar suscripción». La confirmación dice qué va a pasar —hasta qué día funciona, los diez días para reactivarla y la eliminación de los datos— y pide el motivo. Con la suscripción cancelada y antes de la fecha pagada, la pestaña ofrece «Reanudar la suscripción», sin pago.</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Mientras no exista el envío de correos (fase 8 de construcción), el enlace de activación no sale por correo: lo genera el equipo de ConstruSoft y se lo entrega a la persona. El administrador no ve el enlace, porque con él se elige la contraseña de otra persona (decisión del dueño, 8 de octubre de 2026). La pestaña lo dice junto a los usuarios pendientes, y el botón de reenviar aparece cuando exista el correo. Un usuario revocado puede recibir de nuevo el acceso: vuelve Activo si ya tenía contraseña, o Pendiente si nunca la eligió.</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Proyectos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before="0" w:line="276"/>
        <w:jc w:val="both"/>
      </w:pPr>
      <w:r>
        <w:rPr>
          <w:sz w:val="20"/>
          <w:szCs w:val="20"/>
        </w:rPr>
        <w:t>Marcar una acción marca también lo que necesita para funcionar: «Ver» de su módulo, «Ver» en APU para editar proyectos (D-59) y «Ver» en Recursos para crear o editar APU (D-70). Lo que no se puede desmarcar queda bloqueado, con el motivo escrito debajo. En el plan Personal, la pestaña muestra al asistente y la matriz del rol Asistente, que nunca incluye gestionar usuarios; en el Empresarial, además, la lista de roles.</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ListParagraph"/>
        <w:numPr>
          <w:ilvl w:val="0"/>
          <w:numId w:val="2"/>
        </w:numPr>
        <w:spacing w:after="90" w:line="276"/>
        <w:jc w:val="both"/>
      </w:pPr>
      <w:r>
        <w:rPr>
          <w:sz w:val="20"/>
          <w:szCs w:val="20"/>
        </w:rPr>
        <w:t xml:space="preserve">Horas por jornal, de 1 a 24, 8 por defecto (RF-CFG-27). Es lo que dura el «día» del rendimiento de un APU. Cada proyecto se lleva su copia al crearse: cambiarlas aquí no mueve los proyectos que ya existen.</w:t>
      </w:r>
    </w:p>
    <w:p>
      <w:pPr>
        <w:pStyle w:val="ListParagraph"/>
        <w:numPr>
          <w:ilvl w:val="0"/>
          <w:numId w:val="2"/>
        </w:numPr>
        <w:spacing w:after="90" w:line="276"/>
        <w:jc w:val="both"/>
      </w:pPr>
      <w:r>
        <w:rPr>
          <w:sz w:val="20"/>
          <w:szCs w:val="20"/>
        </w:rPr>
        <w:t xml:space="preserve">Día en que empieza la semana, lunes por defecto (RF-CFG-33). Lo usan la curva semanal y el Gantt.</w:t>
      </w:r>
    </w:p>
    <w:p>
      <w:pPr>
        <w:spacing w:after="120" w:before="0" w:line="276"/>
        <w:jc w:val="both"/>
      </w:pPr>
      <w:r>
        <w:rPr>
          <w:sz w:val="20"/>
          <w:szCs w:val="20"/>
        </w:rPr>
        <w:t xml:space="preserve">Las dos últimas van en su propia tarjeta, «Programación de obra», y se guardan con el mismo «Guardar preferencias» que las demás (documento 07 §6).</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2"/>
        <w:spacing w:after="120" w:before="300"/>
      </w:pPr>
      <w:r>
        <w:rPr>
          <w:b/>
          <w:bCs/>
          <w:color w:val="1F2933"/>
          <w:sz w:val="23"/>
          <w:szCs w:val="23"/>
        </w:rPr>
        <w:t>11.8 Calendarios y festivos</w:t>
      </w:r>
    </w:p>
    <w:p>
      <w:pPr>
        <w:spacing w:after="120" w:before="0" w:line="276"/>
        <w:jc w:val="both"/>
      </w:pPr>
      <w:r>
        <w:rPr>
          <w:sz w:val="20"/>
          <w:szCs w:val="20"/>
        </w:rPr>
        <w:t xml:space="preserve">Una pestaña propia, con el permiso de preferencias (RF-CFG-29, RF-CFG-32; documento 07 §6.2). A la izquierda, los calendarios de la empresa; a la derecha, las listas de festivos. Cada proyecto se lleva una copia del calendario al crear su cronograma, así que editar uno de aquí no mueve ninguna obra (D-86).</w:t>
      </w:r>
    </w:p>
    <w:p>
      <w:pPr>
        <w:pStyle w:val="ListParagraph"/>
        <w:numPr>
          <w:ilvl w:val="0"/>
          <w:numId w:val="2"/>
        </w:numPr>
        <w:spacing w:after="90" w:line="276"/>
        <w:jc w:val="both"/>
      </w:pPr>
      <w:r>
        <w:rPr>
          <w:b/>
          <w:bCs/>
          <w:sz w:val="20"/>
          <w:szCs w:val="20"/>
        </w:rPr>
        <w:t xml:space="preserve">Abrir un calendario</w:t>
      </w:r>
      <w:r>
        <w:rPr>
          <w:sz w:val="20"/>
          <w:szCs w:val="20"/>
        </w:rPr>
        <w:t xml:space="preserve"> muestra su semana, de dónde salieron sus festivos y sus excepciones. «Editar semana» abre el formulario encima; «Usar por defecto» lo marca como el que se propone al crear un cronograma, y «Eliminar» lo quita. El de por defecto no se elimina ni se desmarca: se marca otro.</w:t>
      </w:r>
    </w:p>
    <w:p>
      <w:pPr>
        <w:pStyle w:val="ListParagraph"/>
        <w:numPr>
          <w:ilvl w:val="0"/>
          <w:numId w:val="2"/>
        </w:numPr>
        <w:spacing w:after="90" w:line="276"/>
        <w:jc w:val="both"/>
      </w:pPr>
      <w:r>
        <w:rPr>
          <w:b/>
          <w:bCs/>
          <w:sz w:val="20"/>
          <w:szCs w:val="20"/>
        </w:rPr>
        <w:t xml:space="preserve">La semana se pinta en una tabla de días por horas</w:t>
      </w:r>
      <w:r>
        <w:rPr>
          <w:sz w:val="20"/>
          <w:szCs w:val="20"/>
        </w:rPr>
        <w:t xml:space="preserve">, en bloques de media hora, como en P6: arrastrando con el mouse, o con las flechas y la barra espaciadora. El total por día y por semana se ve al lado, y debajo cada día en texto. Un turno que pasa la medianoche se marca en los dos días.</w:t>
      </w:r>
    </w:p>
    <w:p>
      <w:pPr>
        <w:pStyle w:val="ListParagraph"/>
        <w:numPr>
          <w:ilvl w:val="0"/>
          <w:numId w:val="2"/>
        </w:numPr>
        <w:spacing w:after="90" w:line="276"/>
        <w:jc w:val="both"/>
      </w:pPr>
      <w:r>
        <w:rPr>
          <w:b/>
          <w:bCs/>
          <w:sz w:val="20"/>
          <w:szCs w:val="20"/>
        </w:rPr>
        <w:t xml:space="preserve">Esa tabla es la semana tipo</w:t>
      </w:r>
      <w:r>
        <w:rPr>
          <w:sz w:val="20"/>
          <w:szCs w:val="20"/>
        </w:rPr>
        <w:t xml:space="preserve">: cómo se trabaja un lunes cualquiera, un martes cualquiera, y se repite todas las semanas. Cada hora del día tiene dos casillas, de media hora cada una, para poder marcar entradas como las 7:30 o un almuerzo de 30 minutos. No es media jornada: una jornada de 8 horas son 16 casillas.</w:t>
      </w:r>
    </w:p>
    <w:p>
      <w:pPr>
        <w:pStyle w:val="ListParagraph"/>
        <w:numPr>
          <w:ilvl w:val="0"/>
          <w:numId w:val="2"/>
        </w:numPr>
        <w:spacing w:after="90" w:line="276"/>
        <w:jc w:val="both"/>
      </w:pPr>
      <w:r>
        <w:rPr>
          <w:b/>
          <w:bCs/>
          <w:sz w:val="20"/>
          <w:szCs w:val="20"/>
        </w:rPr>
        <w:t xml:space="preserve">El mes</w:t>
      </w:r>
      <w:r>
        <w:rPr>
          <w:sz w:val="20"/>
          <w:szCs w:val="20"/>
        </w:rPr>
        <w:t xml:space="preserve"> muestra cada fecha como queda con la semana tipo y las excepciones juntas, como la vista de mes del calendario de P6: los días que se trabajan, con sus horas; los que no se trabajan por la semana tipo; los festivos y días libres; y los días con otras horas. Se pasa de mes en mes. Un clic en un día abre su excepción, y la crea si no la tiene; «Quitar la excepción» devuelve ese día a la semana tipo. En el calendario de la obra, abre en el mes del inicio del cronograma.</w:t>
      </w:r>
    </w:p>
    <w:p>
      <w:pPr>
        <w:pStyle w:val="ListParagraph"/>
        <w:numPr>
          <w:ilvl w:val="0"/>
          <w:numId w:val="2"/>
        </w:numPr>
        <w:spacing w:after="90" w:line="276"/>
        <w:jc w:val="both"/>
      </w:pPr>
      <w:r>
        <w:rPr>
          <w:b/>
          <w:bCs/>
          <w:sz w:val="20"/>
          <w:szCs w:val="20"/>
        </w:rPr>
        <w:t xml:space="preserve">El llenado rápido</w:t>
      </w:r>
      <w:r>
        <w:rPr>
          <w:sz w:val="20"/>
          <w:szCs w:val="20"/>
        </w:rPr>
        <w:t xml:space="preserve"> cubre el caso normal: hora de entrada, horas de trabajo, almuerzo y días, con la opción de un sábado más corto. «Pintar la tabla» la llena, y después se corrige a mano.</w:t>
      </w:r>
    </w:p>
    <w:p>
      <w:pPr>
        <w:pStyle w:val="ListParagraph"/>
        <w:numPr>
          <w:ilvl w:val="0"/>
          <w:numId w:val="2"/>
        </w:numPr>
        <w:spacing w:after="90" w:line="276"/>
        <w:jc w:val="both"/>
      </w:pPr>
      <w:r>
        <w:rPr>
          <w:b/>
          <w:bCs/>
          <w:sz w:val="20"/>
          <w:szCs w:val="20"/>
        </w:rPr>
        <w:t xml:space="preserve">«1 día equivale a»</w:t>
      </w:r>
      <w:r>
        <w:rPr>
          <w:sz w:val="20"/>
          <w:szCs w:val="20"/>
        </w:rPr>
        <w:t xml:space="preserve"> convierte las horas en los días que se ven en pantalla. No cambia el cálculo.</w:t>
      </w:r>
    </w:p>
    <w:p>
      <w:pPr>
        <w:pStyle w:val="ListParagraph"/>
        <w:numPr>
          <w:ilvl w:val="0"/>
          <w:numId w:val="2"/>
        </w:numPr>
        <w:spacing w:after="90" w:line="276"/>
        <w:jc w:val="both"/>
      </w:pPr>
      <w:r>
        <w:rPr>
          <w:b/>
          <w:bCs/>
          <w:sz w:val="20"/>
          <w:szCs w:val="20"/>
        </w:rPr>
        <w:t xml:space="preserve">Las excepciones</w:t>
      </w:r>
      <w:r>
        <w:rPr>
          <w:sz w:val="20"/>
          <w:szCs w:val="20"/>
        </w:rPr>
        <w:t xml:space="preserve"> son fechas que no se trabajan (un festivo, un día perdido por lluvia) o que se trabajan con otras horas (un sábado completo). Se agregan, editan y quitan una por una, y se guardan al momento.</w:t>
      </w:r>
    </w:p>
    <w:p>
      <w:pPr>
        <w:pStyle w:val="ListParagraph"/>
        <w:numPr>
          <w:ilvl w:val="0"/>
          <w:numId w:val="2"/>
        </w:numPr>
        <w:spacing w:after="90" w:line="276"/>
        <w:jc w:val="both"/>
      </w:pPr>
      <w:r>
        <w:rPr>
          <w:b/>
          <w:bCs/>
          <w:sz w:val="20"/>
          <w:szCs w:val="20"/>
        </w:rPr>
        <w:t xml:space="preserve">Copiar festivos</w:t>
      </w:r>
      <w:r>
        <w:rPr>
          <w:sz w:val="20"/>
          <w:szCs w:val="20"/>
        </w:rPr>
        <w:t xml:space="preserve"> trae una lista entera, oficial o de la empresa. Cada fecha entra como día no laborable, y las que el calendario ya tenía no se tocan: un festivo que la empresa trabaja sigue marcado como laborable. Al terminar dice cuántas fechas entraron.</w:t>
      </w:r>
    </w:p>
    <w:p>
      <w:pPr>
        <w:pStyle w:val="ListParagraph"/>
        <w:numPr>
          <w:ilvl w:val="0"/>
          <w:numId w:val="2"/>
        </w:numPr>
        <w:spacing w:after="90" w:line="276"/>
        <w:jc w:val="both"/>
      </w:pPr>
      <w:r>
        <w:rPr>
          <w:b/>
          <w:bCs/>
          <w:sz w:val="20"/>
          <w:szCs w:val="20"/>
        </w:rPr>
        <w:t xml:space="preserve">Las listas oficiales</w:t>
      </w:r>
      <w:r>
        <w:rPr>
          <w:sz w:val="20"/>
          <w:szCs w:val="20"/>
        </w:rPr>
        <w:t xml:space="preserve"> las mantiene ConstruSoft, por ventanas de cinco años, y se ven como de solo lectura. </w:t>
      </w:r>
      <w:r>
        <w:rPr>
          <w:b/>
          <w:bCs/>
          <w:sz w:val="20"/>
          <w:szCs w:val="20"/>
        </w:rPr>
        <w:t xml:space="preserve">Las de la empresa</w:t>
      </w:r>
      <w:r>
        <w:rPr>
          <w:sz w:val="20"/>
          <w:szCs w:val="20"/>
        </w:rPr>
        <w:t xml:space="preserve"> se crean a mano (fecha y nombre opcional) o se importan con la plantilla de Excel, como los recursos (§5.5): todo o nada, con el informe fila por fila. Solo las ve su empresa (D-90). Eliminar una lista no toca los calendarios que ya la copiaron.</w:t>
      </w:r>
    </w:p>
    <w:p>
      <w:pPr>
        <w:spacing w:after="120" w:before="0" w:line="276"/>
        <w:jc w:val="both"/>
      </w:pPr>
      <w:r>
        <w:rPr>
          <w:sz w:val="20"/>
          <w:szCs w:val="20"/>
        </w:rPr>
        <w:t xml:space="preserve">Una empresa nace con un calendario de lunes a viernes, de 7:00 a 12:00 y de 13:00 a 16:00, marcado por defecto y sin festivos: la tarjeta del calendario ofrece copiar la lista del país.</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Construida, por decisión del dueño del 6 de octubre de 2026. Ver §5.5 y §6.6</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MVP. Entra después como módulo 1, la programación de obra (decisión del dueño, 13 de octubre de 2026; documento 07). Su pantalla está en §13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pStyle w:val="Heading1"/>
        <w:pBdr>
          <w:bottom w:val="single" w:color="13496B" w:sz="10" w:space="6"/>
        </w:pBdr>
        <w:spacing w:after="180" w:before="420"/>
      </w:pPr>
      <w:r>
        <w:rPr>
          <w:b/>
          <w:bCs/>
          <w:color w:val="13496B"/>
          <w:sz w:val="30"/>
          <w:szCs w:val="30"/>
        </w:rPr>
        <w:t>13. Módulo Programación de obra</w:t>
      </w:r>
    </w:p>
    <w:p>
      <w:pPr>
        <w:spacing w:after="120" w:before="0" w:line="276"/>
        <w:jc w:val="both"/>
      </w:pPr>
      <w:r>
        <w:rPr>
          <w:sz w:val="20"/>
          <w:szCs w:val="20"/>
        </w:rPr>
        <w:t xml:space="preserve">Es el módulo 1 después del MVP (documento 07 §6), y sus reglas están allá. Este capítulo dice cómo se comporta la pantalla. El cronograma va uno a uno con el proyecto: se entra con «Cronograma» desde la mesa de trabajo y «Volver» lleva a ella. Usa los permisos del presupuesto (RN-43): quien puede verlo, ve su cronograma, y quien puede editarlo, lo edita y guarda líneas base. Con el proyecto Activo también se edita, porque el cronograma nunca escribe en el presupuesto; con el proyecto Cerrado es de solo lectura, y una franja lo dice.</w:t>
      </w:r>
    </w:p>
    <w:p>
      <w:pPr>
        <w:pStyle w:val="Heading2"/>
        <w:spacing w:after="120" w:before="300"/>
      </w:pPr>
      <w:r>
        <w:rPr>
          <w:b/>
          <w:bCs/>
          <w:color w:val="1F2933"/>
          <w:sz w:val="23"/>
          <w:szCs w:val="23"/>
        </w:rPr>
        <w:t>13.1 Crear el cronograma</w:t>
      </w:r>
    </w:p>
    <w:p>
      <w:pPr>
        <w:spacing w:after="120" w:before="0" w:line="276"/>
        <w:jc w:val="both"/>
      </w:pPr>
      <w:r>
        <w:rPr>
          <w:sz w:val="20"/>
          <w:szCs w:val="20"/>
        </w:rPr>
        <w:t xml:space="preserve">Un proyecto sin cronograma muestra qué se va a crear: una actividad por ítem, los capítulos como barras resumen, la tarea «Administración y supervisión de obra» y los hitos de inicio y fin del proyecto, sin relaciones (RF-PRG-01). Pide la fecha de inicio y el calendario de la empresa, con el de por defecto ya elegido. «Crear cronograma» lo calcula y abre el Gantt.</w:t>
      </w:r>
    </w:p>
    <w:p>
      <w:pPr>
        <w:pStyle w:val="Heading2"/>
        <w:spacing w:after="120" w:before="300"/>
      </w:pPr>
      <w:r>
        <w:rPr>
          <w:b/>
          <w:bCs/>
          <w:color w:val="1F2933"/>
          <w:sz w:val="23"/>
          <w:szCs w:val="23"/>
        </w:rPr>
        <w:t>13.2 La pantalla</w:t>
      </w:r>
    </w:p>
    <w:p>
      <w:pPr>
        <w:pStyle w:val="ListParagraph"/>
        <w:numPr>
          <w:ilvl w:val="0"/>
          <w:numId w:val="2"/>
        </w:numPr>
        <w:spacing w:after="90" w:line="276"/>
        <w:jc w:val="both"/>
      </w:pPr>
      <w:r>
        <w:rPr>
          <w:b/>
          <w:bCs/>
          <w:sz w:val="20"/>
          <w:szCs w:val="20"/>
        </w:rPr>
        <w:t xml:space="preserve">El encabezado</w:t>
      </w:r>
      <w:r>
        <w:rPr>
          <w:sz w:val="20"/>
          <w:szCs w:val="20"/>
        </w:rPr>
        <w:t xml:space="preserve"> dice el proyecto y su estado, la fecha de inicio (con «Cambiar»), el fin, la duración en días y el calendario de la obra (con «Ver y editar»). A la derecha, «Líneas base» y «Exportar». Mientras el servidor recalcula, dice «Recalculando…».</w:t>
      </w:r>
    </w:p>
    <w:p>
      <w:pPr>
        <w:pStyle w:val="ListParagraph"/>
        <w:numPr>
          <w:ilvl w:val="0"/>
          <w:numId w:val="2"/>
        </w:numPr>
        <w:spacing w:after="90" w:line="276"/>
        <w:jc w:val="both"/>
      </w:pPr>
      <w:r>
        <w:rPr>
          <w:b/>
          <w:bCs/>
          <w:sz w:val="20"/>
          <w:szCs w:val="20"/>
        </w:rPr>
        <w:t xml:space="preserve">Las franjas</w:t>
      </w:r>
      <w:r>
        <w:rPr>
          <w:sz w:val="20"/>
          <w:szCs w:val="20"/>
        </w:rPr>
        <w:t xml:space="preserve">, arriba y a la vista de todos los que abren el cronograma. La del presupuesto (D-93) aparece cuando el presupuesto cambió desde el último cálculo: dice qué actividades entraron o salieron, qué duraciones cambiaron, el fin y el valor total antes y después, y el último cambio del presupuesto. Quien puede editar la cierra con «Entendido, cerrar aviso», y cualquier cambio en el cronograma también la cierra. Otra avisa si la obra pasa del último año de festivos del calendario, con «Copiar festivos». Otra dice cuántos días de más lleva la obra contra la línea base que se está mirando: la administración del presupuesto no cambia sola.</w:t>
      </w:r>
    </w:p>
    <w:p>
      <w:pPr>
        <w:pStyle w:val="ListParagraph"/>
        <w:numPr>
          <w:ilvl w:val="0"/>
          <w:numId w:val="2"/>
        </w:numPr>
        <w:spacing w:after="90" w:line="276"/>
        <w:jc w:val="both"/>
      </w:pPr>
      <w:r>
        <w:rPr>
          <w:b/>
          <w:bCs/>
          <w:sz w:val="20"/>
          <w:szCs w:val="20"/>
        </w:rPr>
        <w:t xml:space="preserve">Tres pestañas</w:t>
      </w:r>
      <w:r>
        <w:rPr>
          <w:sz w:val="20"/>
          <w:szCs w:val="20"/>
        </w:rPr>
        <w:t xml:space="preserve">: Gantt, Curvas S y Revisión, esta con el número de actividades que hay que mirar.</w:t>
      </w:r>
    </w:p>
    <w:p>
      <w:pPr>
        <w:pStyle w:val="Heading2"/>
        <w:spacing w:after="120" w:before="300"/>
      </w:pPr>
      <w:r>
        <w:rPr>
          <w:b/>
          <w:bCs/>
          <w:color w:val="1F2933"/>
          <w:sz w:val="23"/>
          <w:szCs w:val="23"/>
        </w:rPr>
        <w:t>13.3 El Gantt</w:t>
      </w:r>
    </w:p>
    <w:p>
      <w:pPr>
        <w:spacing w:after="120" w:before="0" w:line="276"/>
        <w:jc w:val="both"/>
      </w:pPr>
      <w:r>
        <w:rPr>
          <w:sz w:val="20"/>
          <w:szCs w:val="20"/>
        </w:rPr>
        <w:t xml:space="preserve">La tabla de actividades a la izquierda y las barras a la derecha, en un solo desplazamiento (RF-PRG-06, 07 §6.6). La tabla queda fija al correr el tiempo de lado, y la escala de tiempo fija al bajar. La pantalla usa el ancho entero de la ventana, y el Gantt llega hasta el fondo de ella: su barra de desplazamiento de lado siempre se ve, sin bajar la página. Con poco espacio arriba, no baja de 320 píxeles de alto.</w:t>
      </w:r>
    </w:p>
    <w:p>
      <w:pPr>
        <w:pStyle w:val="ListParagraph"/>
        <w:numPr>
          <w:ilvl w:val="0"/>
          <w:numId w:val="2"/>
        </w:numPr>
        <w:spacing w:after="90" w:line="276"/>
        <w:jc w:val="both"/>
      </w:pPr>
      <w:r>
        <w:rPr>
          <w:b/>
          <w:bCs/>
          <w:sz w:val="20"/>
          <w:szCs w:val="20"/>
        </w:rPr>
        <w:t xml:space="preserve">La tabla</w:t>
      </w:r>
      <w:r>
        <w:rPr>
          <w:sz w:val="20"/>
          <w:szCs w:val="20"/>
        </w:rPr>
        <w:t xml:space="preserve">: código, actividad, días, inicio, fin y holgura total. El orden es el del presupuesto, por la estructura, con los capítulos plegables; después las que ya no están en el presupuesto, la administración y «Hitos y trámites» con sus subgrupos. Una duración escrita a mano lleva un asterisco. El ancho de cada columna se ajusta arrastrando el borde derecho de su encabezado, o con las flechas sobre ese borde, y doble clic lo devuelve al de siempre; dura mientras se está en la pantalla y no se guarda.</w:t>
      </w:r>
    </w:p>
    <w:p>
      <w:pPr>
        <w:pStyle w:val="ListParagraph"/>
        <w:numPr>
          <w:ilvl w:val="0"/>
          <w:numId w:val="2"/>
        </w:numPr>
        <w:spacing w:after="90" w:line="276"/>
        <w:jc w:val="both"/>
      </w:pPr>
      <w:r>
        <w:rPr>
          <w:b/>
          <w:bCs/>
          <w:sz w:val="20"/>
          <w:szCs w:val="20"/>
        </w:rPr>
        <w:t xml:space="preserve">Las barras</w:t>
      </w:r>
      <w:r>
        <w:rPr>
          <w:sz w:val="20"/>
          <w:szCs w:val="20"/>
        </w:rPr>
        <w:t xml:space="preserve">: azules las normales y rojas las críticas; los capítulos y los grupos como barra resumen; la administración rayada; los hitos como rombos, verde el de inicio y oscuro el de fin; la línea base como una barra delgada debajo; una marca al final de la barra que termina a mitad de jornada (RN-27). El tiempo no laborable va sombreado, con la tarde del sábado en la escala por día. Una leyenda arriba lo explica, y lo crítico no se dice solo con color: la holgura está en su columna.</w:t>
      </w:r>
    </w:p>
    <w:p>
      <w:pPr>
        <w:pStyle w:val="ListParagraph"/>
        <w:numPr>
          <w:ilvl w:val="0"/>
          <w:numId w:val="2"/>
        </w:numPr>
        <w:spacing w:after="90" w:line="276"/>
        <w:jc w:val="both"/>
      </w:pPr>
      <w:r>
        <w:rPr>
          <w:b/>
          <w:bCs/>
          <w:sz w:val="20"/>
          <w:szCs w:val="20"/>
        </w:rPr>
        <w:t xml:space="preserve">La escala</w:t>
      </w:r>
      <w:r>
        <w:rPr>
          <w:sz w:val="20"/>
          <w:szCs w:val="20"/>
        </w:rPr>
        <w:t xml:space="preserve"> es por día, semana o mes, y la línea base que se muestra se elige al lado. La pantalla recuerda las dos en el navegador. Sin elección guardada, muestra la primera línea base que se guardó.</w:t>
      </w:r>
    </w:p>
    <w:p>
      <w:pPr>
        <w:pStyle w:val="ListParagraph"/>
        <w:numPr>
          <w:ilvl w:val="0"/>
          <w:numId w:val="2"/>
        </w:numPr>
        <w:spacing w:after="90" w:line="276"/>
        <w:jc w:val="both"/>
      </w:pPr>
      <w:r>
        <w:rPr>
          <w:b/>
          <w:bCs/>
          <w:sz w:val="20"/>
          <w:szCs w:val="20"/>
        </w:rPr>
        <w:t xml:space="preserve">De solo lectura</w:t>
      </w:r>
      <w:r>
        <w:rPr>
          <w:sz w:val="20"/>
          <w:szCs w:val="20"/>
        </w:rPr>
        <w:t xml:space="preserve">: no se arrastran barras. Un clic en una fila o en su barra la selecciona y abre su panel; con el teclado, las flechas arriba y abajo cambian de actividad.</w:t>
      </w:r>
    </w:p>
    <w:p>
      <w:pPr>
        <w:pStyle w:val="ListParagraph"/>
        <w:numPr>
          <w:ilvl w:val="0"/>
          <w:numId w:val="2"/>
        </w:numPr>
        <w:spacing w:after="90" w:line="276"/>
        <w:jc w:val="both"/>
      </w:pPr>
      <w:r>
        <w:rPr>
          <w:b/>
          <w:bCs/>
          <w:sz w:val="20"/>
          <w:szCs w:val="20"/>
        </w:rPr>
        <w:t xml:space="preserve">Los niveles</w:t>
      </w:r>
      <w:r>
        <w:rPr>
          <w:sz w:val="20"/>
          <w:szCs w:val="20"/>
        </w:rPr>
        <w:t xml:space="preserve">: «Nivel», «Expandir todo» y «Contraer todo», en la barra del Gantt, como en la mesa (§8.2). «Hitos y trámites» y «Ya no están en el presupuesto» cuentan como capítulos de primer nivel, y los subgrupos, como subcapítulos.</w:t>
      </w:r>
    </w:p>
    <w:p>
      <w:pPr>
        <w:pStyle w:val="ListParagraph"/>
        <w:numPr>
          <w:ilvl w:val="0"/>
          <w:numId w:val="2"/>
        </w:numPr>
        <w:spacing w:after="90" w:line="276"/>
        <w:jc w:val="both"/>
      </w:pPr>
      <w:r>
        <w:rPr>
          <w:b/>
          <w:bCs/>
          <w:sz w:val="20"/>
          <w:szCs w:val="20"/>
        </w:rPr>
        <w:t xml:space="preserve">Con muchas actividades</w:t>
      </w:r>
      <w:r>
        <w:rPr>
          <w:sz w:val="20"/>
          <w:szCs w:val="20"/>
        </w:rPr>
        <w:t xml:space="preserve"> solo se dibujan las filas que se ven, para que el desplazamiento no salte (RNF-29).</w:t>
      </w:r>
    </w:p>
    <w:p>
      <w:pPr>
        <w:pStyle w:val="Heading2"/>
        <w:spacing w:after="120" w:before="300"/>
      </w:pPr>
      <w:r>
        <w:rPr>
          <w:b/>
          <w:bCs/>
          <w:color w:val="1F2933"/>
          <w:sz w:val="23"/>
          <w:szCs w:val="23"/>
        </w:rPr>
        <w:t>13.4 El panel de una actividad</w:t>
      </w:r>
    </w:p>
    <w:p>
      <w:pPr>
        <w:spacing w:after="120" w:before="0" w:line="276"/>
        <w:jc w:val="both"/>
      </w:pPr>
      <w:r>
        <w:rPr>
          <w:sz w:val="20"/>
          <w:szCs w:val="20"/>
        </w:rPr>
        <w:t xml:space="preserve">Un panel al lado, no modal, para que la barra siga a la vista. Arriba, el tipo y si es crítica; las fechas temprana y tardía, las holguras, la duración y el costo; y la línea base, con la variación del fin. Debajo, lo que se edita, que depende del tipo (CONTRATO §19.6), y «Guardar cambios» manda solo lo que cambió:</w:t>
      </w:r>
    </w:p>
    <w:p>
      <w:pPr>
        <w:pStyle w:val="ListParagraph"/>
        <w:numPr>
          <w:ilvl w:val="0"/>
          <w:numId w:val="2"/>
        </w:numPr>
        <w:spacing w:after="90" w:line="276"/>
        <w:jc w:val="both"/>
      </w:pPr>
      <w:r>
        <w:rPr>
          <w:b/>
          <w:bCs/>
          <w:sz w:val="20"/>
          <w:szCs w:val="20"/>
        </w:rPr>
        <w:t xml:space="preserve">Una actividad del presupuesto</w:t>
      </w:r>
      <w:r>
        <w:rPr>
          <w:sz w:val="20"/>
          <w:szCs w:val="20"/>
        </w:rPr>
        <w:t xml:space="preserve">: las cuadrillas, la duración manual y las restricciones. Muestra la duración calculada y de dónde sale (cantidad, rendimiento por jornal y cuadrillas). Si el APU no tiene rendimiento, lo dice. Su nombre y su número son los del ítem.</w:t>
      </w:r>
    </w:p>
    <w:p>
      <w:pPr>
        <w:pStyle w:val="ListParagraph"/>
        <w:numPr>
          <w:ilvl w:val="0"/>
          <w:numId w:val="2"/>
        </w:numPr>
        <w:spacing w:after="90" w:line="276"/>
        <w:jc w:val="both"/>
      </w:pPr>
      <w:r>
        <w:rPr>
          <w:b/>
          <w:bCs/>
          <w:sz w:val="20"/>
          <w:szCs w:val="20"/>
        </w:rPr>
        <w:t xml:space="preserve">Un hito</w:t>
      </w:r>
      <w:r>
        <w:rPr>
          <w:sz w:val="20"/>
          <w:szCs w:val="20"/>
        </w:rPr>
        <w:t xml:space="preserve">: código, nombre, subgrupo y restricciones. Un hito de fin no ofrece restricciones de inicio, ni uno de inicio de fin. </w:t>
      </w:r>
      <w:r>
        <w:rPr>
          <w:b/>
          <w:bCs/>
          <w:sz w:val="20"/>
          <w:szCs w:val="20"/>
        </w:rPr>
        <w:t xml:space="preserve">Un trámite o espera</w:t>
      </w:r>
      <w:r>
        <w:rPr>
          <w:sz w:val="20"/>
          <w:szCs w:val="20"/>
        </w:rPr>
        <w:t xml:space="preserve">: además, la duración y si corre todos los días, 24 horas. </w:t>
      </w:r>
      <w:r>
        <w:rPr>
          <w:b/>
          <w:bCs/>
          <w:sz w:val="20"/>
          <w:szCs w:val="20"/>
        </w:rPr>
        <w:t xml:space="preserve">La administración</w:t>
      </w:r>
      <w:r>
        <w:rPr>
          <w:sz w:val="20"/>
          <w:szCs w:val="20"/>
        </w:rPr>
        <w:t xml:space="preserve">: solo código y nombre, con la explicación de cómo se calcula.</w:t>
      </w:r>
    </w:p>
    <w:p>
      <w:pPr>
        <w:pStyle w:val="ListParagraph"/>
        <w:numPr>
          <w:ilvl w:val="0"/>
          <w:numId w:val="2"/>
        </w:numPr>
        <w:spacing w:after="90" w:line="276"/>
        <w:jc w:val="both"/>
      </w:pPr>
      <w:r>
        <w:rPr>
          <w:b/>
          <w:bCs/>
          <w:sz w:val="20"/>
          <w:szCs w:val="20"/>
        </w:rPr>
        <w:t xml:space="preserve">Las restricciones</w:t>
      </w:r>
      <w:r>
        <w:rPr>
          <w:sz w:val="20"/>
          <w:szCs w:val="20"/>
        </w:rPr>
        <w:t xml:space="preserve"> (RN-30): una principal y una secundaria. La pantalla ofrece solo las parejas válidas: sin principal no hay secundaria, y «inicio el», «fin el» y las obligatorias no admiten secundaria.</w:t>
      </w:r>
    </w:p>
    <w:p>
      <w:pPr>
        <w:pStyle w:val="ListParagraph"/>
        <w:numPr>
          <w:ilvl w:val="0"/>
          <w:numId w:val="2"/>
        </w:numPr>
        <w:spacing w:after="90" w:line="276"/>
        <w:jc w:val="both"/>
      </w:pPr>
      <w:r>
        <w:rPr>
          <w:b/>
          <w:bCs/>
          <w:sz w:val="20"/>
          <w:szCs w:val="20"/>
        </w:rPr>
        <w:t xml:space="preserve">Las relaciones</w:t>
      </w:r>
      <w:r>
        <w:rPr>
          <w:sz w:val="20"/>
          <w:szCs w:val="20"/>
        </w:rPr>
        <w:t xml:space="preserve"> (RF-PRG-04): las predecesoras y las sucesoras, cada una con su tipo (FC, CC, FF, CF) y su desfase en días, que se cambian ahí mismo. «Agregar» busca la otra actividad por código o nombre. Un clic en una relación lleva a esa actividad. Si la relación cerraría un círculo, no se guarda, el panel lo dice y la tabla marca todas las actividades del círculo.</w:t>
      </w:r>
    </w:p>
    <w:p>
      <w:pPr>
        <w:pStyle w:val="ListParagraph"/>
        <w:numPr>
          <w:ilvl w:val="0"/>
          <w:numId w:val="2"/>
        </w:numPr>
        <w:spacing w:after="90" w:line="276"/>
        <w:jc w:val="both"/>
      </w:pPr>
      <w:r>
        <w:rPr>
          <w:b/>
          <w:bCs/>
          <w:sz w:val="20"/>
          <w:szCs w:val="20"/>
        </w:rPr>
        <w:t xml:space="preserve">Subir, bajar y eliminar</w:t>
      </w:r>
      <w:r>
        <w:rPr>
          <w:sz w:val="20"/>
          <w:szCs w:val="20"/>
        </w:rPr>
        <w:t xml:space="preserve"> solo en los hitos y trámites, y eliminar también en las actividades que ya no están en el presupuesto. Eliminar pide confirmación y dice cuántas relaciones se van con ella.</w:t>
      </w:r>
    </w:p>
    <w:p>
      <w:pPr>
        <w:pStyle w:val="Heading2"/>
        <w:spacing w:after="120" w:before="300"/>
      </w:pPr>
      <w:r>
        <w:rPr>
          <w:b/>
          <w:bCs/>
          <w:color w:val="1F2933"/>
          <w:sz w:val="23"/>
          <w:szCs w:val="23"/>
        </w:rPr>
        <w:t>13.5 Hitos, trámites y subgrupos</w:t>
      </w:r>
    </w:p>
    <w:p>
      <w:pPr>
        <w:spacing w:after="120" w:before="0" w:line="276"/>
        <w:jc w:val="both"/>
      </w:pPr>
      <w:r>
        <w:rPr>
          <w:sz w:val="20"/>
          <w:szCs w:val="20"/>
        </w:rPr>
        <w:t xml:space="preserve">«Agregar hito o trámite» abre una capa con los tres tipos, cada uno con su explicación: hito de inicio, hito de fin, y trámite o espera sin costo (RF-PRG-03). Sin código, la base pone el siguiente H-nnn o T-nnn. Un trámite lleva su duración y, por defecto, corre todos los días. Al crearlo, queda seleccionado. «Agregar subgrupo» crea un subgrupo de «Hitos y trámites», de un solo nivel; en su fila están subir, bajar, renombrar y eliminar, y un subgrupo con actividades no se elimina.</w:t>
      </w:r>
    </w:p>
    <w:p>
      <w:pPr>
        <w:pStyle w:val="Heading2"/>
        <w:spacing w:after="120" w:before="300"/>
      </w:pPr>
      <w:r>
        <w:rPr>
          <w:b/>
          <w:bCs/>
          <w:color w:val="1F2933"/>
          <w:sz w:val="23"/>
          <w:szCs w:val="23"/>
        </w:rPr>
        <w:t>13.6 El calendario de la obra</w:t>
      </w:r>
    </w:p>
    <w:p>
      <w:pPr>
        <w:spacing w:after="120" w:before="0" w:line="276"/>
        <w:jc w:val="both"/>
      </w:pPr>
      <w:r>
        <w:rPr>
          <w:sz w:val="20"/>
          <w:szCs w:val="20"/>
        </w:rPr>
        <w:t xml:space="preserve">«Ver y editar» abre la copia del proyecto con la misma capa de §11.8: la semana, los festivos y las excepciones, con la advertencia de que cambiarla recalcula el cronograma y no toca el calendario de la empresa. Abajo, «Reemplazarlo por un calendario de la empresa», con confirmación, porque se pierden las excepciones de la copia. El calendario corrido es fijo y no se muestra.</w:t>
      </w:r>
    </w:p>
    <w:p>
      <w:pPr>
        <w:pStyle w:val="Heading2"/>
        <w:spacing w:after="120" w:before="300"/>
      </w:pPr>
      <w:r>
        <w:rPr>
          <w:b/>
          <w:bCs/>
          <w:color w:val="1F2933"/>
          <w:sz w:val="23"/>
          <w:szCs w:val="23"/>
        </w:rPr>
        <w:t>13.7 Líneas base</w:t>
      </w:r>
    </w:p>
    <w:p>
      <w:pPr>
        <w:spacing w:after="120" w:before="0" w:line="276"/>
        <w:jc w:val="both"/>
      </w:pPr>
      <w:r>
        <w:rPr>
          <w:sz w:val="20"/>
          <w:szCs w:val="20"/>
        </w:rPr>
        <w:t xml:space="preserve">La capa de líneas base explica qué guarda una línea base y lista las que hay, con quién y cuándo la guardó y cuándo termina; desde ahí se elige cuál se muestra. Solo con el proyecto Activo se guardan, se reemplazan y se eliminan (RF-PRG-09): en otro estado la capa lo dice. Un nombre que ya existe no sobrescribe en silencio: pregunta si se reemplaza. Si el presupuesto cambió desde que se abrió el cronograma, no se guarda nada y se muestran las fechas nuevas para revisarlas.</w:t>
      </w:r>
    </w:p>
    <w:p>
      <w:pPr>
        <w:pStyle w:val="Heading2"/>
        <w:spacing w:after="120" w:before="300"/>
      </w:pPr>
      <w:r>
        <w:rPr>
          <w:b/>
          <w:bCs/>
          <w:color w:val="1F2933"/>
          <w:sz w:val="23"/>
          <w:szCs w:val="23"/>
        </w:rPr>
        <w:t>13.8 Curvas S</w:t>
      </w:r>
    </w:p>
    <w:p>
      <w:pPr>
        <w:spacing w:after="120" w:before="0" w:line="276"/>
        <w:jc w:val="both"/>
      </w:pPr>
      <w:r>
        <w:rPr>
          <w:sz w:val="20"/>
          <w:szCs w:val="20"/>
        </w:rPr>
        <w:t xml:space="preserve">Facturación y costo acumulados, por semana o por mes, con los de la línea base punteados (RF-PRG-08). Arriba, los dos totales. Al pasar el mouse o con las flechas, un globo da las cifras de cada curva en ese periodo, y «Ver las cifras en una tabla» las muestra todas. Las cifras son las del servidor: la pantalla no reparte dinero.</w:t>
      </w:r>
    </w:p>
    <w:p>
      <w:pPr>
        <w:pStyle w:val="Heading2"/>
        <w:spacing w:after="120" w:before="300"/>
      </w:pPr>
      <w:r>
        <w:rPr>
          <w:b/>
          <w:bCs/>
          <w:color w:val="1F2933"/>
          <w:sz w:val="23"/>
          <w:szCs w:val="23"/>
        </w:rPr>
        <w:t>13.9 Revisión</w:t>
      </w:r>
    </w:p>
    <w:p>
      <w:pPr>
        <w:spacing w:after="120" w:before="0" w:line="276"/>
        <w:jc w:val="both"/>
      </w:pPr>
      <w:r>
        <w:rPr>
          <w:sz w:val="20"/>
          <w:szCs w:val="20"/>
        </w:rPr>
        <w:t xml:space="preserve">Lo que hay que mirar antes de dar el cronograma por terminado (RF-PRG-07, RN-39), por grupos: con holgura negativa y ya no están en el presupuesto primero, porque son los graves; después sin programar, sin rendimiento ni duración, con duración manual distinta de la calculada, sin predecesora y sin sucesora. Cada actividad es un enlace que la abre en el Gantt.</w:t>
      </w:r>
    </w:p>
    <w:p>
      <w:pPr>
        <w:pStyle w:val="Heading2"/>
        <w:spacing w:after="120" w:before="300"/>
      </w:pPr>
      <w:r>
        <w:rPr>
          <w:b/>
          <w:bCs/>
          <w:color w:val="1F2933"/>
          <w:sz w:val="23"/>
          <w:szCs w:val="23"/>
        </w:rPr>
        <w:t>13.10 Exportar</w:t>
      </w:r>
    </w:p>
    <w:p>
      <w:pPr>
        <w:spacing w:after="120" w:before="0" w:line="276"/>
        <w:jc w:val="both"/>
      </w:pPr>
      <w:r>
        <w:rPr>
          <w:sz w:val="20"/>
          <w:szCs w:val="20"/>
        </w:rPr>
        <w:t xml:space="preserve">PDF del Gantt, con escala y línea base, y XML para MS Project, con la opción de incluir el costo, que por defecto no va (RF-PRG-10, RF-PRG-11). Antes de descargar el XML, la capa dice lo que Project no representa: una sola restricción por actividad y la administración como tarea normal, y que hace falta MS Project para abrirlo. El XER para P6 aparece cuando haya versiones de P6 para elegir.</w:t>
      </w:r>
    </w:p>
    <w:p>
      <w:pPr>
        <w:pStyle w:val="Heading2"/>
        <w:spacing w:after="120" w:before="300"/>
      </w:pPr>
      <w:r>
        <w:rPr>
          <w:b/>
          <w:bCs/>
          <w:color w:val="1F2933"/>
          <w:sz w:val="23"/>
          <w:szCs w:val="23"/>
        </w:rPr>
        <w:t>13.11 Dos personas a la vez</w:t>
      </w:r>
    </w:p>
    <w:p>
      <w:pPr>
        <w:spacing w:after="120" w:before="0" w:line="276"/>
        <w:jc w:val="both"/>
      </w:pPr>
      <w:r>
        <w:rPr>
          <w:sz w:val="20"/>
          <w:szCs w:val="20"/>
        </w:rPr>
        <w:t xml:space="preserve">Si otra persona cambió el cronograma mientras se editaba (o el presupuesto cambió de estado), el cambio no se guarda: la pantalla muestra la versión nueva y una franja con el cambio rechazado, en palabras, y «Aplicar mi cambio de nuevo» para volver a hacerlo sobre la versión nueva, o «Descartar mi cambio» (07 §6.9). Nadie pisa el trabajo de otro sin saberlo, y nadie pierde lo que hizo.</w:t>
      </w:r>
    </w:p>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