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revisión del 22 de septiembre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 xml:space="preserve">Cuando la suscripción no está vigente —prueba agotada sin pago, o mensualidad vencida—, el usuario sí puede iniciar sesión, pero cae en una pantalla de suscripción vencida. Desde ahí no puede abrir Recursos, APU ni Presupuestos: el menú principal no se muestra.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Solo la pantalla de suscripción vencida, con los datos para pagar y el contacto. Es distinta de la pantalla de cuenta suspendida por el superadministrador, que lleva el contacto de soporte: son dos textos distintos a propósito, para que soporte sepa cuál es cuál sin consultar la base de datos (D-25)</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 xml:space="preserve">El IVA es opcional. Si se deja vacío el sistema asume 0% y ambos precios quedan idénticos.</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1"/>
        <w:pBdr>
          <w:bottom w:val="single" w:color="13496B" w:sz="10" w:space="6"/>
        </w:pBdr>
        <w:spacing w:after="180" w:before="420"/>
      </w:pPr>
      <w:r>
        <w:rPr>
          <w:b/>
          <w:bCs/>
          <w:color w:val="13496B"/>
          <w:sz w:val="30"/>
          <w:szCs w:val="30"/>
        </w:rPr>
        <w:t xml:space="preserve">7. Módulo Presupuestos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 xml:space="preserve">En la parte superior: barra de búsqueda por nombre o código, filtro desplegable por estado, botón «Crear Nuevo Presupuesto» a la derecha y botón Volver.</w:t>
      </w:r>
    </w:p>
    <w:p>
      <w:pPr>
        <w:pStyle w:val="Heading2"/>
        <w:spacing w:after="120" w:before="300"/>
      </w:pPr>
      <w:r>
        <w:rPr>
          <w:b/>
          <w:bCs/>
          <w:color w:val="1F2933"/>
          <w:sz w:val="23"/>
          <w:szCs w:val="23"/>
        </w:rPr>
        <w:t xml:space="preserve">7.1 Crear un presupuesto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 xml:space="preserve">Al presionar «Iniciar Presupuesto»,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 xml:space="preserve">8. Módulo Presupuestos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 xml:space="preserve">Barra fija al final de la lista de capítulos, con el resumen del proyecto: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Total Costo 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Administración (A)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Imprevistos (I)</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Costo Directo × %I</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Utilidad (U)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A + I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IVA sobre la utilidad</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Utilidad × %IVA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Total Costo Indirecto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indirectos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AIU + IVA + Costo Indirecto</w:t>
            </w:r>
          </w:p>
        </w:tc>
      </w:tr>
    </w:tbl>
    <w:p>
      <w:pPr>
        <w:spacing w:after="120" w:before="0" w:line="276"/>
        <w:jc w:val="both"/>
      </w:pPr>
      <w:r>
        <w:rPr>
          <w:sz w:val="20"/>
          <w:szCs w:val="20"/>
        </w:rPr>
        <w:t>El orden de las filas no es estético: el AIU aparece pegado al costo directo porque es lo único sobre lo que se calcula, el IVA debajo de la utilidad porque es lo único que grava, y el costo indirecto entra al final, ya sin porcentaje encima.</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ajustan mientras el presupuesto esté Abierto. Arrancan en cero: no hay AIU estándar de la empresa que los precargue, porque el AIU se negocia obra por obra (D-41). El sistema no inventa un 25% ni ningún otro valor. El IVA es el único que nace con valor: 19 %.</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Presupuesto»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 xml:space="preserve">El botón «Exportar Presupuesto»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 xml:space="preserve">Ningún usuario, de ningún rol, ni siquiera el Administrador, puede editar o eliminar un registro del historial o una versión. La interfaz no debe ofrecer esos controles, y si alguien intenta la operación por otra vía, la base de datos la rechaza.</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Presupuestos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