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revisiones del 22 de septiembre y del 1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suscripción no está vigente —prueba agotada sin pago, o mensualidad vencida—, el usuario inicia sesión y la empresa pasa a SOLO LECTURA. Abre Recursos, APU y Presupuestos, los consulta y los exporta; cualquier acción que escriba se rechaza, y la pantalla de suscripción vencida es donde están los datos para pagar. Hasta el 30 de septiembre de 2026 esta guía decía que el menú no se mostraba y que no abría nada; la decisión del dueño, de esa fecha, cambió el bloqueo por la solo lectura, porque los datos son del cliente y una empresa a la que se le pasó la renovación tiene que poder sacar sus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El sistema en solo lectura: consulta y exporta todo lo que tenía, y cualquier escritura se rechaza. Un aviso permanente lo explica y lleva a la pantalla de suscripción, con los datos para pagar.</w:t>
            </w:r>
          </w:p>
        </w:tc>
      </w:tr>
      <w:tr>
        <w:tc>
          <w:tcPr>
            <w:tcW w:type="dxa" w:w="2600"/>
          </w:tcPr>
          <w:p>
            <w:r>
              <w:t>Cancelada</w:t>
            </w:r>
          </w:p>
        </w:tc>
        <w:tc>
          <w:tcPr>
            <w:tcW w:type="dxa" w:w="6420"/>
          </w:tcPr>
          <w:p>
            <w:r>
              <w:t>Igual que vencida: solo lectura. Cancelar es una decisión comercial y hoy corta el acceso de escritura el mismo día, aunque el período pagado siga corriendo.</w:t>
            </w:r>
          </w:p>
        </w:tc>
      </w:tr>
      <w:tr>
        <w:tc>
          <w:tcPr>
            <w:tcW w:type="dxa" w:w="2600"/>
          </w:tcPr>
          <w:p>
            <w:r>
              <w:t>Suspendida</w:t>
            </w:r>
          </w:p>
        </w:tc>
        <w:tc>
          <w:tcPr>
            <w:tcW w:type="dxa" w:w="6420"/>
          </w:tcPr>
          <w:p>
            <w:r>
              <w:t>Solo lectura, y el motivo no es la suscripción sino el inquilino: lo suspendió el superadministrador. La pantalla lo dice con esas palabras, porque pagar no lo resuelve.</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 xml:space="preserve">El IVA es opcional. Si se deja vacío el sistema asume 0% y ambos precios quedan idénticos.</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1"/>
        <w:pBdr>
          <w:bottom w:val="single" w:color="13496B" w:sz="10" w:space="6"/>
        </w:pBdr>
        <w:spacing w:after="180" w:before="420"/>
      </w:pPr>
      <w:r>
        <w:rPr>
          <w:b/>
          <w:bCs/>
          <w:color w:val="13496B"/>
          <w:sz w:val="30"/>
          <w:szCs w:val="30"/>
        </w:rPr>
        <w:t xml:space="preserve">7. Módulo Presupuestos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 xml:space="preserve">En la parte superior: barra de búsqueda por nombre o código, filtro desplegable por estado, botón «Crear Nuevo Presupuesto» a la derecha y botón Volver.</w:t>
      </w:r>
    </w:p>
    <w:p>
      <w:pPr>
        <w:pStyle w:val="Heading2"/>
        <w:spacing w:after="120" w:before="300"/>
      </w:pPr>
      <w:r>
        <w:rPr>
          <w:b/>
          <w:bCs/>
          <w:color w:val="1F2933"/>
          <w:sz w:val="23"/>
          <w:szCs w:val="23"/>
        </w:rPr>
        <w:t xml:space="preserve">7.1 Crear un presupuesto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 xml:space="preserve">Al presionar «Iniciar Presupuesto»,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 xml:space="preserve">8. Módulo Presupuestos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El capítulo se numera 1.0 y sus hijos 1.1, 1.2, 1.3; los hijos de un subcapítulo, 1.1.1 y siguientes. Capítulos y actividades comparten el contador de su padre, así que una actividad colgada del capítulo queda entre sus subcapítulos sin chocar: 1.0 CIMENTACIÓN, 1.1 Excavación manual, 1.2 Concretos, 1.2.1 Concreto de zapatas.</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 xml:space="preserve">Reordenar la posición, desplazando arriba o abajo.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Presupuesto»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 xml:space="preserve">El botón «Exportar Presupuesto»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Vencida o Cancelada—, la fecha de vencimiento y los días restantes. «Vencida» no es un estado guardado: la interfaz lo deriva comparando la fecha de vencimiento con hoy, y desaparece solo en el instante en que se registra el pago. «Cancelada» sí es un estado, y solo lo escribe el superadministrador después de hablar con el cliente (D-25). Si la empresa está en período de prueba, la pantalla indica cuántos días quedan y cómo hacer el pago.</w:t>
      </w:r>
    </w:p>
    <w:p>
      <w:pPr>
        <w:spacing w:after="120" w:before="0" w:line="276"/>
        <w:jc w:val="both"/>
      </w:pPr>
      <w:r>
        <w:rPr>
          <w:sz w:val="20"/>
          <w:szCs w:val="20"/>
        </w:rPr>
        <w:t xml:space="preserve">Debajo, la tabla del historial de facturación con fecha, concepto, monto, método de pago y estado, y un botón por fila para descargar el comprobante en PDF.</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Presupuestos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