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spacing w:after="200"/>
      </w:pPr>
      <w:r>
        <w:rPr>
          <w:b/>
          <w:bCs/>
          <w:caps/>
          <w:color w:val="7A8896"/>
          <w:spacing w:val="60"/>
          <w:sz w:val="17"/>
          <w:szCs w:val="17"/>
        </w:rPr>
        <w:t xml:space="preserve">Paquete de desarrollo</w:t>
      </w:r>
    </w:p>
    <w:p>
      <w:pPr>
        <w:spacing w:after="120"/>
      </w:pPr>
      <w:r>
        <w:rPr>
          <w:b/>
          <w:bCs/>
          <w:color w:val="13496B"/>
          <w:sz w:val="44"/>
          <w:szCs w:val="44"/>
        </w:rPr>
        <w:t xml:space="preserve">Comportamiento de interfaz</w:t>
      </w:r>
    </w:p>
    <w:p>
      <w:pPr>
        <w:pBdr>
          <w:bottom w:val="single" w:color="13496B" w:sz="12" w:space="10"/>
        </w:pBdr>
        <w:spacing w:after="700"/>
      </w:pPr>
      <w:r>
        <w:rPr>
          <w:color w:val="3C4A57"/>
          <w:sz w:val="24"/>
          <w:szCs w:val="24"/>
        </w:rPr>
        <w:t xml:space="preserve">Cómo se ve y cómo se comporta cada pantalla del MVP</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Documento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02 de 06</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Versión</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Definitiva</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Fecha</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16 de septiembre de 2026 · revisión del 22 de septiembre de 2026</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Documento que manda</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01 - Alcance del MVP, en todo lo relativo al alcance</w:t>
            </w:r>
          </w:p>
        </w:tc>
      </w:tr>
    </w:tbl>
    <w:p>
      <w:pPr>
        <w:spacing w:before="160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Qué responde este documento</w:t>
            </w:r>
          </w:p>
          <w:p>
            <w:pPr>
              <w:spacing w:after="110" w:line="276"/>
              <w:jc w:val="both"/>
            </w:pPr>
            <w:r>
              <w:rPr>
                <w:sz w:val="19"/>
                <w:szCs w:val="19"/>
              </w:rPr>
              <w:t xml:space="preserve">Responde al «cómo»: qué componentes tiene cada pantalla, qué pasa al pulsar cada botón, qué valida el sistema y qué mensaje muestra.</w:t>
            </w:r>
          </w:p>
          <w:p>
            <w:pPr>
              <w:spacing w:after="40" w:line="276"/>
              <w:jc w:val="both"/>
            </w:pPr>
            <w:r>
              <w:rPr>
                <w:sz w:val="19"/>
                <w:szCs w:val="19"/>
              </w:rPr>
              <w:t>No responde al «qué». El alcance lo define el documento 01 (Alcance del MVP) y ante cualquier diferencia manda ese documento.</w:t>
            </w:r>
          </w:p>
        </w:tc>
      </w:tr>
    </w:tbl>
    <w:p>
      <w:r>
        <w:br w:type="page"/>
      </w:r>
    </w:p>
    <w:p>
      <w:pPr>
        <w:pStyle w:val="Heading1"/>
        <w:pBdr>
          <w:bottom w:val="single" w:color="13496B" w:sz="10" w:space="6"/>
        </w:pBdr>
        <w:spacing w:after="180" w:before="420"/>
      </w:pPr>
      <w:r>
        <w:rPr>
          <w:b/>
          <w:bCs/>
          <w:color w:val="13496B"/>
          <w:sz w:val="30"/>
          <w:szCs w:val="30"/>
        </w:rPr>
        <w:t xml:space="preserve">1. Cómo usar este documento</w:t>
      </w:r>
    </w:p>
    <w:p>
      <w:pPr>
        <w:spacing w:after="120" w:before="0" w:line="276"/>
        <w:jc w:val="both"/>
      </w:pPr>
      <w:r>
        <w:rPr>
          <w:sz w:val="20"/>
          <w:szCs w:val="20"/>
        </w:rPr>
        <w:t>Este documento describe cómo se ve y cómo se comporta cada pantalla del MVP. Responde a la pregunta «cómo», no a la pregunta «qué»: el alcance —qué se construye y qué no— lo define el documento 01 (Alcance del MVP), y ante cualquier diferencia manda ese documento.</w:t>
      </w:r>
    </w:p>
    <w:p>
      <w:pPr>
        <w:spacing w:after="120" w:before="0" w:line="276"/>
        <w:jc w:val="both"/>
      </w:pPr>
      <w:r>
        <w:rPr>
          <w:sz w:val="20"/>
          <w:szCs w:val="20"/>
        </w:rPr>
        <w:t>Es la única descripción válida del comportamiento de pantalla. Cualquier documento de flujo que esté fuera de esta carpeta no forma parte del paquete y no debe usarse como referencia.</w:t>
      </w:r>
    </w:p>
    <w:p>
      <w:pPr>
        <w:spacing w:after="100"/>
      </w:pPr>
    </w:p>
    <w:p>
      <w:pPr>
        <w:pStyle w:val="Heading1"/>
        <w:pBdr>
          <w:bottom w:val="single" w:color="13496B" w:sz="10" w:space="6"/>
        </w:pBdr>
        <w:spacing w:after="180" w:before="420"/>
      </w:pPr>
      <w:r>
        <w:rPr>
          <w:b/>
          <w:bCs/>
          <w:color w:val="13496B"/>
          <w:sz w:val="30"/>
          <w:szCs w:val="30"/>
        </w:rPr>
        <w:t xml:space="preserve">2. Principios transversales</w:t>
      </w:r>
    </w:p>
    <w:p>
      <w:pPr>
        <w:spacing w:after="120" w:before="0" w:line="276"/>
        <w:jc w:val="both"/>
      </w:pPr>
      <w:r>
        <w:rPr>
          <w:sz w:val="20"/>
          <w:szCs w:val="20"/>
        </w:rPr>
        <w:t xml:space="preserve">Estas reglas aplican en todas las pantallas. No se repiten en cada sección; se dan por supuestas.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100"/>
        <w:gridCol w:w="6920"/>
      </w:tblGrid>
      <w:tr>
        <w:trPr>
          <w:cantSplit/>
          <w:tblHeader/>
        </w:trPr>
        <w:tc>
          <w:tcPr>
            <w:tcW w:type="dxa" w:w="2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Regla</w:t>
            </w:r>
          </w:p>
        </w:tc>
        <w:tc>
          <w:tcPr>
            <w:tcW w:type="dxa" w:w="69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 esperado</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Ventanas flotantes</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Crear y editar nunca cambia de pantalla completa. Se abre un pop-out superpuesto, pequeño, con botón «X» o «Cerrar» que aborta sin guardar. Si desde un pop-out se abre otro (crear un recurso desde un APU, por ejemplo), al cerrar el segundo se vuelve al primero sin perder lo digitado.</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Botón Volver</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Visible en toda pantalla, sección, pestaña o nivel de navegación. Regresa a la sección inmediatamente anterior sin alterar la sesión.</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Recálculo en tiempo real</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Los totales se actualizan mientras el usuario escribe, sin recargar la página. Lo que muestra la pantalla es una previsualización: la cifra que vale es la que confirma el servidor al guardar.</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Formatos numéricos</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Separador de miles, separador decimal y número de decimales se leen de la configuración de la empresa y aplican en toda la interfaz y en las impresiones.</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Una sola por empresa. Se muestra el símbolo, nunca un selector de divisa dentro de un proyecto.</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Mensajes de error</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Dicen la causa y la acción correctiva concreta. «Error al guardar» no es un mensaje válido; «El símbolo m² ya existe en esta empresa, use otro» sí lo es.</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Permisos</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Si el usuario no tiene el permiso, el control no se muestra. Ocultarlo no basta: el servidor rechaza la operación igual si se invoca directamente.</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Idioma</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Toda la interfaz en español.</w:t>
            </w:r>
          </w:p>
        </w:tc>
      </w:tr>
    </w:tbl>
    <w:p>
      <w:pPr>
        <w:pStyle w:val="Heading2"/>
        <w:spacing w:after="120"/>
      </w:pPr>
      <w:r>
        <w:rPr/>
        <w:t>Mensajes de error de estado</w:t>
      </w:r>
    </w:p>
    <w:p>
      <w:pPr>
        <w:spacing w:after="120"/>
      </w:pPr>
      <w:r>
        <w:t>Toda operación rechazada por el estado del proyecto muestra el estado actual y el camino de salida: reabrir con justificación. Es RNF-15 aplicado al caso más frecuente. La base de datos devuelve ese texto, de modo que la pantalla lo muestra tal cual en lugar de inventar uno propio.</w:t>
      </w:r>
    </w:p>
    <w:p>
      <w:pPr>
        <w:pStyle w:val="Heading1"/>
        <w:pBdr>
          <w:bottom w:val="single" w:color="13496B" w:sz="10" w:space="6"/>
        </w:pBdr>
        <w:spacing w:after="180" w:before="420"/>
      </w:pPr>
      <w:r>
        <w:rPr>
          <w:b/>
          <w:bCs/>
          <w:color w:val="13496B"/>
          <w:sz w:val="30"/>
          <w:szCs w:val="30"/>
        </w:rPr>
        <w:t xml:space="preserve">3. Autenticación y acceso</w:t>
      </w:r>
    </w:p>
    <w:p>
      <w:pPr>
        <w:pStyle w:val="Heading2"/>
        <w:spacing w:after="120" w:before="300"/>
      </w:pPr>
      <w:r>
        <w:rPr>
          <w:b/>
          <w:bCs/>
          <w:color w:val="1F2933"/>
          <w:sz w:val="23"/>
          <w:szCs w:val="23"/>
        </w:rPr>
        <w:t xml:space="preserve">3.1 Registro de una empresa nueva</w:t>
      </w:r>
    </w:p>
    <w:p>
      <w:pPr>
        <w:spacing w:after="120" w:before="0" w:line="276"/>
        <w:jc w:val="both"/>
      </w:pPr>
      <w:r>
        <w:rPr>
          <w:sz w:val="20"/>
          <w:szCs w:val="20"/>
        </w:rPr>
        <w:t xml:space="preserve">Tres pasos encadenados en una sola pantalla, sin abandonarla:</w:t>
      </w:r>
    </w:p>
    <w:p>
      <w:pPr>
        <w:pStyle w:val="ListParagraph"/>
        <w:numPr>
          <w:ilvl w:val="0"/>
          <w:numId w:val="2"/>
        </w:numPr>
        <w:spacing w:after="90" w:line="276"/>
        <w:jc w:val="both"/>
      </w:pPr>
      <w:r>
        <w:rPr>
          <w:sz w:val="20"/>
          <w:szCs w:val="20"/>
        </w:rPr>
        <w:t xml:space="preserve">Datos de la cuenta: nombre, correo y contraseña. La contraseña exige mínimo 8 caracteres.</w:t>
      </w:r>
    </w:p>
    <w:p>
      <w:pPr>
        <w:pStyle w:val="ListParagraph"/>
        <w:numPr>
          <w:ilvl w:val="0"/>
          <w:numId w:val="2"/>
        </w:numPr>
        <w:spacing w:after="90" w:line="276"/>
        <w:jc w:val="both"/>
      </w:pPr>
      <w:r>
        <w:rPr>
          <w:sz w:val="20"/>
          <w:szCs w:val="20"/>
        </w:rPr>
        <w:t>Datos de la empresa: razón social, NIT y carga del logotipo en PNG o JPG. El NIT es obligatorio y único en la plataforma; en el plan Personal es el del RUT de la persona natural.</w:t>
      </w:r>
    </w:p>
    <w:p>
      <w:pPr>
        <w:pStyle w:val="ListParagraph"/>
        <w:numPr>
          <w:ilvl w:val="0"/>
          <w:numId w:val="2"/>
        </w:numPr>
        <w:spacing w:after="90" w:line="276"/>
        <w:jc w:val="both"/>
      </w:pPr>
      <w:r>
        <w:rPr>
          <w:sz w:val="20"/>
          <w:szCs w:val="20"/>
        </w:rPr>
        <w:t xml:space="preserve">Selección obligatoria de plan: Personal o Empresarial. No se puede terminar el registro sin elegir uno.</w:t>
      </w:r>
    </w:p>
    <w:p>
      <w:pPr>
        <w:spacing w:after="120" w:before="0" w:line="276"/>
        <w:jc w:val="both"/>
      </w:pPr>
      <w:r>
        <w:rPr>
          <w:sz w:val="20"/>
          <w:szCs w:val="20"/>
        </w:rPr>
        <w:t xml:space="preserve">Al completar, el sistema crea la empresa, su configuración por defecto, el rol Administrador, el usuario que se registró y las doce unidades de medida estándar, y lo lleva a la pantalla de inicio.</w:t>
      </w:r>
    </w:p>
    <w:p>
      <w:pPr>
        <w:spacing w:after="120" w:before="0" w:line="276"/>
        <w:jc w:val="both"/>
      </w:pPr>
      <w:r>
        <w:rPr>
          <w:i/>
          <w:iCs/>
          <w:color w:val="5A6874"/>
          <w:sz w:val="20"/>
          <w:szCs w:val="20"/>
        </w:rPr>
        <w:t xml:space="preserve">La precarga de unidades no es un detalle cosmético: el formulario de recursos exige unidad de medida, así que sin ellas el usuario nuevo no podría crear ni un solo insumo. Quedan editables desde Configuración (RF-CFG-23).</w:t>
      </w:r>
    </w:p>
    <w:p>
      <w:pPr>
        <w:pStyle w:val="Heading2"/>
        <w:spacing w:after="120" w:before="300"/>
      </w:pPr>
      <w:r>
        <w:rPr>
          <w:b/>
          <w:bCs/>
          <w:color w:val="1F2933"/>
          <w:sz w:val="23"/>
          <w:szCs w:val="23"/>
        </w:rPr>
        <w:t xml:space="preserve">3.2 Ingreso</w:t>
      </w:r>
    </w:p>
    <w:p>
      <w:pPr>
        <w:spacing w:after="120" w:before="0" w:line="276"/>
        <w:jc w:val="both"/>
      </w:pPr>
      <w:r>
        <w:rPr>
          <w:sz w:val="20"/>
          <w:szCs w:val="20"/>
        </w:rPr>
        <w:t xml:space="preserve">Correo y contraseña. No hay selector de empresa: el correo identifica al usuario de forma única en toda la plataforma. Si las credenciales fallan, el mensaje lo dice de forma explícita y deja reintentar.</w:t>
      </w:r>
    </w:p>
    <w:p>
      <w:pPr>
        <w:spacing w:after="120" w:before="0" w:line="276"/>
        <w:jc w:val="both"/>
      </w:pPr>
      <w:r>
        <w:rPr>
          <w:sz w:val="20"/>
          <w:szCs w:val="20"/>
        </w:rPr>
        <w:t>Tras validar, el sistema redirige a la pantalla de inicio según el rol y el plan del usuario. Un usuario invitado que todavía no ha activado su cuenta no puede entrar por aquí: el sistema le recuerda que debe abrir el enlace de activación, y ofrece reenviárselo si venció.</w:t>
      </w:r>
    </w:p>
    <w:p>
      <w:pPr>
        <w:pStyle w:val="Heading2"/>
        <w:spacing w:after="120" w:before="300"/>
      </w:pPr>
      <w:r>
        <w:rPr>
          <w:b/>
          <w:bCs/>
          <w:color w:val="1F2933"/>
          <w:sz w:val="23"/>
          <w:szCs w:val="23"/>
        </w:rPr>
        <w:t xml:space="preserve">3.3 Recuperación de contraseña</w:t>
      </w:r>
    </w:p>
    <w:p>
      <w:pPr>
        <w:spacing w:after="120" w:before="0" w:line="276"/>
        <w:jc w:val="both"/>
      </w:pPr>
      <w:r>
        <w:rPr>
          <w:sz w:val="20"/>
          <w:szCs w:val="20"/>
        </w:rPr>
        <w:t xml:space="preserve">Desde el login, el enlace «¿Olvidaste tu contraseña?» abre un formulario que pide el correo registrado. El flujo completo: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900"/>
        <w:gridCol w:w="8120"/>
      </w:tblGrid>
      <w:tr>
        <w:trPr>
          <w:cantSplit/>
          <w:tblHeader/>
        </w:trPr>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Paso</w:t>
            </w:r>
          </w:p>
        </w:tc>
        <w:tc>
          <w:tcPr>
            <w:tcW w:type="dxa" w:w="81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El usuario escribe su correo. El mensaje de respuesta es el mismo exista o no la cuenta: «Si ese correo está registrado, le enviamos un enlace para restablecer la contraseña». Decir «no existe, adquiera un plan» convierte esta pantalla en un oráculo con el que cualquiera puede averiguar qué correos tienen cuenta, y además revela indirectamente que el correo ya está en uso en otra empresa.</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El sistema genera un enlace único con vigencia de 30 minutos y lo envía por correo, indicando en el mensaje que expira.</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3</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Al abrir el enlace, si el token venció o es inválido se muestra un aviso con un botón para solicitar uno nuevo.</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4</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Si es válido, se pide la nueva contraseña y su confirmación, con el mínimo de 8 caracteres. Si no coinciden, se muestra el error y se reintenta en el mismo formulario.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5</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Al guardar, el token queda invalidado para siempre y se redirige al login.</w:t>
            </w:r>
          </w:p>
        </w:tc>
      </w:tr>
    </w:tbl>
    <w:p>
      <w:pPr>
        <w:pStyle w:val="Heading2"/>
        <w:spacing w:after="120" w:before="300"/>
      </w:pPr>
      <w:r>
        <w:rPr>
          <w:b/>
          <w:bCs/>
          <w:color w:val="1F2933"/>
          <w:sz w:val="23"/>
          <w:szCs w:val="23"/>
        </w:rPr>
        <w:t xml:space="preserve">3.4 Período de prueba y acceso vencido</w:t>
      </w:r>
    </w:p>
    <w:p>
      <w:pPr>
        <w:spacing w:after="120" w:before="0" w:line="276"/>
        <w:jc w:val="both"/>
      </w:pPr>
      <w:r>
        <w:rPr>
          <w:sz w:val="20"/>
          <w:szCs w:val="20"/>
        </w:rPr>
        <w:t xml:space="preserve">Al registrarse, la empresa recibe quince días de prueba gratuita. Dos días antes de vencer, el sistema envía un correo de aviso para que el cliente decida a tiempo.</w:t>
      </w:r>
    </w:p>
    <w:p>
      <w:pPr>
        <w:spacing w:after="120" w:before="0" w:line="276"/>
        <w:jc w:val="both"/>
      </w:pPr>
      <w:r>
        <w:rPr>
          <w:sz w:val="20"/>
          <w:szCs w:val="20"/>
        </w:rPr>
        <w:t xml:space="preserve">Cuando la suscripción no está vigente —prueba agotada sin pago, o mensualidad vencida—, el usuario sí puede iniciar sesión, pero cae en una pantalla de suscripción vencida. Desde ahí no puede abrir Recursos, APU ni Presupuestos: el menú principal no se muestra.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4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 de la suscripción</w:t>
            </w:r>
          </w:p>
        </w:tc>
        <w:tc>
          <w:tcPr>
            <w:tcW w:type="dxa" w:w="64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ve el usuario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En prueba</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sistema completo, con un aviso permanente de cuántos días quedan</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Activa</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El sistema completo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Vencida</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Solo la pantalla de suscripción vencida, con los datos para pagar y el contacto. Es distinta de la pantalla de cuenta suspendida por el superadministrador, que lleva el contacto de soporte: son dos textos distintos a propósito, para que soporte sepa cuál es cuál sin consultar la base de datos (D-25)</w:t>
            </w:r>
          </w:p>
        </w:tc>
      </w:tr>
    </w:tbl>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La verificación es del servidor, no de la pantalla</w:t>
            </w:r>
          </w:p>
          <w:p>
            <w:pPr>
              <w:spacing w:after="110" w:line="276"/>
              <w:jc w:val="both"/>
            </w:pPr>
            <w:r>
              <w:rPr>
                <w:sz w:val="19"/>
                <w:szCs w:val="19"/>
              </w:rPr>
              <w:t xml:space="preserve">No basta con ocultar el menú. El servidor comprueba la vigencia de la suscripción en cada petición, de modo que quien conozca la dirección de una pantalla interna tampoco entra.</w:t>
            </w:r>
          </w:p>
          <w:p>
            <w:pPr>
              <w:spacing w:after="40" w:line="276"/>
              <w:jc w:val="both"/>
            </w:pPr>
            <w:r>
              <w:rPr>
                <w:sz w:val="19"/>
                <w:szCs w:val="19"/>
              </w:rPr>
              <w:t xml:space="preserve">Y una regla que no se negocia: la información del cliente se conserva intacta. Perder el acceso no es perder los datos.</w:t>
            </w:r>
          </w:p>
        </w:tc>
      </w:tr>
    </w:tbl>
    <w:p>
      <w:pPr>
        <w:pStyle w:val="Heading2"/>
        <w:spacing w:after="120" w:before="300"/>
      </w:pPr>
      <w:r>
        <w:rPr>
          <w:b/>
          <w:bCs/>
          <w:color w:val="1F2933"/>
          <w:sz w:val="23"/>
          <w:szCs w:val="23"/>
        </w:rPr>
        <w:t xml:space="preserve">3.5 Acceso del superadministrador</w:t>
      </w:r>
    </w:p>
    <w:p>
      <w:pPr>
        <w:spacing w:after="120" w:before="0" w:line="276"/>
        <w:jc w:val="both"/>
      </w:pPr>
      <w:r>
        <w:rPr>
          <w:sz w:val="20"/>
          <w:szCs w:val="20"/>
        </w:rPr>
        <w:t xml:space="preserve">Por una URL propia y separada de la de los inquilinos. No comparte pantalla de login con los usuarios de las empresas.</w:t>
      </w:r>
    </w:p>
    <w:p>
      <w:pPr>
        <w:pStyle w:val="Heading1"/>
        <w:pBdr>
          <w:bottom w:val="single" w:color="13496B" w:sz="10" w:space="6"/>
        </w:pBdr>
        <w:spacing w:after="180" w:before="420"/>
      </w:pPr>
      <w:r>
        <w:rPr>
          <w:b/>
          <w:bCs/>
          <w:color w:val="13496B"/>
          <w:sz w:val="30"/>
          <w:szCs w:val="30"/>
        </w:rPr>
        <w:t xml:space="preserve">4. Pantalla de inicio</w:t>
      </w:r>
    </w:p>
    <w:p>
      <w:pPr>
        <w:spacing w:after="120" w:before="0" w:line="276"/>
        <w:jc w:val="both"/>
      </w:pPr>
      <w:r>
        <w:rPr>
          <w:sz w:val="20"/>
          <w:szCs w:val="20"/>
        </w:rPr>
        <w:t xml:space="preserve">Menú principal con el acceso a los módulos del sistema. Los que no corresponden al rol del usuario no se muestran.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000"/>
        <w:gridCol w:w="6020"/>
      </w:tblGrid>
      <w:tr>
        <w:trPr>
          <w:cantSplit/>
          <w:tblHeader/>
        </w:trPr>
        <w:tc>
          <w:tcPr>
            <w:tcW w:type="dxa" w:w="3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Acceso</w:t>
            </w:r>
          </w:p>
        </w:tc>
        <w:tc>
          <w:tcPr>
            <w:tcW w:type="dxa" w:w="60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Lleva a</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Recursos</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 xml:space="preserve">Catálogo maestro de materiales, equipos, personal y actividades a todo costo</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 xml:space="preserve">APU</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 xml:space="preserve">Inventario de análisis de precios unitarios</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Presupuestos</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 xml:space="preserve">Lista de proyectos y mesa de trabajo</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 xml:space="preserve">Configuración (ícono de engranaje)</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 xml:space="preserve">Cuenta, empresa, suscripción, usuarios, preferencias y unidades</w:t>
            </w:r>
          </w:p>
        </w:tc>
      </w:tr>
    </w:tbl>
    <w:p>
      <w:pPr>
        <w:pStyle w:val="Heading1"/>
        <w:pBdr>
          <w:bottom w:val="single" w:color="13496B" w:sz="10" w:space="6"/>
        </w:pBdr>
        <w:spacing w:after="180" w:before="420"/>
      </w:pPr>
      <w:r>
        <w:rPr>
          <w:b/>
          <w:bCs/>
          <w:color w:val="13496B"/>
          <w:sz w:val="30"/>
          <w:szCs w:val="30"/>
        </w:rPr>
        <w:t xml:space="preserve">5. Módulo Recursos</w:t>
      </w:r>
    </w:p>
    <w:p>
      <w:pPr>
        <w:pStyle w:val="Heading2"/>
        <w:spacing w:after="120" w:before="300"/>
      </w:pPr>
      <w:r>
        <w:rPr>
          <w:b/>
          <w:bCs/>
          <w:color w:val="1F2933"/>
          <w:sz w:val="23"/>
          <w:szCs w:val="23"/>
        </w:rPr>
        <w:t xml:space="preserve">5.1 Vista maestra</w:t>
      </w:r>
    </w:p>
    <w:p>
      <w:pPr>
        <w:spacing w:after="120" w:before="0" w:line="276"/>
        <w:jc w:val="both"/>
      </w:pPr>
      <w:r>
        <w:rPr>
          <w:sz w:val="20"/>
          <w:szCs w:val="20"/>
        </w:rPr>
        <w:t xml:space="preserve">Al entrar desde el menú principal, la pantalla contiene:</w:t>
      </w:r>
    </w:p>
    <w:p>
      <w:pPr>
        <w:pStyle w:val="ListParagraph"/>
        <w:numPr>
          <w:ilvl w:val="0"/>
          <w:numId w:val="2"/>
        </w:numPr>
        <w:spacing w:after="90" w:line="276"/>
        <w:jc w:val="both"/>
      </w:pPr>
      <w:r>
        <w:rPr>
          <w:sz w:val="20"/>
          <w:szCs w:val="20"/>
        </w:rPr>
        <w:t xml:space="preserve">Cuatro pestañas fijas: Materiales, Equipos, Personal y Actividades (todo costo).</w:t>
      </w:r>
    </w:p>
    <w:p>
      <w:pPr>
        <w:pStyle w:val="ListParagraph"/>
        <w:numPr>
          <w:ilvl w:val="0"/>
          <w:numId w:val="2"/>
        </w:numPr>
        <w:spacing w:after="90" w:line="276"/>
        <w:jc w:val="both"/>
      </w:pPr>
      <w:r>
        <w:rPr>
          <w:sz w:val="20"/>
          <w:szCs w:val="20"/>
        </w:rPr>
        <w:t xml:space="preserve">Una vista adicional «Todos los recursos» con el listado unificado.</w:t>
      </w:r>
    </w:p>
    <w:p>
      <w:pPr>
        <w:pStyle w:val="ListParagraph"/>
        <w:numPr>
          <w:ilvl w:val="0"/>
          <w:numId w:val="2"/>
        </w:numPr>
        <w:spacing w:after="90" w:line="276"/>
        <w:jc w:val="both"/>
      </w:pPr>
      <w:r>
        <w:rPr>
          <w:sz w:val="20"/>
          <w:szCs w:val="20"/>
        </w:rPr>
        <w:t xml:space="preserve">Un botón destacado «Crear Nuevo Recurso» y, dentro de cada pestaña, un acceso rápido que preselecciona el tipo de esa pestaña.</w:t>
      </w:r>
    </w:p>
    <w:p>
      <w:pPr>
        <w:pStyle w:val="ListParagraph"/>
        <w:numPr>
          <w:ilvl w:val="0"/>
          <w:numId w:val="2"/>
        </w:numPr>
        <w:spacing w:after="90" w:line="276"/>
        <w:jc w:val="both"/>
      </w:pPr>
      <w:r>
        <w:rPr>
          <w:sz w:val="20"/>
          <w:szCs w:val="20"/>
        </w:rPr>
        <w:t xml:space="preserve">Una barra de búsqueda en la parte superior. Al escribir un término, el filtro por pestañas se rompe: se muestran todos los recursos relacionados sin importar su categoría.</w:t>
      </w:r>
    </w:p>
    <w:p>
      <w:pPr>
        <w:pStyle w:val="ListParagraph"/>
        <w:numPr>
          <w:ilvl w:val="0"/>
          <w:numId w:val="2"/>
        </w:numPr>
        <w:spacing w:after="90" w:line="276"/>
        <w:jc w:val="both"/>
      </w:pPr>
      <w:r>
        <w:rPr>
          <w:sz w:val="20"/>
          <w:szCs w:val="20"/>
        </w:rPr>
        <w:t xml:space="preserve">Filtros por código, nombre, unidad y rango de precios.</w:t>
      </w:r>
    </w:p>
    <w:p>
      <w:pPr>
        <w:spacing w:after="120" w:before="0" w:line="276"/>
        <w:jc w:val="both"/>
      </w:pPr>
      <w:r>
        <w:rPr>
          <w:sz w:val="20"/>
          <w:szCs w:val="20"/>
        </w:rPr>
        <w:t xml:space="preserve">La tabla de cada pestaña muestra: código automático, nombre, unidad y precios.</w:t>
      </w:r>
    </w:p>
    <w:p>
      <w:pPr>
        <w:pStyle w:val="Heading2"/>
        <w:spacing w:after="120" w:before="300"/>
      </w:pPr>
      <w:r>
        <w:rPr>
          <w:b/>
          <w:bCs/>
          <w:color w:val="1F2933"/>
          <w:sz w:val="23"/>
          <w:szCs w:val="23"/>
        </w:rPr>
        <w:t xml:space="preserve">5.2 Crear un recurso</w:t>
      </w:r>
    </w:p>
    <w:p>
      <w:pPr>
        <w:spacing w:after="120" w:before="0" w:line="276"/>
        <w:jc w:val="both"/>
      </w:pPr>
      <w:r>
        <w:rPr>
          <w:sz w:val="20"/>
          <w:szCs w:val="20"/>
        </w:rPr>
        <w:t xml:space="preserve">Se abre un pop-out con los campos obligatorios: nombre, tipo de recurso (lista con las cuatro categorías, preseleccionada si se entró desde una pestaña) y unidad de medida.</w:t>
      </w:r>
    </w:p>
    <w:p>
      <w:pPr>
        <w:pStyle w:val="Heading3"/>
        <w:spacing w:after="100" w:before="220"/>
      </w:pPr>
      <w:r>
        <w:rPr>
          <w:b/>
          <w:bCs/>
          <w:color w:val="5A6874"/>
          <w:sz w:val="20"/>
          <w:szCs w:val="20"/>
        </w:rPr>
        <w:t xml:space="preserve">Doble vía de precio</w:t>
      </w:r>
    </w:p>
    <w:p>
      <w:pPr>
        <w:spacing w:after="120" w:before="0" w:line="276"/>
        <w:jc w:val="both"/>
      </w:pPr>
      <w:r>
        <w:rPr>
          <w:sz w:val="20"/>
          <w:szCs w:val="20"/>
        </w:rPr>
        <w:t xml:space="preserve">El sistema no obliga al usuario a tener el dato que no tiene. Acepta dos formas de capturar el precio y calcula la otra: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100"/>
        <w:gridCol w:w="3460"/>
        <w:gridCol w:w="3460"/>
      </w:tblGrid>
      <w:tr>
        <w:trPr>
          <w:cantSplit/>
          <w:tblHeader/>
        </w:trPr>
        <w:tc>
          <w:tcPr>
            <w:tcW w:type="dxa" w:w="2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Vía</w:t>
            </w:r>
          </w:p>
        </w:tc>
        <w:tc>
          <w:tcPr>
            <w:tcW w:type="dxa" w:w="34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El usuario escribe</w:t>
            </w:r>
          </w:p>
        </w:tc>
        <w:tc>
          <w:tcPr>
            <w:tcW w:type="dxa" w:w="34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El sistema calcula</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A — Costo base</w:t>
            </w:r>
          </w:p>
        </w:tc>
        <w:tc>
          <w:tcPr>
            <w:tcW w:type="dxa" w:w="3460"/>
            <w:shd w:fill="auto" w:color="auto" w:val="clear"/>
            <w:tcMar>
              <w:top w:type="dxa" w:w="70"/>
              <w:left w:type="dxa" w:w="110"/>
              <w:bottom w:type="dxa" w:w="70"/>
              <w:right w:type="dxa" w:w="110"/>
            </w:tcMar>
          </w:tcPr>
          <w:p>
            <w:pPr>
              <w:spacing w:after="40" w:before="40" w:line="240"/>
              <w:jc w:val="left"/>
            </w:pPr>
            <w:r>
              <w:rPr>
                <w:sz w:val="18"/>
                <w:szCs w:val="18"/>
              </w:rPr>
              <w:t xml:space="preserve">Precio unitario sin impuesto y el % de IVA</w:t>
            </w:r>
          </w:p>
        </w:tc>
        <w:tc>
          <w:tcPr>
            <w:tcW w:type="dxa" w:w="3460"/>
            <w:shd w:fill="auto" w:color="auto" w:val="clear"/>
            <w:tcMar>
              <w:top w:type="dxa" w:w="70"/>
              <w:left w:type="dxa" w:w="110"/>
              <w:bottom w:type="dxa" w:w="70"/>
              <w:right w:type="dxa" w:w="110"/>
            </w:tcMar>
          </w:tcPr>
          <w:p>
            <w:pPr>
              <w:spacing w:after="40" w:before="40" w:line="240"/>
              <w:jc w:val="left"/>
            </w:pPr>
            <w:r>
              <w:rPr>
                <w:sz w:val="18"/>
                <w:szCs w:val="18"/>
              </w:rPr>
              <w:t xml:space="preserve">Precio total = precio base × (1 + IVA/100)</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B — Costo total</w:t>
            </w:r>
          </w:p>
        </w:tc>
        <w:tc>
          <w:tcPr>
            <w:tcW w:type="dxa" w:w="3460"/>
            <w:shd w:fill="F7F9FA" w:color="auto" w:val="clear"/>
            <w:tcMar>
              <w:top w:type="dxa" w:w="70"/>
              <w:left w:type="dxa" w:w="110"/>
              <w:bottom w:type="dxa" w:w="70"/>
              <w:right w:type="dxa" w:w="110"/>
            </w:tcMar>
          </w:tcPr>
          <w:p>
            <w:pPr>
              <w:spacing w:after="40" w:before="40" w:line="240"/>
              <w:jc w:val="left"/>
            </w:pPr>
            <w:r>
              <w:rPr>
                <w:sz w:val="18"/>
                <w:szCs w:val="18"/>
              </w:rPr>
              <w:t xml:space="preserve">Precio unitario con impuesto incluido y el % de IVA</w:t>
            </w:r>
          </w:p>
        </w:tc>
        <w:tc>
          <w:tcPr>
            <w:tcW w:type="dxa" w:w="3460"/>
            <w:shd w:fill="F7F9FA" w:color="auto" w:val="clear"/>
            <w:tcMar>
              <w:top w:type="dxa" w:w="70"/>
              <w:left w:type="dxa" w:w="110"/>
              <w:bottom w:type="dxa" w:w="70"/>
              <w:right w:type="dxa" w:w="110"/>
            </w:tcMar>
          </w:tcPr>
          <w:p>
            <w:pPr>
              <w:spacing w:after="40" w:before="40" w:line="240"/>
              <w:jc w:val="left"/>
            </w:pPr>
            <w:r>
              <w:rPr>
                <w:sz w:val="18"/>
                <w:szCs w:val="18"/>
              </w:rPr>
              <w:t xml:space="preserve">Precio base = precio total / (1 + IVA/100)</w:t>
            </w:r>
          </w:p>
        </w:tc>
      </w:tr>
    </w:tbl>
    <w:p>
      <w:pPr>
        <w:spacing w:after="120" w:before="0" w:line="276"/>
        <w:jc w:val="both"/>
      </w:pPr>
      <w:r>
        <w:rPr>
          <w:sz w:val="20"/>
          <w:szCs w:val="20"/>
        </w:rPr>
        <w:t xml:space="preserve">El IVA es opcional. Si se deja vacío el sistema asume 0% y ambos precios quedan idénticos.</w:t>
      </w:r>
    </w:p>
    <w:p>
      <w:pPr>
        <w:pStyle w:val="Heading3"/>
        <w:spacing w:after="100" w:before="220"/>
      </w:pPr>
      <w:r>
        <w:rPr>
          <w:b/>
          <w:bCs/>
          <w:color w:val="5A6874"/>
          <w:sz w:val="20"/>
          <w:szCs w:val="20"/>
        </w:rPr>
        <w:t xml:space="preserve">Bloqueo cruzado de los campos de precio</w:t>
      </w:r>
    </w:p>
    <w:p>
      <w:pPr>
        <w:spacing w:after="120" w:before="0" w:line="276"/>
        <w:jc w:val="both"/>
      </w:pPr>
      <w:r>
        <w:rPr>
          <w:sz w:val="20"/>
          <w:szCs w:val="20"/>
        </w:rPr>
        <w:t xml:space="preserve">En cuanto el usuario empieza a escribir en uno de los dos campos de precio, el otro se calcula y se bloquea para edición manual. Si borra lo escrito, ambos se desbloquean y puede elegir de nuevo por cuál vía entrar. El objetivo es que nunca existan dos precios incoherentes entre sí.</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sistema debe recordar por cuál vía se capturó</w:t>
            </w:r>
          </w:p>
          <w:p>
            <w:pPr>
              <w:spacing w:after="40" w:line="276"/>
              <w:jc w:val="both"/>
            </w:pPr>
            <w:r>
              <w:rPr>
                <w:sz w:val="19"/>
                <w:szCs w:val="19"/>
              </w:rPr>
              <w:t xml:space="preserve">Cuando el usuario reabre el recurso para editarlo, la interfaz tiene que reproducir el mismo bloqueo: si el precio se capturó por la vía A, es el precio total el que aparece bloqueado, y al revés. Por eso el dato de la vía usada se guarda junto con los dos precios.</w:t>
            </w:r>
          </w:p>
        </w:tc>
      </w:tr>
    </w:tbl>
    <w:p>
      <w:pPr>
        <w:pStyle w:val="Heading3"/>
        <w:spacing w:after="100" w:before="220"/>
      </w:pPr>
      <w:r>
        <w:rPr>
          <w:b/>
          <w:bCs/>
          <w:color w:val="5A6874"/>
          <w:sz w:val="20"/>
          <w:szCs w:val="20"/>
        </w:rPr>
        <w:t xml:space="preserve">Guardado</w:t>
      </w:r>
    </w:p>
    <w:p>
      <w:pPr>
        <w:spacing w:after="120" w:before="0" w:line="276"/>
        <w:jc w:val="both"/>
      </w:pPr>
      <w:r>
        <w:rPr>
          <w:sz w:val="20"/>
          <w:szCs w:val="20"/>
        </w:rPr>
        <w:t xml:space="preserve">Al presionar «Crear», el servidor registra el recurso, le asigna un código único e irrepetible y cierra el pop-out. El código lo genera el servidor: el usuario no lo escribe ni lo puede modificar nunca. Si el formulario lo muestra, lo muestra bloqueado.</w:t>
      </w:r>
    </w:p>
    <w:p>
      <w:pPr>
        <w:spacing w:after="120" w:before="0" w:line="276"/>
        <w:jc w:val="both"/>
      </w:pPr>
      <w:r>
        <w:rPr>
          <w:sz w:val="20"/>
          <w:szCs w:val="20"/>
        </w:rPr>
        <w:t xml:space="preserve">El precio se registra en la moneda base de la empresa. No hay selector de divisa.</w:t>
      </w:r>
    </w:p>
    <w:p>
      <w:pPr>
        <w:pStyle w:val="Heading2"/>
        <w:spacing w:after="120" w:before="300"/>
      </w:pPr>
      <w:r>
        <w:rPr>
          <w:b/>
          <w:bCs/>
          <w:color w:val="1F2933"/>
          <w:sz w:val="23"/>
          <w:szCs w:val="23"/>
        </w:rPr>
        <w:t xml:space="preserve">5.3 Editar un recurso</w:t>
      </w:r>
    </w:p>
    <w:p>
      <w:pPr>
        <w:spacing w:after="120" w:before="0" w:line="276"/>
        <w:jc w:val="both"/>
      </w:pPr>
      <w:r>
        <w:rPr>
          <w:sz w:val="20"/>
          <w:szCs w:val="20"/>
        </w:rPr>
        <w:t xml:space="preserve">Al hacer clic sobre un recurso de la lista se abre el pop-out con sus datos. Se puede modificar nombre, tipo, unidad y precios; el código nunca cambia.</w:t>
      </w:r>
    </w:p>
    <w:p>
      <w:pPr>
        <w:spacing w:after="120" w:before="0" w:line="276"/>
        <w:jc w:val="both"/>
      </w:pPr>
      <w:r>
        <w:rPr>
          <w:sz w:val="20"/>
          <w:szCs w:val="20"/>
        </w:rPr>
        <w:t xml:space="preserve">Si el recurso está en uso en algún APU, al guardar el sistema pregunta qué hacer con los presupuestos abiertos donde ese APU está vinculado: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Respuesta</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ocurre</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Sí, actualizar</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Los presupuestos abiertos seleccionados quedan con el precio nuevo y sus totales se recalculan.</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No, solo para nuevos</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Los presupuestos abiertos quedan exactamente como estaban, apuntando a su versión anterior. El catálogo sí queda con el precio nuevo: editar un recurso crea siempre una versión nueva de cada APU afectado y la deja como vigente, de modo que la vista maestra del APU muestra el costo nuevo y los proyectos que se creen de aquí en adelante lo toman (D-22).</w:t>
            </w:r>
          </w:p>
        </w:tc>
      </w:tr>
    </w:tbl>
    <w:p>
      <w:pPr>
        <w:spacing w:after="120" w:before="0" w:line="276"/>
        <w:jc w:val="both"/>
      </w:pPr>
      <w:r>
        <w:rPr>
          <w:sz w:val="20"/>
          <w:szCs w:val="20"/>
        </w:rPr>
        <w:t xml:space="preserve">Los presupuestos activos y cerrados no entran en esta pregunta: están congelados y no se ven afectados en ningún caso.</w:t>
      </w:r>
    </w:p>
    <w:p>
      <w:pPr>
        <w:pStyle w:val="Heading2"/>
        <w:spacing w:after="120" w:before="300"/>
      </w:pPr>
      <w:r>
        <w:rPr>
          <w:b/>
          <w:bCs/>
          <w:color w:val="1F2933"/>
          <w:sz w:val="23"/>
          <w:szCs w:val="23"/>
        </w:rPr>
        <w:t xml:space="preserve">5.4 Eliminar un recurso</w:t>
      </w:r>
    </w:p>
    <w:p>
      <w:pPr>
        <w:spacing w:after="120" w:before="0" w:line="276"/>
        <w:jc w:val="both"/>
      </w:pPr>
      <w:r>
        <w:rPr>
          <w:sz w:val="20"/>
          <w:szCs w:val="20"/>
        </w:rPr>
        <w:t xml:space="preserve">Solo se permite si el recurso no está vinculado a ningún APU. Si lo está, el sistema bloquea la eliminación y explica dónde está en uso.</w:t>
      </w:r>
    </w:p>
    <w:p>
      <w:pPr>
        <w:pStyle w:val="Heading1"/>
        <w:pBdr>
          <w:bottom w:val="single" w:color="13496B" w:sz="10" w:space="6"/>
        </w:pBdr>
        <w:spacing w:after="180" w:before="420"/>
      </w:pPr>
      <w:r>
        <w:rPr>
          <w:b/>
          <w:bCs/>
          <w:color w:val="13496B"/>
          <w:sz w:val="30"/>
          <w:szCs w:val="30"/>
        </w:rPr>
        <w:t xml:space="preserve">6. Módulo APU</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Qué es un APU</w:t>
            </w:r>
          </w:p>
          <w:p>
            <w:pPr>
              <w:spacing w:after="110" w:line="276"/>
              <w:jc w:val="both"/>
            </w:pPr>
            <w:r>
              <w:rPr>
                <w:sz w:val="19"/>
                <w:szCs w:val="19"/>
              </w:rPr>
              <w:t xml:space="preserve">Un Análisis de Precios Unitarios es una receta matemática. Determina cuánto cuesta ejecutar una sola unidad de una actividad de obra: un metro cuadrado de muro, un metro cúbico de concreto, un kilo de acero.</w:t>
            </w:r>
          </w:p>
          <w:p>
            <w:pPr>
              <w:spacing w:after="40" w:line="276"/>
              <w:jc w:val="both"/>
            </w:pPr>
            <w:r>
              <w:rPr>
                <w:sz w:val="19"/>
                <w:szCs w:val="19"/>
              </w:rPr>
              <w:t xml:space="preserve">Para armarlo, el usuario llama a los recursos que ya creó y define cuánto de cada uno se consume para completar esa unidad. El sistema multiplica y suma, y obtiene el precio unitario de la actividad.</w:t>
            </w:r>
          </w:p>
        </w:tc>
      </w:tr>
    </w:tbl>
    <w:p>
      <w:pPr>
        <w:pStyle w:val="Heading2"/>
        <w:spacing w:after="120" w:before="300"/>
      </w:pPr>
      <w:r>
        <w:rPr>
          <w:b/>
          <w:bCs/>
          <w:color w:val="1F2933"/>
          <w:sz w:val="23"/>
          <w:szCs w:val="23"/>
        </w:rPr>
        <w:t xml:space="preserve">6.1 Vista maestra</w:t>
      </w:r>
    </w:p>
    <w:p>
      <w:pPr>
        <w:pStyle w:val="ListParagraph"/>
        <w:numPr>
          <w:ilvl w:val="0"/>
          <w:numId w:val="2"/>
        </w:numPr>
        <w:spacing w:after="90" w:line="276"/>
        <w:jc w:val="both"/>
      </w:pPr>
      <w:r>
        <w:rPr>
          <w:sz w:val="20"/>
          <w:szCs w:val="20"/>
        </w:rPr>
        <w:t xml:space="preserve">Tabla central con el inventario completo de APU.</w:t>
      </w:r>
    </w:p>
    <w:p>
      <w:pPr>
        <w:pStyle w:val="ListParagraph"/>
        <w:numPr>
          <w:ilvl w:val="0"/>
          <w:numId w:val="2"/>
        </w:numPr>
        <w:spacing w:after="90" w:line="276"/>
        <w:jc w:val="both"/>
      </w:pPr>
      <w:r>
        <w:rPr>
          <w:sz w:val="20"/>
          <w:szCs w:val="20"/>
        </w:rPr>
        <w:t xml:space="preserve">Barra de búsqueda que filtra en tiempo real por nombre o por código.</w:t>
      </w:r>
    </w:p>
    <w:p>
      <w:pPr>
        <w:pStyle w:val="ListParagraph"/>
        <w:numPr>
          <w:ilvl w:val="0"/>
          <w:numId w:val="2"/>
        </w:numPr>
        <w:spacing w:after="90" w:line="276"/>
        <w:jc w:val="both"/>
      </w:pPr>
      <w:r>
        <w:rPr>
          <w:sz w:val="20"/>
          <w:szCs w:val="20"/>
        </w:rPr>
        <w:t xml:space="preserve">Filtro desplegable por unidad de medida, para ver solo lo que esté en m², m³, kg y demás.</w:t>
      </w:r>
    </w:p>
    <w:p>
      <w:pPr>
        <w:pStyle w:val="ListParagraph"/>
        <w:numPr>
          <w:ilvl w:val="0"/>
          <w:numId w:val="2"/>
        </w:numPr>
        <w:spacing w:after="90" w:line="276"/>
        <w:jc w:val="both"/>
      </w:pPr>
      <w:r>
        <w:rPr>
          <w:sz w:val="20"/>
          <w:szCs w:val="20"/>
        </w:rPr>
        <w:t xml:space="preserve">Botón «Crear Nuevo APU» en la parte superior derecha.</w:t>
      </w:r>
    </w:p>
    <w:p>
      <w:pPr>
        <w:pStyle w:val="ListParagraph"/>
        <w:numPr>
          <w:ilvl w:val="0"/>
          <w:numId w:val="2"/>
        </w:numPr>
        <w:spacing w:after="90" w:line="276"/>
        <w:jc w:val="both"/>
      </w:pPr>
      <w:r>
        <w:rPr>
          <w:sz w:val="20"/>
          <w:szCs w:val="20"/>
        </w:rPr>
        <w:t xml:space="preserve">Botón Volver.</w:t>
      </w:r>
    </w:p>
    <w:p>
      <w:pPr>
        <w:pStyle w:val="Heading2"/>
        <w:spacing w:after="120" w:before="300"/>
      </w:pPr>
      <w:r>
        <w:rPr>
          <w:b/>
          <w:bCs/>
          <w:color w:val="1F2933"/>
          <w:sz w:val="23"/>
          <w:szCs w:val="23"/>
        </w:rPr>
        <w:t xml:space="preserve">6.2 Crear un APU</w:t>
      </w:r>
    </w:p>
    <w:p>
      <w:pPr>
        <w:spacing w:after="120" w:before="0" w:line="276"/>
        <w:jc w:val="both"/>
      </w:pPr>
      <w:r>
        <w:rPr>
          <w:sz w:val="20"/>
          <w:szCs w:val="20"/>
        </w:rPr>
        <w:t xml:space="preserve">El pop-out pide obligatoriamente el nombre de la actividad y su unidad de medida. Debajo, el usuario arma la composición:</w:t>
      </w:r>
    </w:p>
    <w:p>
      <w:pPr>
        <w:pStyle w:val="ListParagraph"/>
        <w:numPr>
          <w:ilvl w:val="0"/>
          <w:numId w:val="2"/>
        </w:numPr>
        <w:spacing w:after="90" w:line="276"/>
        <w:jc w:val="both"/>
      </w:pPr>
      <w:r>
        <w:rPr>
          <w:sz w:val="20"/>
          <w:szCs w:val="20"/>
        </w:rPr>
        <w:t xml:space="preserve">Busca y vincula recursos por nombre o por código.</w:t>
      </w:r>
    </w:p>
    <w:p>
      <w:pPr>
        <w:pStyle w:val="ListParagraph"/>
        <w:numPr>
          <w:ilvl w:val="0"/>
          <w:numId w:val="2"/>
        </w:numPr>
        <w:spacing w:after="90" w:line="276"/>
        <w:jc w:val="both"/>
      </w:pPr>
      <w:r>
        <w:rPr>
          <w:sz w:val="20"/>
          <w:szCs w:val="20"/>
        </w:rPr>
        <w:t xml:space="preserve">Si el recurso no existe, un acceso directo abre el pop-out de creación de recursos. Al guardarlo, el recurso queda indexado y se asigna de inmediato al APU, sin perder lo que ya se había digitado.</w:t>
      </w:r>
    </w:p>
    <w:p>
      <w:pPr>
        <w:pStyle w:val="ListParagraph"/>
        <w:numPr>
          <w:ilvl w:val="0"/>
          <w:numId w:val="2"/>
        </w:numPr>
        <w:spacing w:after="90" w:line="276"/>
        <w:jc w:val="both"/>
      </w:pPr>
      <w:r>
        <w:rPr>
          <w:sz w:val="20"/>
          <w:szCs w:val="20"/>
        </w:rPr>
        <w:t xml:space="preserve">Por cada recurso vinculado digita la cantidad, el rendimiento y, si es material, el porcentaje de desperdicio.</w:t>
      </w:r>
    </w:p>
    <w:p>
      <w:pPr>
        <w:spacing w:after="120" w:before="0" w:line="276"/>
        <w:jc w:val="both"/>
      </w:pPr>
      <w:r>
        <w:rPr>
          <w:sz w:val="20"/>
          <w:szCs w:val="20"/>
        </w:rPr>
        <w:t xml:space="preserve">El costo directo del APU se recalcula en tiempo real como la suma de los subtotales de sus líneas. Al presionar «Crear», el servidor asigna el código único y actualiza la vista maestra.</w:t>
      </w:r>
    </w:p>
    <w:p>
      <w:pPr>
        <w:pStyle w:val="Heading3"/>
        <w:spacing w:after="100" w:before="220"/>
      </w:pPr>
      <w:r>
        <w:rPr>
          <w:b/>
          <w:bCs/>
          <w:color w:val="5A6874"/>
          <w:sz w:val="20"/>
          <w:szCs w:val="20"/>
        </w:rPr>
        <w:t xml:space="preserve">Las tres columnas de cada línea</w:t>
      </w:r>
    </w:p>
    <w:p>
      <w:pPr>
        <w:spacing w:after="120" w:before="0" w:line="276"/>
        <w:jc w:val="both"/>
      </w:pPr>
      <w:r>
        <w:rPr>
          <w:sz w:val="20"/>
          <w:szCs w:val="20"/>
        </w:rPr>
        <w:t xml:space="preserve">Esta es la parte del módulo donde más se equivoca el usuario, y la interfaz tiene que ayudarlo activamente. Los tres campos significan cosas distintas: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700"/>
        <w:gridCol w:w="5320"/>
        <w:gridCol w:w="2000"/>
      </w:tblGrid>
      <w:tr>
        <w:trPr>
          <w:cantSplit/>
          <w:tblHeader/>
        </w:trPr>
        <w:tc>
          <w:tcPr>
            <w:tcW w:type="dxa" w:w="17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Campo</w:t>
            </w:r>
          </w:p>
        </w:tc>
        <w:tc>
          <w:tcPr>
            <w:tcW w:type="dxa" w:w="53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es</w:t>
            </w:r>
          </w:p>
        </w:tc>
        <w:tc>
          <w:tcPr>
            <w:tcW w:type="dxa" w:w="2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Ejemplo</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Cantidad</w:t>
            </w:r>
          </w:p>
        </w:tc>
        <w:tc>
          <w:tcPr>
            <w:tcW w:type="dxa" w:w="5320"/>
            <w:shd w:fill="auto" w:color="auto" w:val="clear"/>
            <w:tcMar>
              <w:top w:type="dxa" w:w="70"/>
              <w:left w:type="dxa" w:w="110"/>
              <w:bottom w:type="dxa" w:w="70"/>
              <w:right w:type="dxa" w:w="110"/>
            </w:tcMar>
          </w:tcPr>
          <w:p>
            <w:pPr>
              <w:spacing w:after="40" w:before="40" w:line="240"/>
              <w:jc w:val="left"/>
            </w:pPr>
            <w:r>
              <w:rPr>
                <w:sz w:val="18"/>
                <w:szCs w:val="18"/>
              </w:rPr>
              <w:t xml:space="preserve">Cuántas unidades del recurso intervienen a la vez en la actividad. Viene precargado en 1, que es el caso normal en materiales.</w:t>
            </w:r>
          </w:p>
        </w:tc>
        <w:tc>
          <w:tcPr>
            <w:tcW w:type="dxa" w:w="2000"/>
            <w:shd w:fill="auto" w:color="auto" w:val="clear"/>
            <w:tcMar>
              <w:top w:type="dxa" w:w="70"/>
              <w:left w:type="dxa" w:w="110"/>
              <w:bottom w:type="dxa" w:w="70"/>
              <w:right w:type="dxa" w:w="110"/>
            </w:tcMar>
          </w:tcPr>
          <w:p>
            <w:pPr>
              <w:spacing w:after="40" w:before="40" w:line="240"/>
              <w:jc w:val="left"/>
            </w:pPr>
            <w:r>
              <w:rPr>
                <w:sz w:val="18"/>
                <w:szCs w:val="18"/>
              </w:rPr>
              <w:t xml:space="preserve">2 oficiales, 1 mezcladora</w:t>
            </w:r>
          </w:p>
        </w:tc>
      </w:tr>
      <w:tr>
        <w:trPr>
          <w:cantSplit/>
        </w:trPr>
        <w:tc>
          <w:tcPr>
            <w:tcW w:type="dxa" w:w="1700"/>
            <w:shd w:fill="F7F9FA" w:color="auto" w:val="clear"/>
            <w:tcMar>
              <w:top w:type="dxa" w:w="70"/>
              <w:left w:type="dxa" w:w="110"/>
              <w:bottom w:type="dxa" w:w="70"/>
              <w:right w:type="dxa" w:w="110"/>
            </w:tcMar>
          </w:tcPr>
          <w:p>
            <w:pPr>
              <w:spacing w:after="40" w:before="40" w:line="240"/>
              <w:jc w:val="left"/>
            </w:pPr>
            <w:r>
              <w:rPr>
                <w:sz w:val="18"/>
                <w:szCs w:val="18"/>
              </w:rPr>
              <w:t xml:space="preserve">Rendimiento</w:t>
            </w:r>
          </w:p>
        </w:tc>
        <w:tc>
          <w:tcPr>
            <w:tcW w:type="dxa" w:w="5320"/>
            <w:shd w:fill="F7F9FA" w:color="auto" w:val="clear"/>
            <w:tcMar>
              <w:top w:type="dxa" w:w="70"/>
              <w:left w:type="dxa" w:w="110"/>
              <w:bottom w:type="dxa" w:w="70"/>
              <w:right w:type="dxa" w:w="110"/>
            </w:tcMar>
          </w:tcPr>
          <w:p>
            <w:pPr>
              <w:spacing w:after="40" w:before="40" w:line="240"/>
              <w:jc w:val="left"/>
            </w:pPr>
            <w:r>
              <w:rPr>
                <w:sz w:val="18"/>
                <w:szCs w:val="18"/>
              </w:rPr>
              <w:t xml:space="preserve">Cuánto consume UNA unidad de ese recurso por cada unidad de obra. Viene precargado en 1.</w:t>
            </w:r>
          </w:p>
        </w:tc>
        <w:tc>
          <w:tcPr>
            <w:tcW w:type="dxa" w:w="2000"/>
            <w:shd w:fill="F7F9FA" w:color="auto" w:val="clear"/>
            <w:tcMar>
              <w:top w:type="dxa" w:w="70"/>
              <w:left w:type="dxa" w:w="110"/>
              <w:bottom w:type="dxa" w:w="70"/>
              <w:right w:type="dxa" w:w="110"/>
            </w:tcMar>
          </w:tcPr>
          <w:p>
            <w:pPr>
              <w:spacing w:after="40" w:before="40" w:line="240"/>
              <w:jc w:val="left"/>
            </w:pPr>
            <w:r>
              <w:rPr>
                <w:sz w:val="18"/>
                <w:szCs w:val="18"/>
              </w:rPr>
              <w:t xml:space="preserve">0,05 jornal por m³; 7 bultos por m³</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Desperdicio %</w:t>
            </w:r>
          </w:p>
        </w:tc>
        <w:tc>
          <w:tcPr>
            <w:tcW w:type="dxa" w:w="5320"/>
            <w:shd w:fill="auto" w:color="auto" w:val="clear"/>
            <w:tcMar>
              <w:top w:type="dxa" w:w="70"/>
              <w:left w:type="dxa" w:w="110"/>
              <w:bottom w:type="dxa" w:w="70"/>
              <w:right w:type="dxa" w:w="110"/>
            </w:tcMar>
          </w:tcPr>
          <w:p>
            <w:pPr>
              <w:spacing w:after="40" w:before="40" w:line="240"/>
              <w:jc w:val="left"/>
            </w:pPr>
            <w:r>
              <w:rPr>
                <w:sz w:val="18"/>
                <w:szCs w:val="18"/>
              </w:rPr>
              <w:t xml:space="preserve">Porcentaje adicional de material sobre la cantidad teórica. Solo se habilita si el recurso es de tipo Material; en los demás el campo no aparece.</w:t>
            </w:r>
          </w:p>
        </w:tc>
        <w:tc>
          <w:tcPr>
            <w:tcW w:type="dxa" w:w="2000"/>
            <w:shd w:fill="auto" w:color="auto" w:val="clear"/>
            <w:tcMar>
              <w:top w:type="dxa" w:w="70"/>
              <w:left w:type="dxa" w:w="110"/>
              <w:bottom w:type="dxa" w:w="70"/>
              <w:right w:type="dxa" w:w="110"/>
            </w:tcMar>
          </w:tcPr>
          <w:p>
            <w:pPr>
              <w:spacing w:after="40" w:before="40" w:line="240"/>
              <w:jc w:val="left"/>
            </w:pPr>
            <w:r>
              <w:rPr>
                <w:sz w:val="18"/>
                <w:szCs w:val="18"/>
              </w:rPr>
              <w:t xml:space="preserve">5% de desperdicio en concreto</w:t>
            </w:r>
          </w:p>
        </w:tc>
      </w:tr>
    </w:tbl>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Riesgo que la interfaz tiene que cubrir</w:t>
            </w:r>
          </w:p>
          <w:p>
            <w:pPr>
              <w:spacing w:after="110" w:line="276"/>
              <w:jc w:val="both"/>
            </w:pPr>
            <w:r>
              <w:rPr>
                <w:sz w:val="19"/>
                <w:szCs w:val="19"/>
              </w:rPr>
              <w:t xml:space="preserve">Si el usuario entiende que Cantidad y Rendimiento miden lo mismo, va a multiplicar dos veces el consumo y el APU saldrá inflado sin que nada falle ni avise. Las etiquetas y el texto de ayuda del formulario tienen que dejar clara la diferencia, y ambos campos deben venir con el valor 1 por defecto.</w:t>
            </w:r>
          </w:p>
          <w:p>
            <w:pPr>
              <w:spacing w:after="40" w:line="276"/>
              <w:jc w:val="both"/>
            </w:pPr>
            <w:r>
              <w:rPr>
                <w:sz w:val="19"/>
                <w:szCs w:val="19"/>
              </w:rPr>
              <w:t xml:space="preserve">Ninguno de los dos admite cero.</w:t>
            </w:r>
          </w:p>
        </w:tc>
      </w:tr>
    </w:tbl>
    <w:p>
      <w:pPr>
        <w:pStyle w:val="Heading3"/>
        <w:spacing w:after="100" w:before="220"/>
      </w:pPr>
      <w:r>
        <w:rPr>
          <w:b/>
          <w:bCs/>
          <w:color w:val="5A6874"/>
          <w:sz w:val="20"/>
          <w:szCs w:val="20"/>
        </w:rPr>
        <w:t xml:space="preserve">Fórmula del subtotal</w:t>
      </w:r>
    </w:p>
    <w:p>
      <w:pPr>
        <w:spacing w:after="120" w:before="0" w:line="276"/>
        <w:jc w:val="both"/>
      </w:pPr>
      <w:r>
        <w:rPr>
          <w:sz w:val="20"/>
          <w:szCs w:val="20"/>
        </w:rPr>
        <w:t xml:space="preserve">Subtotal de la línea = Cantidad × Rendimiento × (1 + Desperdicio% / 100) × Precio unitario del recurso.</w:t>
      </w:r>
    </w:p>
    <w:p>
      <w:pPr>
        <w:spacing w:after="120" w:before="0" w:line="276"/>
        <w:jc w:val="both"/>
      </w:pPr>
      <w:r>
        <w:rPr>
          <w:sz w:val="20"/>
          <w:szCs w:val="20"/>
        </w:rPr>
        <w:t xml:space="preserve">El precio que entra en la fórmula es el precio total del recurso, con IVA incluido.</w:t>
      </w:r>
    </w:p>
    <w:p>
      <w:pPr>
        <w:spacing w:after="120" w:before="0" w:line="276"/>
        <w:jc w:val="both"/>
      </w:pPr>
      <w:r>
        <w:rPr>
          <w:sz w:val="20"/>
          <w:szCs w:val="20"/>
        </w:rPr>
        <w:t xml:space="preserve">Ejemplo de un APU de concreto vaciado in situ, medido en m³:</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1500"/>
        <w:gridCol w:w="1100"/>
        <w:gridCol w:w="1600"/>
        <w:gridCol w:w="900"/>
        <w:gridCol w:w="13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Recurso</w:t>
            </w:r>
          </w:p>
        </w:tc>
        <w:tc>
          <w:tcPr>
            <w:tcW w:type="dxa" w:w="15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Precio total</w:t>
            </w:r>
          </w:p>
        </w:tc>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Cantidad</w:t>
            </w:r>
          </w:p>
        </w:tc>
        <w:tc>
          <w:tcPr>
            <w:tcW w:type="dxa" w:w="1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Rendimiento</w:t>
            </w:r>
          </w:p>
        </w:tc>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Desp.</w:t>
            </w:r>
          </w:p>
        </w:tc>
        <w:tc>
          <w:tcPr>
            <w:tcW w:type="dxa" w:w="13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Subtotal</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Concreto 3000 psi (material)</w:t>
            </w:r>
          </w:p>
        </w:tc>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595.000 /m³</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1600"/>
            <w:shd w:fill="auto" w:color="auto" w:val="clear"/>
            <w:tcMar>
              <w:top w:type="dxa" w:w="70"/>
              <w:left w:type="dxa" w:w="110"/>
              <w:bottom w:type="dxa" w:w="70"/>
              <w:right w:type="dxa" w:w="110"/>
            </w:tcMar>
          </w:tcPr>
          <w:p>
            <w:pPr>
              <w:spacing w:after="40" w:before="40" w:line="240"/>
              <w:jc w:val="left"/>
            </w:pPr>
            <w:r>
              <w:rPr>
                <w:sz w:val="18"/>
                <w:szCs w:val="18"/>
              </w:rPr>
              <w:t xml:space="preserve">1,00 m³/m³</w:t>
            </w:r>
          </w:p>
        </w:tc>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5%</w:t>
            </w:r>
          </w:p>
        </w:tc>
        <w:tc>
          <w:tcPr>
            <w:tcW w:type="dxa" w:w="1320"/>
            <w:shd w:fill="auto" w:color="auto" w:val="clear"/>
            <w:tcMar>
              <w:top w:type="dxa" w:w="70"/>
              <w:left w:type="dxa" w:w="110"/>
              <w:bottom w:type="dxa" w:w="70"/>
              <w:right w:type="dxa" w:w="110"/>
            </w:tcMar>
          </w:tcPr>
          <w:p>
            <w:pPr>
              <w:spacing w:after="40" w:before="40" w:line="240"/>
              <w:jc w:val="left"/>
            </w:pPr>
            <w:r>
              <w:rPr>
                <w:sz w:val="18"/>
                <w:szCs w:val="18"/>
              </w:rPr>
              <w:t xml:space="preserve">624.750</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Oficial de obra (personal)</w:t>
            </w:r>
          </w:p>
        </w:tc>
        <w:tc>
          <w:tcPr>
            <w:tcW w:type="dxa" w:w="1500"/>
            <w:shd w:fill="F7F9FA" w:color="auto" w:val="clear"/>
            <w:tcMar>
              <w:top w:type="dxa" w:w="70"/>
              <w:left w:type="dxa" w:w="110"/>
              <w:bottom w:type="dxa" w:w="70"/>
              <w:right w:type="dxa" w:w="110"/>
            </w:tcMar>
          </w:tcPr>
          <w:p>
            <w:pPr>
              <w:spacing w:after="40" w:before="40" w:line="240"/>
              <w:jc w:val="left"/>
            </w:pPr>
            <w:r>
              <w:rPr>
                <w:sz w:val="18"/>
                <w:szCs w:val="18"/>
              </w:rPr>
              <w:t xml:space="preserve">120.000 /jornal</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1600"/>
            <w:shd w:fill="F7F9FA" w:color="auto" w:val="clear"/>
            <w:tcMar>
              <w:top w:type="dxa" w:w="70"/>
              <w:left w:type="dxa" w:w="110"/>
              <w:bottom w:type="dxa" w:w="70"/>
              <w:right w:type="dxa" w:w="110"/>
            </w:tcMar>
          </w:tcPr>
          <w:p>
            <w:pPr>
              <w:spacing w:after="40" w:before="40" w:line="240"/>
              <w:jc w:val="left"/>
            </w:pPr>
            <w:r>
              <w:rPr>
                <w:sz w:val="18"/>
                <w:szCs w:val="18"/>
              </w:rPr>
              <w:t xml:space="preserve">0,05 jornal/m³</w:t>
            </w:r>
          </w:p>
        </w:tc>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w:t>
            </w:r>
          </w:p>
        </w:tc>
        <w:tc>
          <w:tcPr>
            <w:tcW w:type="dxa" w:w="1320"/>
            <w:shd w:fill="F7F9FA" w:color="auto" w:val="clear"/>
            <w:tcMar>
              <w:top w:type="dxa" w:w="70"/>
              <w:left w:type="dxa" w:w="110"/>
              <w:bottom w:type="dxa" w:w="70"/>
              <w:right w:type="dxa" w:w="110"/>
            </w:tcMar>
          </w:tcPr>
          <w:p>
            <w:pPr>
              <w:spacing w:after="40" w:before="40" w:line="240"/>
              <w:jc w:val="left"/>
            </w:pPr>
            <w:r>
              <w:rPr>
                <w:sz w:val="18"/>
                <w:szCs w:val="18"/>
              </w:rPr>
              <w:t xml:space="preserve">12.000</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Costo directo del APU</w:t>
            </w:r>
          </w:p>
        </w:tc>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6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320"/>
            <w:shd w:fill="auto" w:color="auto" w:val="clear"/>
            <w:tcMar>
              <w:top w:type="dxa" w:w="70"/>
              <w:left w:type="dxa" w:w="110"/>
              <w:bottom w:type="dxa" w:w="70"/>
              <w:right w:type="dxa" w:w="110"/>
            </w:tcMar>
          </w:tcPr>
          <w:p>
            <w:pPr>
              <w:spacing w:after="40" w:before="40" w:line="240"/>
              <w:jc w:val="left"/>
            </w:pPr>
            <w:r>
              <w:rPr>
                <w:sz w:val="18"/>
                <w:szCs w:val="18"/>
              </w:rPr>
              <w:t xml:space="preserve">636.750 /m³</w:t>
            </w:r>
          </w:p>
        </w:tc>
      </w:tr>
    </w:tbl>
    <w:p>
      <w:pPr>
        <w:pStyle w:val="Heading3"/>
        <w:spacing w:after="120"/>
      </w:pPr>
      <w:r>
        <w:rPr/>
        <w:t>Límites de precisión</w:t>
      </w:r>
    </w:p>
    <w:p>
      <w:pPr>
        <w:spacing w:after="120"/>
      </w:pPr>
      <w:r>
        <w:t>Cantidad y rendimiento admiten seis decimales, y su valor mínimo distinto de cero es 0,000001. El formulario rechaza un valor menor nombrando ese mínimo, en vez de dejar que el servidor lo redondee a cero y devuelva un error que dice que el usuario escribió un cero que no escribió.</w:t>
      </w:r>
    </w:p>
    <w:p>
      <w:pPr>
        <w:pStyle w:val="Heading2"/>
        <w:spacing w:after="120" w:before="300"/>
      </w:pPr>
      <w:r>
        <w:rPr>
          <w:b/>
          <w:bCs/>
          <w:color w:val="1F2933"/>
          <w:sz w:val="23"/>
          <w:szCs w:val="23"/>
        </w:rPr>
        <w:t xml:space="preserve">6.3 Consultar y editar un APU</w:t>
      </w:r>
    </w:p>
    <w:p>
      <w:pPr>
        <w:spacing w:after="120" w:before="0" w:line="276"/>
        <w:jc w:val="both"/>
      </w:pPr>
      <w:r>
        <w:rPr>
          <w:sz w:val="20"/>
          <w:szCs w:val="20"/>
        </w:rPr>
        <w:t xml:space="preserve">Al hacer clic sobre un APU de la lista no se cambia de pantalla: se abre un pop-out de consulta con el encabezado estático (nombre y unidad) y la tabla de recursos vinculados con sus cantidades.</w:t>
      </w:r>
    </w:p>
    <w:p>
      <w:pPr>
        <w:spacing w:after="120" w:before="0" w:line="276"/>
        <w:jc w:val="both"/>
      </w:pPr>
      <w:r>
        <w:rPr>
          <w:sz w:val="20"/>
          <w:szCs w:val="20"/>
        </w:rPr>
        <w:t xml:space="preserve">Dentro de ese mismo pop-out hay un botón «Editar» que transforma la ventana de solo lectura a modo edición, donde se puede:</w:t>
      </w:r>
    </w:p>
    <w:p>
      <w:pPr>
        <w:pStyle w:val="ListParagraph"/>
        <w:numPr>
          <w:ilvl w:val="0"/>
          <w:numId w:val="2"/>
        </w:numPr>
        <w:spacing w:after="90" w:line="276"/>
        <w:jc w:val="both"/>
      </w:pPr>
      <w:r>
        <w:rPr>
          <w:sz w:val="20"/>
          <w:szCs w:val="20"/>
        </w:rPr>
        <w:t xml:space="preserve">Modificar el nombre de la actividad o su unidad de medida.</w:t>
      </w:r>
    </w:p>
    <w:p>
      <w:pPr>
        <w:pStyle w:val="ListParagraph"/>
        <w:numPr>
          <w:ilvl w:val="0"/>
          <w:numId w:val="2"/>
        </w:numPr>
        <w:spacing w:after="90" w:line="276"/>
        <w:jc w:val="both"/>
      </w:pPr>
      <w:r>
        <w:rPr>
          <w:sz w:val="20"/>
          <w:szCs w:val="20"/>
        </w:rPr>
        <w:t xml:space="preserve">Añadir recursos nuevos, buscándolos por nombre o código, con el acceso rápido para crearlos al vuelo.</w:t>
      </w:r>
    </w:p>
    <w:p>
      <w:pPr>
        <w:pStyle w:val="ListParagraph"/>
        <w:numPr>
          <w:ilvl w:val="0"/>
          <w:numId w:val="2"/>
        </w:numPr>
        <w:spacing w:after="90" w:line="276"/>
        <w:jc w:val="both"/>
      </w:pPr>
      <w:r>
        <w:rPr>
          <w:sz w:val="20"/>
          <w:szCs w:val="20"/>
        </w:rPr>
        <w:t xml:space="preserve">Modificar cantidades, rendimientos y desperdicios de los recursos ya vinculados, o eliminarlos de la lista.</w:t>
      </w:r>
    </w:p>
    <w:p>
      <w:pPr>
        <w:spacing w:after="120" w:before="0" w:line="276"/>
        <w:jc w:val="both"/>
      </w:pPr>
      <w:r>
        <w:rPr>
          <w:sz w:val="20"/>
          <w:szCs w:val="20"/>
        </w:rPr>
        <w:t xml:space="preserve">El valor unitario total se recalcula en tiempo real. Al guardar, el código único original del APU se conserva siempre.</w:t>
      </w:r>
    </w:p>
    <w:p>
      <w:pPr>
        <w:pStyle w:val="Heading2"/>
        <w:spacing w:after="120" w:before="300"/>
      </w:pPr>
      <w:r>
        <w:rPr>
          <w:b/>
          <w:bCs/>
          <w:color w:val="1F2933"/>
          <w:sz w:val="23"/>
          <w:szCs w:val="23"/>
        </w:rPr>
        <w:t xml:space="preserve">6.4 Control de cambios sobre APU en uso</w:t>
      </w:r>
    </w:p>
    <w:p>
      <w:pPr>
        <w:spacing w:after="120" w:before="0" w:line="276"/>
        <w:jc w:val="both"/>
      </w:pPr>
      <w:r>
        <w:rPr>
          <w:sz w:val="20"/>
          <w:szCs w:val="20"/>
        </w:rPr>
        <w:t xml:space="preserve">Al guardar la edición, el sistema verifica en qué presupuestos está vinculado el APU y actúa según el estado de cada uno: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 del presupuesto</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Cerrado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No se ve afectado bajo ninguna circunstancia. Conserva intactos sus valores históricos de contratación.</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Activo</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Tampoco se ve afectado. La línea base está congelada. Si hay que corregirlo, el Administrador debe reabrir el proyecto.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Abierto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El sistema suspende el guardado y pregunta al usuario qué desea hacer.</w:t>
            </w:r>
          </w:p>
        </w:tc>
      </w:tr>
    </w:tbl>
    <w:p>
      <w:pPr>
        <w:spacing w:after="120" w:before="0" w:line="276"/>
        <w:jc w:val="both"/>
      </w:pPr>
      <w:r>
        <w:rPr>
          <w:sz w:val="20"/>
          <w:szCs w:val="20"/>
        </w:rPr>
        <w:t xml:space="preserve">Cuando hay presupuestos abiertos con ese APU, el mensaje es: «Este APU está en uso en presupuestos abiertos. ¿Desea actualizar su valor en dichos presupuestos?»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400"/>
        <w:gridCol w:w="7620"/>
      </w:tblGrid>
      <w:tr>
        <w:trPr>
          <w:cantSplit/>
          <w:tblHeader/>
        </w:trPr>
        <w:tc>
          <w:tcPr>
            <w:tcW w:type="dxa" w:w="1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Respuesta</w:t>
            </w:r>
          </w:p>
        </w:tc>
        <w:tc>
          <w:tcPr>
            <w:tcW w:type="dxa" w:w="7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ocurre</w:t>
            </w:r>
          </w:p>
        </w:tc>
      </w:tr>
      <w:tr>
        <w:trPr>
          <w:cantSplit/>
        </w:trPr>
        <w:tc>
          <w:tcPr>
            <w:tcW w:type="dxa" w:w="1400"/>
            <w:shd w:fill="auto" w:color="auto" w:val="clear"/>
            <w:tcMar>
              <w:top w:type="dxa" w:w="70"/>
              <w:left w:type="dxa" w:w="110"/>
              <w:bottom w:type="dxa" w:w="70"/>
              <w:right w:type="dxa" w:w="110"/>
            </w:tcMar>
          </w:tcPr>
          <w:p>
            <w:pPr>
              <w:spacing w:after="40" w:before="40" w:line="240"/>
              <w:jc w:val="left"/>
            </w:pPr>
            <w:r>
              <w:rPr>
                <w:sz w:val="18"/>
                <w:szCs w:val="18"/>
              </w:rPr>
              <w:t xml:space="preserve">Sí</w:t>
            </w:r>
          </w:p>
        </w:tc>
        <w:tc>
          <w:tcPr>
            <w:tcW w:type="dxa" w:w="7620"/>
            <w:shd w:fill="auto" w:color="auto" w:val="clear"/>
            <w:tcMar>
              <w:top w:type="dxa" w:w="70"/>
              <w:left w:type="dxa" w:w="110"/>
              <w:bottom w:type="dxa" w:w="70"/>
              <w:right w:type="dxa" w:w="110"/>
            </w:tcMar>
          </w:tcPr>
          <w:p>
            <w:pPr>
              <w:spacing w:after="40" w:before="40" w:line="240"/>
              <w:jc w:val="left"/>
            </w:pPr>
            <w:r>
              <w:rPr>
                <w:sz w:val="18"/>
                <w:szCs w:val="18"/>
              </w:rPr>
              <w:t>Los ítems de los presupuestos seleccionados pasan a la versión nueva, se actualiza su precio unitario y su costo total, y se recalculan los totales de esos presupuestos en tiempo real.</w:t>
            </w:r>
          </w:p>
        </w:tc>
      </w:tr>
      <w:tr>
        <w:trPr>
          <w:cantSplit/>
        </w:trPr>
        <w:tc>
          <w:tcPr>
            <w:tcW w:type="dxa" w:w="1400"/>
            <w:shd w:fill="F7F9FA" w:color="auto" w:val="clear"/>
            <w:tcMar>
              <w:top w:type="dxa" w:w="70"/>
              <w:left w:type="dxa" w:w="110"/>
              <w:bottom w:type="dxa" w:w="70"/>
              <w:right w:type="dxa" w:w="110"/>
            </w:tcMar>
          </w:tcPr>
          <w:p>
            <w:pPr>
              <w:spacing w:after="40" w:before="40" w:line="240"/>
              <w:jc w:val="left"/>
            </w:pPr>
            <w:r>
              <w:rPr>
                <w:sz w:val="18"/>
                <w:szCs w:val="18"/>
              </w:rPr>
              <w:t xml:space="preserve">No</w:t>
            </w:r>
          </w:p>
        </w:tc>
        <w:tc>
          <w:tcPr>
            <w:tcW w:type="dxa" w:w="7620"/>
            <w:shd w:fill="F7F9FA" w:color="auto" w:val="clear"/>
            <w:tcMar>
              <w:top w:type="dxa" w:w="70"/>
              <w:left w:type="dxa" w:w="110"/>
              <w:bottom w:type="dxa" w:w="70"/>
              <w:right w:type="dxa" w:w="110"/>
            </w:tcMar>
          </w:tcPr>
          <w:p>
            <w:pPr>
              <w:spacing w:after="40" w:before="40" w:line="240"/>
              <w:jc w:val="left"/>
            </w:pPr>
            <w:r>
              <w:rPr>
                <w:sz w:val="18"/>
                <w:szCs w:val="18"/>
              </w:rPr>
              <w:t>Los presupuestos abiertos quedan exactamente como estaban. La versión nueva del APU se crea igual —siempre se crea, con cualquiera de las dos respuestas— y queda como vigente, así que la usarán los proyectos futuros. Bajo versiones inmutables, «sí» y «no» crean las dos una versión; lo único que decide la respuesta es si se reapuntan los ítems de los presupuestos abiertos (D-22). Si el recurso editado está en cuarenta APU se crean cuarenta versiones, pero el usuario ve un solo diálogo, y el diálogo habla de presupuestos, no de APU: «este recurso se usa en 40 APU, presentes en 7 presupuestos abiertos», con una casilla por cada uno.</w:t>
            </w:r>
          </w:p>
        </w:tc>
      </w:tr>
    </w:tbl>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código no cambia nunca</w:t>
            </w:r>
          </w:p>
          <w:p>
            <w:pPr>
              <w:spacing w:after="40" w:line="276"/>
              <w:jc w:val="both"/>
            </w:pPr>
            <w:r>
              <w:rPr>
                <w:sz w:val="19"/>
                <w:szCs w:val="19"/>
              </w:rPr>
              <w:t xml:space="preserve">Aunque el sistema guarde una versión nueva, el APU sigue siendo el mismo y conserva su código original. No se crean códigos derivados tipo APU-0014-B ni se marcan APU como obsoletos. Para el usuario existe un solo APU con un solo código; las versiones son un mecanismo interno que él no ve.</w:t>
            </w:r>
          </w:p>
        </w:tc>
      </w:tr>
    </w:tbl>
    <w:p>
      <w:pPr>
        <w:pStyle w:val="Heading2"/>
        <w:spacing w:after="120" w:before="300"/>
      </w:pPr>
      <w:r>
        <w:rPr>
          <w:b/>
          <w:bCs/>
          <w:color w:val="1F2933"/>
          <w:sz w:val="23"/>
          <w:szCs w:val="23"/>
        </w:rPr>
        <w:t xml:space="preserve">6.5 Restricciones</w:t>
      </w:r>
    </w:p>
    <w:p>
      <w:pPr>
        <w:pStyle w:val="ListParagraph"/>
        <w:numPr>
          <w:ilvl w:val="0"/>
          <w:numId w:val="2"/>
        </w:numPr>
        <w:spacing w:after="90" w:line="276"/>
        <w:jc w:val="both"/>
      </w:pPr>
      <w:r>
        <w:rPr>
          <w:sz w:val="20"/>
          <w:szCs w:val="20"/>
        </w:rPr>
        <w:t xml:space="preserve">Los recursos de tipo «Actividad a todo costo» se vinculan como cualquier otro recurso, con su propio precio. Un APU no puede contener a otro APU.</w:t>
      </w:r>
    </w:p>
    <w:p>
      <w:pPr>
        <w:pStyle w:val="ListParagraph"/>
        <w:numPr>
          <w:ilvl w:val="0"/>
          <w:numId w:val="2"/>
        </w:numPr>
        <w:spacing w:after="90" w:line="276"/>
        <w:jc w:val="both"/>
      </w:pPr>
      <w:r>
        <w:rPr>
          <w:sz w:val="20"/>
          <w:szCs w:val="20"/>
        </w:rPr>
        <w:t>Un APU no se puede eliminar si alguna de sus versiones está usada en alguna actividad de algún presupuesto, en cualquier estado. Si no lo está, se elimina con sus versiones y sus líneas. Si lo está, el mensaje dice en cuántas actividades y ofrece la salida real, que es marcarlo como inactivo para que deje de ofrecerse al armar APU nuevos.</w:t>
      </w:r>
    </w:p>
    <w:p>
      <w:pPr>
        <w:spacing w:after="120"/>
      </w:pPr>
      <w:r>
        <w:t>Un APU no se guarda sin líneas. El botón «Crear» del pop-out no acepta una composición vacía: un APU sin al menos una línea de recurso no tiene costo directo y no puede entrar en un presupuesto. El mensaje lo dice antes de enviar, y la base de datos lo rechaza también si la petición se construye a mano (D-21).</w:t>
      </w:r>
    </w:p>
    <w:p>
      <w:pPr>
        <w:pStyle w:val="Heading1"/>
        <w:pBdr>
          <w:bottom w:val="single" w:color="13496B" w:sz="10" w:space="6"/>
        </w:pBdr>
        <w:spacing w:after="180" w:before="420"/>
      </w:pPr>
      <w:r>
        <w:rPr>
          <w:b/>
          <w:bCs/>
          <w:color w:val="13496B"/>
          <w:sz w:val="30"/>
          <w:szCs w:val="30"/>
        </w:rPr>
        <w:t xml:space="preserve">7. Módulo Presupuestos — vista maestra</w:t>
      </w:r>
    </w:p>
    <w:p>
      <w:pPr>
        <w:spacing w:after="120" w:before="0" w:line="276"/>
        <w:jc w:val="both"/>
      </w:pPr>
      <w:r>
        <w:rPr>
          <w:sz w:val="20"/>
          <w:szCs w:val="20"/>
        </w:rPr>
        <w:t xml:space="preserve">Al entrar desde el menú principal se muestra la lista completa de proyectos de la empresa.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4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Columna</w:t>
            </w:r>
          </w:p>
        </w:tc>
        <w:tc>
          <w:tcPr>
            <w:tcW w:type="dxa" w:w="64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Contenido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Código único</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que asignó el usuario al crear el proyecto</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Nombre del proyecto</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Ubicación</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Ciudad o región</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La de la empresa; se muestra, no se elige</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Fecha de elaboración</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Automática, no editable</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Última modificación</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Se actualiza ante cualquier cambio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Estado</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Insignia visual: Abierto, Activo o Cerrado</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Valor total</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Costo Directo + Costo Indirecto + AIU + IVA</w:t>
            </w:r>
          </w:p>
        </w:tc>
      </w:tr>
    </w:tbl>
    <w:p>
      <w:pPr>
        <w:spacing w:after="120" w:before="0" w:line="276"/>
        <w:jc w:val="both"/>
      </w:pPr>
      <w:r>
        <w:rPr>
          <w:sz w:val="20"/>
          <w:szCs w:val="20"/>
        </w:rPr>
        <w:t xml:space="preserve">En la parte superior: barra de búsqueda por nombre o código, filtro desplegable por estado, botón «Crear Nuevo Presupuesto» a la derecha y botón Volver.</w:t>
      </w:r>
    </w:p>
    <w:p>
      <w:pPr>
        <w:pStyle w:val="Heading2"/>
        <w:spacing w:after="120" w:before="300"/>
      </w:pPr>
      <w:r>
        <w:rPr>
          <w:b/>
          <w:bCs/>
          <w:color w:val="1F2933"/>
          <w:sz w:val="23"/>
          <w:szCs w:val="23"/>
        </w:rPr>
        <w:t xml:space="preserve">7.1 Crear un presupuesto</w:t>
      </w:r>
    </w:p>
    <w:p>
      <w:pPr>
        <w:spacing w:after="120" w:before="0" w:line="276"/>
        <w:jc w:val="both"/>
      </w:pPr>
      <w:r>
        <w:rPr>
          <w:sz w:val="20"/>
          <w:szCs w:val="20"/>
        </w:rPr>
        <w:t xml:space="preserve">Se abre un pop-out superpuesto, sin redirigir, con botón para abortar sin guardar. Campos: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Campo</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Regla</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Código del presupuesto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Alfanumérico, lo escribe el usuario (ej. PRE-2026-001). El servidor valida de inmediato que no se repita con ningún otro presupuesto de la empresa.</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Nombre del proyecto</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Obligatorio.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Ubicación</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Obligatoria.</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Se hereda de la configuración de la empresa y se muestra como dato fijo. No es un selector.</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Estructura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Obligatoria. Por ítems (capítulo → actividad) o por EDT (capítulo → subcapítulo → actividad, con actividades colgando también del capítulo). Se puede cambiar mientras el proyecto esté Abierto; pasar de EDT a ítems se bloquea si ya hay subcapítulos.</w:t>
            </w:r>
          </w:p>
        </w:tc>
      </w:tr>
    </w:tbl>
    <w:p>
      <w:pPr>
        <w:spacing w:after="120" w:before="0" w:line="276"/>
        <w:jc w:val="both"/>
      </w:pPr>
      <w:r>
        <w:rPr>
          <w:sz w:val="20"/>
          <w:szCs w:val="20"/>
        </w:rPr>
        <w:t xml:space="preserve">Al presionar «Iniciar Presupuesto», el sistema registra el proyecto en estado Abierto, le asigna la fecha y hora exactas de elaboración, cierra el pop-out y redirige de inmediato a la mesa de trabajo.</w:t>
      </w:r>
    </w:p>
    <w:p>
      <w:pPr>
        <w:pStyle w:val="Heading1"/>
        <w:pBdr>
          <w:bottom w:val="single" w:color="13496B" w:sz="10" w:space="6"/>
        </w:pBdr>
        <w:spacing w:after="180" w:before="420"/>
      </w:pPr>
      <w:r>
        <w:rPr>
          <w:b/>
          <w:bCs/>
          <w:color w:val="13496B"/>
          <w:sz w:val="30"/>
          <w:szCs w:val="30"/>
        </w:rPr>
        <w:t xml:space="preserve">8. Módulo Presupuestos — mesa de trabajo</w:t>
      </w:r>
    </w:p>
    <w:p>
      <w:pPr>
        <w:spacing w:after="120" w:before="0" w:line="276"/>
        <w:jc w:val="both"/>
      </w:pPr>
      <w:r>
        <w:rPr>
          <w:sz w:val="20"/>
          <w:szCs w:val="20"/>
        </w:rPr>
        <w:t xml:space="preserve">Es la pantalla central del producto. Todo ocurre en un lienzo único, sin recargas de página.</w:t>
      </w:r>
    </w:p>
    <w:p>
      <w:pPr>
        <w:pStyle w:val="Heading2"/>
        <w:spacing w:after="120" w:before="300"/>
      </w:pPr>
      <w:r>
        <w:rPr>
          <w:b/>
          <w:bCs/>
          <w:color w:val="1F2933"/>
          <w:sz w:val="23"/>
          <w:szCs w:val="23"/>
        </w:rPr>
        <w:t xml:space="preserve">8.1 Encabezado</w:t>
      </w:r>
    </w:p>
    <w:p>
      <w:pPr>
        <w:spacing w:after="120" w:before="0" w:line="276"/>
        <w:jc w:val="both"/>
      </w:pPr>
      <w:r>
        <w:rPr>
          <w:sz w:val="20"/>
          <w:szCs w:val="20"/>
        </w:rPr>
        <w:t xml:space="preserve">En la parte superior, de forma estática: código, nombre del proyecto, ubicación, moneda, insignia del estado actual y fecha de última modificación, esta última actualizada en tiempo real.</w:t>
      </w:r>
    </w:p>
    <w:p>
      <w:pPr>
        <w:pStyle w:val="Heading2"/>
        <w:spacing w:after="120" w:before="300"/>
      </w:pPr>
      <w:r>
        <w:rPr>
          <w:b/>
          <w:bCs/>
          <w:color w:val="1F2933"/>
          <w:sz w:val="23"/>
          <w:szCs w:val="23"/>
        </w:rPr>
        <w:t xml:space="preserve">8.2 Construcción de la estructura jerárquica</w:t>
      </w:r>
    </w:p>
    <w:p>
      <w:pPr>
        <w:spacing w:after="120" w:before="0" w:line="276"/>
        <w:jc w:val="both"/>
      </w:pPr>
      <w:r>
        <w:rPr>
          <w:sz w:val="20"/>
          <w:szCs w:val="20"/>
        </w:rPr>
        <w:t xml:space="preserve">En la parte superior del lienzo, un botón «+ Agregar Capítulo» inserta un contenedor principal. Dentro de cada capítulo o subcapítulo hay un botón contextual «(+)» que genera un subnivel inmediatamente inferior, sin cambiar de interfaz. La profundidad no tiene límite.</w:t>
      </w:r>
    </w:p>
    <w:p>
      <w:pPr>
        <w:pStyle w:val="Heading3"/>
        <w:spacing w:after="100" w:before="220"/>
      </w:pPr>
      <w:r>
        <w:rPr>
          <w:b/>
          <w:bCs/>
          <w:color w:val="5A6874"/>
          <w:sz w:val="20"/>
          <w:szCs w:val="20"/>
        </w:rPr>
        <w:t xml:space="preserve">Numeración automática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800"/>
        <w:gridCol w:w="3600"/>
        <w:gridCol w:w="2620"/>
      </w:tblGrid>
      <w:tr>
        <w:trPr>
          <w:cantSplit/>
          <w:tblHeader/>
        </w:trPr>
        <w:tc>
          <w:tcPr>
            <w:tcW w:type="dxa" w:w="2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Nivel</w:t>
            </w:r>
          </w:p>
        </w:tc>
        <w:tc>
          <w:tcPr>
            <w:tcW w:type="dxa" w:w="3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Notación</w:t>
            </w:r>
          </w:p>
        </w:tc>
        <w:tc>
          <w:tcPr>
            <w:tcW w:type="dxa" w:w="2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Ejemplo</w:t>
            </w:r>
          </w:p>
        </w:tc>
      </w:tr>
      <w:tr>
        <w:trPr>
          <w:cantSplit/>
        </w:trPr>
        <w:tc>
          <w:tcPr>
            <w:tcW w:type="dxa" w:w="2800"/>
            <w:shd w:fill="auto" w:color="auto" w:val="clear"/>
            <w:tcMar>
              <w:top w:type="dxa" w:w="70"/>
              <w:left w:type="dxa" w:w="110"/>
              <w:bottom w:type="dxa" w:w="70"/>
              <w:right w:type="dxa" w:w="110"/>
            </w:tcMar>
          </w:tcPr>
          <w:p>
            <w:pPr>
              <w:spacing w:after="40" w:before="40" w:line="240"/>
              <w:jc w:val="left"/>
            </w:pPr>
            <w:r>
              <w:rPr>
                <w:sz w:val="18"/>
                <w:szCs w:val="18"/>
              </w:rPr>
              <w:t xml:space="preserve">Primer nivel (capítulos)</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Entera con cero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1.0, 2.0, 3.0…</w:t>
            </w:r>
          </w:p>
        </w:tc>
      </w:tr>
      <w:tr>
        <w:trPr>
          <w:cantSplit/>
        </w:trPr>
        <w:tc>
          <w:tcPr>
            <w:tcW w:type="dxa" w:w="2800"/>
            <w:shd w:fill="F7F9FA" w:color="auto" w:val="clear"/>
            <w:tcMar>
              <w:top w:type="dxa" w:w="70"/>
              <w:left w:type="dxa" w:w="110"/>
              <w:bottom w:type="dxa" w:w="70"/>
              <w:right w:type="dxa" w:w="110"/>
            </w:tcMar>
          </w:tcPr>
          <w:p>
            <w:pPr>
              <w:spacing w:after="40" w:before="40" w:line="240"/>
              <w:jc w:val="left"/>
            </w:pPr>
            <w:r>
              <w:rPr>
                <w:sz w:val="18"/>
                <w:szCs w:val="18"/>
              </w:rPr>
              <w:t>Hijos del capítulo</w:t>
            </w:r>
          </w:p>
        </w:tc>
        <w:tc>
          <w:tcPr>
            <w:tcW w:type="dxa" w:w="3600"/>
            <w:shd w:fill="F7F9FA" w:color="auto" w:val="clear"/>
            <w:tcMar>
              <w:top w:type="dxa" w:w="70"/>
              <w:left w:type="dxa" w:w="110"/>
              <w:bottom w:type="dxa" w:w="70"/>
              <w:right w:type="dxa" w:w="110"/>
            </w:tcMar>
          </w:tcPr>
          <w:p>
            <w:pPr>
              <w:spacing w:after="40" w:before="40" w:line="240"/>
              <w:jc w:val="left"/>
            </w:pPr>
            <w:r>
              <w:rPr>
                <w:sz w:val="18"/>
                <w:szCs w:val="18"/>
              </w:rPr>
              <w:t>Decimal, contador compartido entre subcapítulos y actividades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1.1, 1.2, 1.3… 1.12…</w:t>
            </w:r>
          </w:p>
        </w:tc>
      </w:tr>
      <w:tr>
        <w:trPr>
          <w:cantSplit/>
        </w:trPr>
        <w:tc>
          <w:tcPr>
            <w:tcW w:type="dxa" w:w="2800"/>
            <w:shd w:fill="auto" w:color="auto" w:val="clear"/>
            <w:tcMar>
              <w:top w:type="dxa" w:w="70"/>
              <w:left w:type="dxa" w:w="110"/>
              <w:bottom w:type="dxa" w:w="70"/>
              <w:right w:type="dxa" w:w="110"/>
            </w:tcMar>
          </w:tcPr>
          <w:p>
            <w:pPr>
              <w:spacing w:after="40" w:before="40" w:line="240"/>
              <w:jc w:val="left"/>
            </w:pPr>
            <w:r>
              <w:rPr>
                <w:sz w:val="18"/>
                <w:szCs w:val="18"/>
              </w:rPr>
              <w:t xml:space="preserve">Niveles inferiores</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 xml:space="preserve">Decimal profunda según la anidación</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1.1.1, 1.1.2…</w:t>
            </w:r>
          </w:p>
        </w:tc>
      </w:tr>
    </w:tbl>
    <w:p>
      <w:pPr>
        <w:spacing w:after="120" w:before="0" w:line="276"/>
        <w:jc w:val="both"/>
      </w:pPr>
      <w:r>
        <w:rPr>
          <w:sz w:val="20"/>
          <w:szCs w:val="20"/>
        </w:rPr>
        <w:t>El sistema asigna y recalcula la codificación automáticamente, y el usuario nunca la escribe. El capítulo se numera 1.0 y sus hijos 1.1, 1.2, 1.3; los hijos de un subcapítulo, 1.1.1 y siguientes. Capítulos y actividades comparten el contador de su padre, así que una actividad colgada del capítulo queda entre sus subcapítulos sin chocar: 1.0 CIMENTACIÓN, 1.1 Excavación manual, 1.2 Concretos, 1.2.1 Concreto de zapatas.</w:t>
      </w:r>
    </w:p>
    <w:p>
      <w:pPr>
        <w:pStyle w:val="Heading3"/>
        <w:spacing w:after="100" w:before="220"/>
      </w:pPr>
      <w:r>
        <w:rPr>
          <w:b/>
          <w:bCs/>
          <w:color w:val="5A6874"/>
          <w:sz w:val="20"/>
          <w:szCs w:val="20"/>
        </w:rPr>
        <w:t xml:space="preserve">Controles por nivel</w:t>
      </w:r>
    </w:p>
    <w:p>
      <w:pPr>
        <w:pStyle w:val="ListParagraph"/>
        <w:numPr>
          <w:ilvl w:val="0"/>
          <w:numId w:val="2"/>
        </w:numPr>
        <w:spacing w:after="90" w:line="276"/>
        <w:jc w:val="both"/>
      </w:pPr>
      <w:r>
        <w:rPr>
          <w:sz w:val="20"/>
          <w:szCs w:val="20"/>
        </w:rPr>
        <w:t xml:space="preserve">Renombrar el título del nivel.</w:t>
      </w:r>
    </w:p>
    <w:p>
      <w:pPr>
        <w:pStyle w:val="ListParagraph"/>
        <w:numPr>
          <w:ilvl w:val="0"/>
          <w:numId w:val="2"/>
        </w:numPr>
        <w:spacing w:after="90" w:line="276"/>
        <w:jc w:val="both"/>
      </w:pPr>
      <w:r>
        <w:rPr>
          <w:sz w:val="20"/>
          <w:szCs w:val="20"/>
        </w:rPr>
        <w:t xml:space="preserve">Reordenar la posición, desplazando arriba o abajo. La numeración de todos los hermanos se recalcula sola.</w:t>
      </w:r>
    </w:p>
    <w:p>
      <w:pPr>
        <w:pStyle w:val="ListParagraph"/>
        <w:numPr>
          <w:ilvl w:val="0"/>
          <w:numId w:val="2"/>
        </w:numPr>
        <w:spacing w:after="90" w:line="276"/>
        <w:jc w:val="both"/>
      </w:pPr>
      <w:r>
        <w:rPr>
          <w:sz w:val="20"/>
          <w:szCs w:val="20"/>
        </w:rPr>
        <w:t xml:space="preserve">Eliminar el nivel, con alerta previa si contiene subniveles o actividades.</w:t>
      </w:r>
    </w:p>
    <w:p>
      <w:pPr>
        <w:pStyle w:val="Heading3"/>
        <w:spacing w:after="120"/>
      </w:pPr>
      <w:r>
        <w:rPr/>
        <w:t>Reordenar hermanos</w:t>
      </w:r>
    </w:p>
    <w:p>
      <w:pPr>
        <w:spacing w:after="120"/>
      </w:pPr>
      <w:r>
        <w:t>Subir o bajar un capítulo renumera a todos sus hermanos en un solo paso. No hay estado intermedio visible ni códigos temporales: la pantalla muestra la numeración final cuando el servidor confirma. Si el guardado falla, la EDT vuelve al orden anterior completo, nunca a medias.</w:t>
      </w:r>
    </w:p>
    <w:p>
      <w:pPr>
        <w:pStyle w:val="Heading2"/>
        <w:spacing w:after="120" w:before="300"/>
      </w:pPr>
      <w:r>
        <w:rPr>
          <w:b/>
          <w:bCs/>
          <w:color w:val="1F2933"/>
          <w:sz w:val="23"/>
          <w:szCs w:val="23"/>
        </w:rPr>
        <w:t xml:space="preserve">8.3 Agregar actividades</w:t>
      </w:r>
    </w:p>
    <w:p>
      <w:pPr>
        <w:spacing w:after="120" w:before="0" w:line="276"/>
        <w:jc w:val="both"/>
      </w:pPr>
      <w:r>
        <w:rPr>
          <w:sz w:val="20"/>
          <w:szCs w:val="20"/>
        </w:rPr>
        <w:t xml:space="preserve">Al final de cualquier nivel hay una casilla de búsqueda rápida etiquetada «+ Agregar Actividad». El usuario escribe el código o el nombre del APU y el sistema despliega las coincidencias en tiempo real.</w:t>
      </w:r>
    </w:p>
    <w:p>
      <w:pPr>
        <w:spacing w:after="120" w:before="0" w:line="276"/>
        <w:jc w:val="both"/>
      </w:pPr>
      <w:r>
        <w:rPr>
          <w:sz w:val="20"/>
          <w:szCs w:val="20"/>
        </w:rPr>
        <w:t xml:space="preserve">Al seleccionar una actividad, el código que queda en el presupuesto es estrictamente el mismo código único del APU. Si la actividad no existe, la casilla ofrece «+ Crear Nuevo APU», que abre el formulario del módulo APU en un pop-out secundario; al guardarlo, el APU nuevo se asigna al capítulo actual sin perder el progreso.</w:t>
      </w:r>
    </w:p>
    <w:p>
      <w:pPr>
        <w:pStyle w:val="Heading3"/>
        <w:spacing w:after="100" w:before="220"/>
      </w:pPr>
      <w:r>
        <w:rPr>
          <w:b/>
          <w:bCs/>
          <w:color w:val="5A6874"/>
          <w:sz w:val="20"/>
          <w:szCs w:val="20"/>
        </w:rPr>
        <w:t xml:space="preserve">Columnas de cada fila de actividad</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200"/>
        <w:gridCol w:w="4620"/>
        <w:gridCol w:w="2200"/>
      </w:tblGrid>
      <w:tr>
        <w:trPr>
          <w:cantSplit/>
          <w:tblHeader/>
        </w:trPr>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Columna</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Origen</w:t>
            </w:r>
          </w:p>
        </w:tc>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¿Editable?</w:t>
            </w:r>
          </w:p>
        </w:tc>
      </w:tr>
      <w:tr>
        <w:trPr>
          <w:cantSplit/>
          <w:tblHeader/>
        </w:trPr>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N.º de ítem</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Derivado del árbol (1.1, 1.2.3)</w:t>
            </w:r>
          </w:p>
        </w:tc>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No</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Código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Código único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Descripción</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Nombre de la actividad</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Unidad</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Unidad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Cantidad de obra</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La digita el usuario</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Sí</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Precio unitario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Costo directo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 desde esta vista</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Costo total</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Cantidad × Precio unitario</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Calculado</w:t>
            </w:r>
          </w:p>
        </w:tc>
      </w:tr>
    </w:tbl>
    <w:p>
      <w:pPr>
        <w:pStyle w:val="Heading2"/>
        <w:spacing w:after="120" w:before="300"/>
      </w:pPr>
      <w:r>
        <w:rPr>
          <w:b/>
          <w:bCs/>
          <w:color w:val="1F2933"/>
          <w:sz w:val="23"/>
          <w:szCs w:val="23"/>
        </w:rPr>
        <w:t xml:space="preserve">8.4 Clasificación del capítulo: directo o indirecto</w:t>
      </w:r>
    </w:p>
    <w:p>
      <w:pPr>
        <w:spacing w:after="120" w:before="0" w:line="276"/>
        <w:jc w:val="both"/>
      </w:pPr>
      <w:r>
        <w:rPr>
          <w:sz w:val="20"/>
          <w:szCs w:val="20"/>
        </w:rPr>
        <w:t xml:space="preserve">Al crear un capítulo de primer nivel, el pop-out exige elegir su naturaleza. No viene marcada ninguna de las dos por defecto: el usuario tiene que decidir.</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700"/>
        <w:gridCol w:w="4160"/>
        <w:gridCol w:w="3160"/>
      </w:tblGrid>
      <w:tr>
        <w:trPr>
          <w:cantSplit/>
          <w:tblHeader/>
        </w:trPr>
        <w:tc>
          <w:tcPr>
            <w:tcW w:type="dxa" w:w="17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Clasificación</w:t>
            </w:r>
          </w:p>
        </w:tc>
        <w:tc>
          <w:tcPr>
            <w:tcW w:type="dxa" w:w="41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va ahí</w:t>
            </w:r>
          </w:p>
        </w:tc>
        <w:tc>
          <w:tcPr>
            <w:tcW w:type="dxa" w:w="31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Efecto en el cálculo</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Costo Directo</w:t>
            </w:r>
          </w:p>
        </w:tc>
        <w:tc>
          <w:tcPr>
            <w:tcW w:type="dxa" w:w="4160"/>
            <w:shd w:fill="auto" w:color="auto" w:val="clear"/>
            <w:tcMar>
              <w:top w:type="dxa" w:w="70"/>
              <w:left w:type="dxa" w:w="110"/>
              <w:bottom w:type="dxa" w:w="70"/>
              <w:right w:type="dxa" w:w="110"/>
            </w:tcMar>
          </w:tcPr>
          <w:p>
            <w:pPr>
              <w:spacing w:after="40" w:before="40" w:line="240"/>
              <w:jc w:val="left"/>
            </w:pPr>
            <w:r>
              <w:rPr>
                <w:sz w:val="18"/>
                <w:szCs w:val="18"/>
              </w:rPr>
              <w:t xml:space="preserve">Obra física: cimentación, estructura, mampostería, instalaciones, acabados.</w:t>
            </w:r>
          </w:p>
        </w:tc>
        <w:tc>
          <w:tcPr>
            <w:tcW w:type="dxa" w:w="3160"/>
            <w:shd w:fill="auto" w:color="auto" w:val="clear"/>
            <w:tcMar>
              <w:top w:type="dxa" w:w="70"/>
              <w:left w:type="dxa" w:w="110"/>
              <w:bottom w:type="dxa" w:w="70"/>
              <w:right w:type="dxa" w:w="110"/>
            </w:tcMar>
          </w:tcPr>
          <w:p>
            <w:pPr>
              <w:spacing w:after="40" w:before="40" w:line="240"/>
              <w:jc w:val="left"/>
            </w:pPr>
            <w:r>
              <w:rPr>
                <w:sz w:val="18"/>
                <w:szCs w:val="18"/>
              </w:rPr>
              <w:t xml:space="preserve">Suma al Costo Directo y es la base sobre la que se calcula el AIU.</w:t>
            </w:r>
          </w:p>
        </w:tc>
      </w:tr>
      <w:tr>
        <w:trPr>
          <w:cantSplit/>
        </w:trPr>
        <w:tc>
          <w:tcPr>
            <w:tcW w:type="dxa" w:w="1700"/>
            <w:shd w:fill="F7F9FA" w:color="auto" w:val="clear"/>
            <w:tcMar>
              <w:top w:type="dxa" w:w="70"/>
              <w:left w:type="dxa" w:w="110"/>
              <w:bottom w:type="dxa" w:w="70"/>
              <w:right w:type="dxa" w:w="110"/>
            </w:tcMar>
          </w:tcPr>
          <w:p>
            <w:pPr>
              <w:spacing w:after="40" w:before="40" w:line="240"/>
              <w:jc w:val="left"/>
            </w:pPr>
            <w:r>
              <w:rPr>
                <w:sz w:val="18"/>
                <w:szCs w:val="18"/>
              </w:rPr>
              <w:t xml:space="preserve">Costo Indirecto</w:t>
            </w:r>
          </w:p>
        </w:tc>
        <w:tc>
          <w:tcPr>
            <w:tcW w:type="dxa" w:w="4160"/>
            <w:shd w:fill="F7F9FA" w:color="auto" w:val="clear"/>
            <w:tcMar>
              <w:top w:type="dxa" w:w="70"/>
              <w:left w:type="dxa" w:w="110"/>
              <w:bottom w:type="dxa" w:w="70"/>
              <w:right w:type="dxa" w:w="110"/>
            </w:tcMar>
          </w:tcPr>
          <w:p>
            <w:pPr>
              <w:spacing w:after="40" w:before="40" w:line="240"/>
              <w:jc w:val="left"/>
            </w:pPr>
            <w:r>
              <w:rPr>
                <w:sz w:val="18"/>
                <w:szCs w:val="18"/>
              </w:rPr>
              <w:t xml:space="preserve">Costos de la obra que no son obra física: topografía, estudio de suelos, dirección de obra, pólizas, campamento.</w:t>
            </w:r>
          </w:p>
        </w:tc>
        <w:tc>
          <w:tcPr>
            <w:tcW w:type="dxa" w:w="3160"/>
            <w:shd w:fill="F7F9FA" w:color="auto" w:val="clear"/>
            <w:tcMar>
              <w:top w:type="dxa" w:w="70"/>
              <w:left w:type="dxa" w:w="110"/>
              <w:bottom w:type="dxa" w:w="70"/>
              <w:right w:type="dxa" w:w="110"/>
            </w:tcMar>
          </w:tcPr>
          <w:p>
            <w:pPr>
              <w:spacing w:after="40" w:before="40" w:line="240"/>
              <w:jc w:val="left"/>
            </w:pPr>
            <w:r>
              <w:rPr>
                <w:sz w:val="18"/>
                <w:szCs w:val="18"/>
              </w:rPr>
              <w:t xml:space="preserve">Suma al Costo Indirecto. Entra en el valor total pero NO en la base del AIU.</w:t>
            </w:r>
          </w:p>
        </w:tc>
      </w:tr>
    </w:tbl>
    <w:p>
      <w:pPr>
        <w:spacing w:after="120" w:before="0" w:line="276"/>
        <w:jc w:val="both"/>
      </w:pPr>
      <w:r>
        <w:rPr>
          <w:sz w:val="20"/>
          <w:szCs w:val="20"/>
        </w:rPr>
        <w:t xml:space="preserve">La etiqueta se muestra en la barra del capítulo y se puede cambiar mientras el proyecto esté Abierto. Los subcapítulos y actividades la heredan: no hay selector en los niveles inferiores.</w:t>
      </w:r>
    </w:p>
    <w:tbl>
      <w:tblPr>
        <w:tblW w:type="dxa" w:w="9020"/>
        <w:tblBorders>
          <w:top w:val="none" w:color="FFFFFF" w:sz="0"/>
          <w:left w:val="single" w:color="2E7D5B" w:sz="18"/>
          <w:bottom w:val="none" w:color="FFFFFF" w:sz="0"/>
          <w:right w:val="none" w:color="FFFFFF" w:sz="0"/>
          <w:insideH w:val="none" w:color="FFFFFF" w:sz="0"/>
          <w:insideV w:val="none" w:color="FFFFFF" w:sz="0"/>
        </w:tblBorders>
      </w:tblPr>
      <w:tblGrid>
        <w:gridCol w:w="9020"/>
      </w:tblGrid>
      <w:tr>
        <w:trPr>
          <w:cantSplit/>
        </w:trPr>
        <w:tc>
          <w:tcPr>
            <w:tcW w:type="dxa" w:w="9020"/>
            <w:shd w:fill="EDF5F1" w:color="auto" w:val="clear"/>
            <w:tcMar>
              <w:top w:type="dxa" w:w="140"/>
              <w:left w:type="dxa" w:w="200"/>
              <w:bottom w:type="dxa" w:w="140"/>
              <w:right w:type="dxa" w:w="180"/>
            </w:tcMar>
          </w:tcPr>
          <w:p>
            <w:pPr>
              <w:spacing w:after="90" w:before="40"/>
            </w:pPr>
            <w:r>
              <w:rPr>
                <w:b/>
                <w:bCs/>
                <w:caps/>
                <w:color w:val="2E7D5B"/>
                <w:sz w:val="18"/>
                <w:szCs w:val="18"/>
              </w:rPr>
              <w:t xml:space="preserve">Por qué el AIU no toca los capítulos indirectos</w:t>
            </w:r>
          </w:p>
          <w:p>
            <w:pPr>
              <w:spacing w:after="110" w:line="276"/>
              <w:jc w:val="both"/>
            </w:pPr>
            <w:r>
              <w:rPr>
                <w:sz w:val="19"/>
                <w:szCs w:val="19"/>
              </w:rPr>
              <w:t xml:space="preserve">Si un capítulo de preliminares ya incluye el sueldo del director de obra, ese costo está cuantificado peso a peso. Aplicarle encima el porcentaje de Administración lo cobraría dos veces: una explícita en el capítulo y otra implícita en el AIU.</w:t>
            </w:r>
          </w:p>
          <w:p>
            <w:pPr>
              <w:spacing w:after="40" w:line="276"/>
              <w:jc w:val="both"/>
            </w:pPr>
            <w:r>
              <w:rPr>
                <w:sz w:val="19"/>
                <w:szCs w:val="19"/>
              </w:rPr>
              <w:t xml:space="preserve">La A del AIU existe para estimar la administración cuando no se detalla. Donde sí se detalla, sobra.</w:t>
            </w:r>
          </w:p>
        </w:tc>
      </w:tr>
    </w:tbl>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Si un capítulo mezcla las dos naturalezas</w:t>
            </w:r>
          </w:p>
          <w:p>
            <w:pPr>
              <w:spacing w:after="40" w:line="276"/>
              <w:jc w:val="both"/>
            </w:pPr>
            <w:r>
              <w:rPr>
                <w:sz w:val="19"/>
                <w:szCs w:val="19"/>
              </w:rPr>
              <w:t xml:space="preserve">Un capítulo de preliminares con topografía (indirecto) y excavación (obra física) no se puede partir por dentro: la clasificación es del capítulo entero. En ese caso se crean dos capítulos de primer nivel. La estructura de la WBS la decide el ingeniero; el sistema solo exige que cada capítulo raíz tenga una sola naturaleza.</w:t>
            </w:r>
          </w:p>
        </w:tc>
      </w:tr>
    </w:tbl>
    <w:p>
      <w:pPr>
        <w:pStyle w:val="Heading2"/>
        <w:spacing w:after="120" w:before="300"/>
      </w:pPr>
      <w:r>
        <w:rPr>
          <w:b/>
          <w:bCs/>
          <w:color w:val="1F2933"/>
          <w:sz w:val="23"/>
          <w:szCs w:val="23"/>
        </w:rPr>
        <w:t xml:space="preserve">8.5 Totales por capítulo</w:t>
      </w:r>
    </w:p>
    <w:p>
      <w:pPr>
        <w:spacing w:after="120" w:before="0" w:line="276"/>
        <w:jc w:val="both"/>
      </w:pPr>
      <w:r>
        <w:rPr>
          <w:sz w:val="20"/>
          <w:szCs w:val="20"/>
        </w:rPr>
        <w:t xml:space="preserve">En el extremo derecho de la barra de cada capítulo y subcapítulo, dos valores en tiempo real:</w:t>
      </w:r>
    </w:p>
    <w:p>
      <w:pPr>
        <w:pStyle w:val="ListParagraph"/>
        <w:numPr>
          <w:ilvl w:val="0"/>
          <w:numId w:val="2"/>
        </w:numPr>
        <w:spacing w:after="90" w:line="276"/>
        <w:jc w:val="both"/>
      </w:pPr>
      <w:r>
        <w:rPr>
          <w:sz w:val="20"/>
          <w:szCs w:val="20"/>
        </w:rPr>
        <w:t xml:space="preserve">Monto acumulado: la suma de todas las actividades e ítems contenidos en ese nivel y en los que cuelgan de él.</w:t>
      </w:r>
    </w:p>
    <w:p>
      <w:pPr>
        <w:pStyle w:val="ListParagraph"/>
        <w:numPr>
          <w:ilvl w:val="0"/>
          <w:numId w:val="2"/>
        </w:numPr>
        <w:spacing w:after="90" w:line="276"/>
        <w:jc w:val="both"/>
      </w:pPr>
      <w:r>
        <w:rPr>
          <w:sz w:val="20"/>
          <w:szCs w:val="20"/>
        </w:rPr>
        <w:t>Porcentaje de incidencia: el costo del capítulo dividido por el costo directo total del proyecto, por cien. Ni el AIU ni los capítulos indirectos entran en el denominador, de modo que los capítulos directos suman 100% entre ellos. Un capítulo indirecto puede mostrar un 50% sin que nada esté mal: se mide contra la misma base pero queda fuera de ese 100%.</w:t>
      </w:r>
    </w:p>
    <w:p>
      <w:pPr>
        <w:spacing w:after="60"/>
      </w:pPr>
    </w:p>
    <w:tbl>
      <w:tblPr>
        <w:tblW w:type="dxa" w:w="9020"/>
        <w:tblBorders>
          <w:top w:val="none" w:color="FFFFFF" w:sz="0"/>
          <w:left w:val="single" w:color="2E7D5B" w:sz="18"/>
          <w:bottom w:val="none" w:color="FFFFFF" w:sz="0"/>
          <w:right w:val="none" w:color="FFFFFF" w:sz="0"/>
          <w:insideH w:val="none" w:color="FFFFFF" w:sz="0"/>
          <w:insideV w:val="none" w:color="FFFFFF" w:sz="0"/>
        </w:tblBorders>
      </w:tblPr>
      <w:tblGrid>
        <w:gridCol w:w="9020"/>
      </w:tblGrid>
      <w:tr>
        <w:trPr>
          <w:cantSplit/>
        </w:trPr>
        <w:tc>
          <w:tcPr>
            <w:tcW w:type="dxa" w:w="9020"/>
            <w:shd w:fill="EDF5F1" w:color="auto" w:val="clear"/>
            <w:tcMar>
              <w:top w:type="dxa" w:w="140"/>
              <w:left w:type="dxa" w:w="200"/>
              <w:bottom w:type="dxa" w:w="140"/>
              <w:right w:type="dxa" w:w="180"/>
            </w:tcMar>
          </w:tcPr>
          <w:p>
            <w:pPr>
              <w:spacing w:after="90" w:before="40"/>
            </w:pPr>
            <w:r>
              <w:rPr>
                <w:b/>
                <w:bCs/>
                <w:caps/>
                <w:color w:val="2E7D5B"/>
                <w:sz w:val="18"/>
                <w:szCs w:val="18"/>
              </w:rPr>
              <w:t xml:space="preserve">Las incidencias de los capítulos directos suman 100%</w:t>
            </w:r>
          </w:p>
          <w:p>
            <w:pPr>
              <w:spacing w:after="40" w:line="276"/>
              <w:jc w:val="both"/>
            </w:pPr>
            <w:r>
              <w:rPr>
                <w:sz w:val="19"/>
                <w:szCs w:val="19"/>
              </w:rPr>
              <w:t>Como el denominador es la suma de los capítulos directos, los porcentajes de esos capítulos suman exactamente cien cuando se suman con precisión completa. En pantalla no siempre: con tres capítulos iguales y dos decimales de vista, 33,33 % × 3 da 99,99 %. La comprobación del cuadre se hace sobre los montos, no sobre los porcentajes redondeados, y la interfaz no debe avisar de un error de cálculo por una diferencia menor a un punto de la última cifra mostrada. Los capítulos indirectos no entran en esa suma.</w:t>
            </w:r>
          </w:p>
        </w:tc>
      </w:tr>
    </w:tbl>
    <w:p>
      <w:pPr>
        <w:pStyle w:val="Heading2"/>
        <w:spacing w:after="120" w:before="300"/>
      </w:pPr>
      <w:r>
        <w:rPr>
          <w:b/>
          <w:bCs/>
          <w:color w:val="1F2933"/>
          <w:sz w:val="23"/>
          <w:szCs w:val="23"/>
        </w:rPr>
        <w:t xml:space="preserve">8.6 Pie financiero</w:t>
      </w:r>
    </w:p>
    <w:p>
      <w:pPr>
        <w:spacing w:after="120" w:before="0" w:line="276"/>
        <w:jc w:val="both"/>
      </w:pPr>
      <w:r>
        <w:rPr>
          <w:sz w:val="20"/>
          <w:szCs w:val="20"/>
        </w:rPr>
        <w:t xml:space="preserve">Barra fija al final de la lista de capítulos, con el resumen del proyecto: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000"/>
        <w:gridCol w:w="6020"/>
      </w:tblGrid>
      <w:tr>
        <w:trPr>
          <w:cantSplit/>
          <w:tblHeader/>
        </w:trPr>
        <w:tc>
          <w:tcPr>
            <w:tcW w:type="dxa" w:w="3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Concepto</w:t>
            </w:r>
          </w:p>
        </w:tc>
        <w:tc>
          <w:tcPr>
            <w:tcW w:type="dxa" w:w="60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Cálculo</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Total Costo Directo</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 xml:space="preserve">Suma de los capítulos clasificados como directos</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 xml:space="preserve">Administración (A)</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 xml:space="preserve">Costo Directo × %A</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Imprevistos (I)</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 xml:space="preserve">Costo Directo × %I</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 xml:space="preserve">Utilidad (U)</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 xml:space="preserve">Costo Directo × %U</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AIU</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 xml:space="preserve">A + I + U</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IVA sobre la utilidad</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Utilidad × %IVA</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 xml:space="preserve">Total Costo Indirecto</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 xml:space="preserve">Suma de los capítulos clasificados como indirectos</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VALOR TOTAL</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Directo + AIU + IVA + Costo Indirecto</w:t>
            </w:r>
          </w:p>
        </w:tc>
      </w:tr>
    </w:tbl>
    <w:p>
      <w:pPr>
        <w:spacing w:after="120" w:before="0" w:line="276"/>
        <w:jc w:val="both"/>
      </w:pPr>
      <w:r>
        <w:rPr>
          <w:sz w:val="20"/>
          <w:szCs w:val="20"/>
        </w:rPr>
        <w:t>El orden de las filas no es estético: el AIU aparece pegado al costo directo porque es lo único sobre lo que se calcula, el IVA debajo de la utilidad porque es lo único que grava, y el costo indirecto entra al final, ya sin porcentaje encima.</w:t>
      </w:r>
    </w:p>
    <w:p>
      <w:pPr>
        <w:spacing w:after="120" w:before="0" w:line="276"/>
        <w:jc w:val="both"/>
      </w:pPr>
      <w:r>
        <w:rPr>
          <w:sz w:val="20"/>
          <w:szCs w:val="20"/>
        </w:rPr>
        <w:t>Los tres porcentajes del AIU y el del IVA son un campo de cada presupuesto, no una constante del programa: varían con cada obra y no hay AIU estándar de la empresa que los precargue (D-41). Se ajustan mientras el presupuesto esté Abierto. Arrancan en cero: no hay AIU estándar de la empresa que los precargue, porque el AIU se negocia obra por obra (D-41). El sistema no inventa un 25% ni ningún otro valor. El IVA es el único que nace con valor: 19 %.</w:t>
      </w: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Aviso al activar con el AIU en cero</w:t>
            </w:r>
          </w:p>
          <w:p>
            <w:pPr>
              <w:spacing w:after="40" w:line="276"/>
              <w:jc w:val="both"/>
            </w:pPr>
            <w:r>
              <w:rPr>
                <w:sz w:val="19"/>
                <w:szCs w:val="19"/>
              </w:rPr>
              <w:t xml:space="preserve">Si el usuario activa un proyecto con los tres porcentajes en cero, la ventana de confirmación se lo advierte antes de congelar la línea base. No lo bloquea —hay obras que se ofertan a costo— pero evita que un campo sin diligenciar se convierta en contrato.</w:t>
            </w:r>
          </w:p>
        </w:tc>
      </w:tr>
    </w:tbl>
    <w:p>
      <w:pPr>
        <w:spacing w:after="60"/>
      </w:pP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Aviso cuando no hay capítulos directos</w:t>
            </w:r>
          </w:p>
          <w:p>
            <w:pPr>
              <w:spacing w:after="110" w:line="276"/>
              <w:jc w:val="both"/>
            </w:pPr>
            <w:r>
              <w:rPr>
                <w:sz w:val="19"/>
                <w:szCs w:val="19"/>
              </w:rPr>
              <w:t xml:space="preserve">Si el presupuesto no tiene ningún capítulo clasificado como directo pero sí tiene AIU configurado, el pie muestra un aviso permanente: el AIU va a dar cero porque no hay base sobre la que aplicarlo.</w:t>
            </w:r>
          </w:p>
          <w:p>
            <w:pPr>
              <w:spacing w:after="40" w:line="276"/>
              <w:jc w:val="both"/>
            </w:pPr>
            <w:r>
              <w:rPr>
                <w:sz w:val="19"/>
                <w:szCs w:val="19"/>
              </w:rPr>
              <w:t xml:space="preserve">El texto debe señalar la causa probable, no solo el síntoma: «Este presupuesto no tiene capítulos de costo directo, así que el AIU da cero aunque esté configurado. Si lo que estás presupuestando es un servicio, esos costos son el costo directo de ese contrato y deberían clasificarse así.»</w:t>
            </w:r>
          </w:p>
        </w:tc>
      </w:tr>
    </w:tbl>
    <w:p>
      <w:pPr>
        <w:spacing w:after="6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Los porcentajes que no se pueden calcular muestran un guion</w:t>
            </w:r>
          </w:p>
          <w:p>
            <w:pPr>
              <w:spacing w:after="110" w:line="276"/>
              <w:jc w:val="both"/>
            </w:pPr>
            <w:r>
              <w:rPr>
                <w:sz w:val="19"/>
                <w:szCs w:val="19"/>
              </w:rPr>
              <w:t>La incidencia divide por el costo directo total. Ese divisor puede valer cero en un presupuesto vacío o a medio llenar.</w:t>
            </w:r>
          </w:p>
          <w:p>
            <w:pPr>
              <w:spacing w:after="40" w:line="276"/>
              <w:jc w:val="both"/>
            </w:pPr>
            <w:r>
              <w:rPr>
                <w:sz w:val="19"/>
                <w:szCs w:val="19"/>
              </w:rPr>
              <w:t xml:space="preserve">En esos casos la columna muestra «—», nunca «0%». Un cero diría que el capítulo no pesa nada, que es distinto de no poder calcularlo. Y nunca «Infinity» ni «NaN», que es lo que devuelve JavaScript si la división se hace en el navegador sin proteger.</w:t>
            </w:r>
          </w:p>
        </w:tc>
      </w:tr>
    </w:tbl>
    <w:p>
      <w:pPr>
        <w:pStyle w:val="Heading1"/>
        <w:pBdr>
          <w:bottom w:val="single" w:color="13496B" w:sz="10" w:space="6"/>
        </w:pBdr>
        <w:spacing w:after="180" w:before="420"/>
      </w:pPr>
      <w:r>
        <w:rPr>
          <w:b/>
          <w:bCs/>
          <w:color w:val="13496B"/>
          <w:sz w:val="30"/>
          <w:szCs w:val="30"/>
        </w:rPr>
        <w:t xml:space="preserve">9. Estados, duplicación y exportación</w:t>
      </w:r>
    </w:p>
    <w:p>
      <w:pPr>
        <w:pStyle w:val="Heading2"/>
        <w:spacing w:after="120" w:before="300"/>
      </w:pPr>
      <w:r>
        <w:rPr>
          <w:b/>
          <w:bCs/>
          <w:color w:val="1F2933"/>
          <w:sz w:val="23"/>
          <w:szCs w:val="23"/>
        </w:rPr>
        <w:t xml:space="preserve">9.1 Activar el proyecto</w:t>
      </w:r>
    </w:p>
    <w:p>
      <w:pPr>
        <w:spacing w:after="120" w:before="0" w:line="276"/>
        <w:jc w:val="both"/>
      </w:pPr>
      <w:r>
        <w:rPr>
          <w:sz w:val="20"/>
          <w:szCs w:val="20"/>
        </w:rPr>
        <w:t xml:space="preserve">En la barra superior de la mesa de trabajo está el botón «Aprobar y Activar Proyecto». Solo lo ve el Administrador; para los demás roles el control no existe.</w:t>
      </w:r>
    </w:p>
    <w:p>
      <w:pPr>
        <w:spacing w:after="120" w:before="0" w:line="276"/>
        <w:jc w:val="both"/>
      </w:pPr>
      <w:r>
        <w:rPr>
          <w:sz w:val="20"/>
          <w:szCs w:val="20"/>
        </w:rPr>
        <w:t xml:space="preserve">Al pulsarlo se despliega una ventana de confirmación con la advertencia: «Esta acción cambiará el estado del proyecto a ACTIVO y congelará su presupuesto como la línea base contractual oficial. A partir de este momento no podrá modificarse sin reabrirlo. ¿Desea proceder?»</w:t>
      </w:r>
    </w:p>
    <w:p>
      <w:pPr>
        <w:spacing w:after="120" w:before="0" w:line="276"/>
        <w:jc w:val="both"/>
      </w:pPr>
      <w:r>
        <w:rPr>
          <w:sz w:val="20"/>
          <w:szCs w:val="20"/>
        </w:rPr>
        <w:t xml:space="preserve">Al confirmar, el sistema:</w:t>
      </w:r>
    </w:p>
    <w:p>
      <w:pPr>
        <w:pStyle w:val="ListParagraph"/>
        <w:numPr>
          <w:ilvl w:val="0"/>
          <w:numId w:val="2"/>
        </w:numPr>
        <w:spacing w:after="90" w:line="276"/>
        <w:jc w:val="both"/>
      </w:pPr>
      <w:r>
        <w:rPr>
          <w:sz w:val="20"/>
          <w:szCs w:val="20"/>
        </w:rPr>
        <w:t xml:space="preserve">Cambia el estado a Activo.</w:t>
      </w:r>
    </w:p>
    <w:p>
      <w:pPr>
        <w:pStyle w:val="ListParagraph"/>
        <w:numPr>
          <w:ilvl w:val="0"/>
          <w:numId w:val="2"/>
        </w:numPr>
        <w:spacing w:after="90" w:line="276"/>
        <w:jc w:val="both"/>
      </w:pPr>
      <w:r>
        <w:rPr>
          <w:sz w:val="20"/>
          <w:szCs w:val="20"/>
        </w:rPr>
        <w:t xml:space="preserve">Guarda automáticamente una versión, que es la línea base del proyecto.</w:t>
      </w:r>
    </w:p>
    <w:p>
      <w:pPr>
        <w:pStyle w:val="ListParagraph"/>
        <w:numPr>
          <w:ilvl w:val="0"/>
          <w:numId w:val="2"/>
        </w:numPr>
        <w:spacing w:after="90" w:line="276"/>
        <w:jc w:val="both"/>
      </w:pPr>
      <w:r>
        <w:rPr>
          <w:sz w:val="20"/>
          <w:szCs w:val="20"/>
        </w:rPr>
        <w:t>Pone la mesa de trabajo en solo lectura: a partir de ahora la línea base no se toca. Para corregir algo hay que reabrir el proyecto (9.3).</w:t>
      </w:r>
    </w:p>
    <w:p>
      <w:pPr>
        <w:pStyle w:val="ListParagraph"/>
        <w:numPr>
          <w:ilvl w:val="0"/>
          <w:numId w:val="2"/>
        </w:numPr>
        <w:spacing w:after="90" w:line="276"/>
        <w:jc w:val="both"/>
      </w:pPr>
      <w:r>
        <w:rPr>
          <w:sz w:val="20"/>
          <w:szCs w:val="20"/>
        </w:rPr>
        <w:t>Ancla cada actividad, de forma definitiva, a la versión del APU que usó. Activar un proyecto no bloquea la edición del APU en el catálogo, ni debe hacerlo. El APU sigue editándose y sigue generando versiones nuevas; lo que queda fijo es la versión a la que apunta el ítem, y eso basta para que el valor del proyecto no cambie por detrás.</w:t>
      </w:r>
    </w:p>
    <w:p>
      <w:pPr>
        <w:pStyle w:val="ListParagraph"/>
        <w:numPr>
          <w:ilvl w:val="0"/>
          <w:numId w:val="2"/>
        </w:numPr>
        <w:spacing w:after="90" w:line="276"/>
        <w:jc w:val="both"/>
      </w:pPr>
      <w:r>
        <w:rPr>
          <w:sz w:val="20"/>
          <w:szCs w:val="20"/>
        </w:rPr>
        <w:t xml:space="preserve">Registra el evento en el historial.</w:t>
      </w:r>
    </w:p>
    <w:p>
      <w:pPr>
        <w:spacing w:after="120"/>
      </w:pPr>
      <w:r>
        <w:t>El botón «Aprobar y Activar Proyecto» rechaza dos casos con dos mensajes distintos: un presupuesto sin ninguna actividad («el presupuesto no tiene actividades») y uno cuyo valor total sea cero («revise las cantidades de obra»). El segundo es el caso de quien armó el árbol de capítulos y dejó todas las cantidades en cero. Ambos se rechazan también en el servidor, no solo en la pantalla (D-20).</w:t>
      </w:r>
    </w:p>
    <w:p>
      <w:pPr>
        <w:pStyle w:val="Heading2"/>
        <w:spacing w:after="120" w:before="300"/>
      </w:pPr>
      <w:r>
        <w:rPr>
          <w:b/>
          <w:bCs/>
          <w:color w:val="1F2933"/>
          <w:sz w:val="23"/>
          <w:szCs w:val="23"/>
        </w:rPr>
        <w:t xml:space="preserve">9.2 Cerrar el proyecto</w:t>
      </w:r>
    </w:p>
    <w:p>
      <w:pPr>
        <w:spacing w:after="120" w:before="0" w:line="276"/>
        <w:jc w:val="both"/>
      </w:pPr>
      <w:r>
        <w:rPr>
          <w:sz w:val="20"/>
          <w:szCs w:val="20"/>
        </w:rPr>
        <w:t>Cuando la obra concluye o se cancela, el Administrador usa «Cerrar Proyecto». El estado pasa a Cerrado, el proyecto queda archivado en modo histórico y no admite ningún cambio. Se guarda automáticamente una versión.</w:t>
      </w:r>
    </w:p>
    <w:p>
      <w:pPr>
        <w:spacing w:after="120" w:before="0" w:line="276"/>
        <w:jc w:val="both"/>
      </w:pPr>
      <w:r>
        <w:rPr>
          <w:sz w:val="20"/>
          <w:szCs w:val="20"/>
        </w:rPr>
        <w:t xml:space="preserve">Un proyecto Cerrado no se puede reabrir. Si una obra cerrada debe retomarse, se duplica y el duplicado nace Abierto.</w:t>
      </w:r>
    </w:p>
    <w:p>
      <w:pPr>
        <w:pStyle w:val="Heading2"/>
        <w:spacing w:after="120" w:before="300"/>
      </w:pPr>
      <w:r>
        <w:rPr>
          <w:b/>
          <w:bCs/>
          <w:color w:val="1F2933"/>
          <w:sz w:val="23"/>
          <w:szCs w:val="23"/>
        </w:rPr>
        <w:t xml:space="preserve">9.3 Reabrir un proyecto activo</w:t>
      </w:r>
    </w:p>
    <w:p>
      <w:pPr>
        <w:spacing w:after="120" w:before="0" w:line="276"/>
        <w:jc w:val="both"/>
      </w:pPr>
      <w:r>
        <w:rPr>
          <w:sz w:val="20"/>
          <w:szCs w:val="20"/>
        </w:rPr>
        <w:t xml:space="preserve">Es el único mecanismo del MVP para modificar un presupuesto ya activado. Solo está disponible para el Administrador.</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900"/>
        <w:gridCol w:w="8120"/>
      </w:tblGrid>
      <w:tr>
        <w:trPr>
          <w:cantSplit/>
          <w:tblHeader/>
        </w:trPr>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Paso</w:t>
            </w:r>
          </w:p>
        </w:tc>
        <w:tc>
          <w:tcPr>
            <w:tcW w:type="dxa" w:w="81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En la barra superior de un proyecto Activo aparece «Reabrir Presupuesto». Al pulsarlo se abre un pop-out que obliga a escribir la justificación del retorno. No se puede continuar sin ella.</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Al guardar, el sistema guarda automáticamente una versión con el estado actual, para que la línea base anterior quede consultable.</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3</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El proyecto vuelve a estado Abierto y la mesa de trabajo se habilita para edición. La reapertura queda en el historial con fecha, hora, usuario y justificación.</w:t>
            </w:r>
            <w:r>
              <w:rPr>
                <w:sz w:val="18"/>
                <w:szCs w:val="18"/>
              </w:rPr>
              <w:t xml:space="preserve"> El botón no cambia el estado por su cuenta: el servidor llama a la función de reapertura de la base, que es el único camino que esta acepta. Por eso la justificación no es un campo que la pantalla pueda omitir.</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4</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Al volver a activar, se guarda una versión nueva que pasa a ser la línea base vigente.</w:t>
            </w:r>
          </w:p>
        </w:tc>
      </w:tr>
    </w:tbl>
    <w:p>
      <w:pPr>
        <w:spacing w:after="120" w:before="0" w:line="276"/>
        <w:jc w:val="both"/>
      </w:pPr>
      <w:r>
        <w:rPr>
          <w:sz w:val="20"/>
          <w:szCs w:val="20"/>
        </w:rPr>
        <w:t>La reapertura no pierde nada: la versión guardada al reabrir conserva el estado anterior, y la que se guarda al volver a activar pasa a ser la línea base vigente. Las dos quedan consultables lado a lado en el historial.</w:t>
      </w:r>
    </w:p>
    <w:p>
      <w:pPr>
        <w:spacing w:after="60"/>
      </w:pPr>
    </w:p>
    <w:p>
      <w:pPr>
        <w:spacing w:after="120"/>
      </w:pPr>
      <w:r>
        <w:t>Con el proyecto reabierto la mesa de trabajo se comporta igual que en estado Abierto: se edita todo —capítulos, actividades, cantidades, AIU e IVA— y la única huella que queda es el evento de reapertura con su justificación, que nadie puede borrar.</w:t>
      </w:r>
    </w:p>
    <w:p>
      <w:pPr>
        <w:pStyle w:val="Heading2"/>
        <w:spacing w:after="120" w:before="300"/>
      </w:pPr>
      <w:r>
        <w:rPr>
          <w:b/>
          <w:bCs/>
          <w:color w:val="1F2933"/>
          <w:sz w:val="23"/>
          <w:szCs w:val="23"/>
        </w:rPr>
        <w:t xml:space="preserve">9.4 Duplicar</w:t>
      </w:r>
    </w:p>
    <w:p>
      <w:pPr>
        <w:spacing w:after="120" w:before="0" w:line="276"/>
        <w:jc w:val="both"/>
      </w:pPr>
      <w:r>
        <w:rPr>
          <w:sz w:val="20"/>
          <w:szCs w:val="20"/>
        </w:rPr>
        <w:t>El botón «Duplicar Presupuesto» está disponible en el encabezado en cualquier estado. Clona toda la estructura —capítulos, subcapítulos, actividades y cantidades— y genera una copia en estado Abierto. El usuario asigna el código del proyecto nuevo. La copia toma exactamente lo que tenía el original: la misma versión de cada APU, los mismos precios unitarios y los mismos tres porcentajes de AIU. La copia nace Abierta (D-19). Antes de confirmar, el diálogo lista los APU que quedaron desactualizados —los que apuntan a una versión distinta de la vigente— con su precio en el original y su precio de hoy, y ofrece actualizarlos, mostrando el valor total antes y después. Al duplicar un proyecto cerrado hace dos años se va a marcar casi todo, y eso es precisamente el valor de la función: el sistema está avisando de que se van a reutilizar precios viejos.</w:t>
      </w:r>
    </w:p>
    <w:p>
      <w:pPr>
        <w:pStyle w:val="Heading2"/>
        <w:spacing w:after="120" w:before="300"/>
      </w:pPr>
      <w:r>
        <w:rPr>
          <w:b/>
          <w:bCs/>
          <w:color w:val="1F2933"/>
          <w:sz w:val="23"/>
          <w:szCs w:val="23"/>
        </w:rPr>
        <w:t xml:space="preserve">9.5 Exportar</w:t>
      </w:r>
    </w:p>
    <w:p>
      <w:pPr>
        <w:spacing w:after="120" w:before="0" w:line="276"/>
        <w:jc w:val="both"/>
      </w:pPr>
      <w:r>
        <w:rPr>
          <w:sz w:val="20"/>
          <w:szCs w:val="20"/>
        </w:rPr>
        <w:t xml:space="preserve">El botón «Exportar Presupuesto» genera salidas enfocadas estrictamente en la estructura del presupuesto. Ninguna de las dos incluye el desglose interno de los APU ni sus insumos.</w:t>
      </w:r>
    </w:p>
    <w:p>
      <w:pPr>
        <w:pStyle w:val="Heading3"/>
        <w:spacing w:after="100" w:before="220"/>
      </w:pPr>
      <w:r>
        <w:rPr>
          <w:b/>
          <w:bCs/>
          <w:color w:val="5A6874"/>
          <w:sz w:val="20"/>
          <w:szCs w:val="20"/>
        </w:rPr>
        <w:t xml:space="preserve">Excel</w:t>
      </w:r>
    </w:p>
    <w:p>
      <w:pPr>
        <w:pStyle w:val="ListParagraph"/>
        <w:numPr>
          <w:ilvl w:val="0"/>
          <w:numId w:val="2"/>
        </w:numPr>
        <w:spacing w:after="90" w:line="276"/>
        <w:jc w:val="both"/>
      </w:pPr>
      <w:r>
        <w:rPr>
          <w:sz w:val="20"/>
          <w:szCs w:val="20"/>
        </w:rPr>
        <w:t xml:space="preserve">Una sola hoja ordenada por los niveles jerárquicos del presupuesto.</w:t>
      </w:r>
    </w:p>
    <w:p>
      <w:pPr>
        <w:pStyle w:val="ListParagraph"/>
        <w:numPr>
          <w:ilvl w:val="0"/>
          <w:numId w:val="2"/>
        </w:numPr>
        <w:spacing w:after="90" w:line="276"/>
        <w:jc w:val="both"/>
      </w:pPr>
      <w:r>
        <w:rPr>
          <w:sz w:val="20"/>
          <w:szCs w:val="20"/>
        </w:rPr>
        <w:t xml:space="preserve">Usa la función nativa de esquemas y agrupación de filas de Excel, con los controles (+ / −) que permiten contraer y expandir capítulos y subcapítulos. El nivel mínimo de desglose son las actividades.</w:t>
      </w:r>
    </w:p>
    <w:p>
      <w:pPr>
        <w:pStyle w:val="ListParagraph"/>
        <w:numPr>
          <w:ilvl w:val="0"/>
          <w:numId w:val="2"/>
        </w:numPr>
        <w:spacing w:after="90" w:line="276"/>
        <w:jc w:val="both"/>
      </w:pPr>
      <w:r>
        <w:rPr>
          <w:sz w:val="20"/>
          <w:szCs w:val="20"/>
        </w:rPr>
        <w:t xml:space="preserve">Valores numéricos planos, sin fórmulas: código, descripción, unidad, cantidad, precio unitario y total por fila y por nivel acumulado.</w:t>
      </w:r>
    </w:p>
    <w:p>
      <w:pPr>
        <w:pStyle w:val="Heading3"/>
        <w:spacing w:after="100" w:before="220"/>
      </w:pPr>
      <w:r>
        <w:rPr>
          <w:b/>
          <w:bCs/>
          <w:color w:val="5A6874"/>
          <w:sz w:val="20"/>
          <w:szCs w:val="20"/>
        </w:rPr>
        <w:t xml:space="preserve">PDF</w:t>
      </w:r>
    </w:p>
    <w:p>
      <w:pPr>
        <w:pStyle w:val="ListParagraph"/>
        <w:numPr>
          <w:ilvl w:val="0"/>
          <w:numId w:val="2"/>
        </w:numPr>
        <w:spacing w:after="90" w:line="276"/>
        <w:jc w:val="both"/>
      </w:pPr>
      <w:r>
        <w:rPr>
          <w:sz w:val="20"/>
          <w:szCs w:val="20"/>
        </w:rPr>
        <w:t xml:space="preserve">Documento corporativo limpio, con el logo y el NIT de la empresa en el encabezado, tomados de la configuración.</w:t>
      </w:r>
    </w:p>
    <w:p>
      <w:pPr>
        <w:pStyle w:val="ListParagraph"/>
        <w:numPr>
          <w:ilvl w:val="0"/>
          <w:numId w:val="2"/>
        </w:numPr>
        <w:spacing w:after="90" w:line="276"/>
        <w:jc w:val="both"/>
      </w:pPr>
      <w:r>
        <w:rPr>
          <w:sz w:val="20"/>
          <w:szCs w:val="20"/>
        </w:rPr>
        <w:t xml:space="preserve">La WBS en una tabla jerárquica, con estilos que distingan visualmente capítulos, subcapítulos y actividades con sus costos.</w:t>
      </w:r>
    </w:p>
    <w:p>
      <w:pPr>
        <w:spacing w:after="120" w:before="0" w:line="276"/>
        <w:jc w:val="both"/>
      </w:pPr>
      <w:r>
        <w:rPr>
          <w:sz w:val="20"/>
          <w:szCs w:val="20"/>
        </w:rPr>
        <w:t xml:space="preserve">Al exportar una versión específica en lugar del estado actual, el documento debe indicar el número de versión.</w:t>
      </w:r>
    </w:p>
    <w:p>
      <w:pPr>
        <w:pStyle w:val="Heading2"/>
        <w:spacing w:after="120"/>
      </w:pPr>
      <w:r>
        <w:rPr/>
        <w:t>9.6 Archivar un proyecto</w:t>
      </w:r>
    </w:p>
    <w:p>
      <w:pPr>
        <w:spacing w:after="120"/>
      </w:pPr>
      <w:r>
        <w:t>En el encabezado de la mesa de trabajo, junto a «Duplicar», está «Archivar proyecto». Está disponible en cualquier estado y es reversible. Archivar no borra nada y no cambia el estado del proyecto: lo saca de la vista maestra, que por defecto muestra solo los no archivados y ofrece una casilla «Ver archivados».</w:t>
      </w:r>
    </w:p>
    <w:p>
      <w:pPr>
        <w:spacing w:after="120"/>
      </w:pPr>
      <w:r>
        <w:t>Es la respuesta a la licitación que no se ganó. La transición Abierto → Cerrado no existe y no debe existir: «Cerrado» significa obra terminada, y usar ese estado para «licitación perdida» arruina cualquier métrica que después se saque del estado (D-18).</w:t>
      </w:r>
    </w:p>
    <w:p>
      <w:pPr>
        <w:pStyle w:val="Heading2"/>
        <w:spacing w:after="120"/>
      </w:pPr>
      <w:r>
        <w:rPr/>
        <w:t>9.7 Eliminar un proyecto</w:t>
      </w:r>
    </w:p>
    <w:p>
      <w:pPr>
        <w:spacing w:after="120"/>
      </w:pPr>
      <w:r>
        <w:t>El control solo aparece para el Administrador y solo en proyectos que nunca fueron activados. La confirmación advierte que se borran también sus versiones y su historial, y pide escribir el motivo.</w:t>
      </w:r>
    </w:p>
    <w:p>
      <w:pPr>
        <w:spacing w:after="120"/>
      </w:pPr>
      <w:r>
        <w:t>En un proyecto que alguna vez estuvo Activo el control no se muestra. Si se llega por otra vía, el mensaje dice que su línea base es registro contractual y ofrece archivarlo (D-18).</w:t>
      </w:r>
    </w:p>
    <w:p>
      <w:pPr>
        <w:pStyle w:val="Heading1"/>
        <w:pBdr>
          <w:bottom w:val="single" w:color="13496B" w:sz="10" w:space="6"/>
        </w:pBdr>
        <w:spacing w:after="180" w:before="420"/>
      </w:pPr>
      <w:r>
        <w:rPr>
          <w:b/>
          <w:bCs/>
          <w:color w:val="13496B"/>
          <w:sz w:val="30"/>
          <w:szCs w:val="30"/>
        </w:rPr>
        <w:t>10. Versiones e historial</w:t>
      </w:r>
    </w:p>
    <w:p>
      <w:pPr>
        <w:pStyle w:val="Heading2"/>
        <w:spacing w:after="120" w:before="300"/>
      </w:pPr>
      <w:r>
        <w:rPr>
          <w:b/>
          <w:bCs/>
          <w:color w:val="1F2933"/>
          <w:sz w:val="23"/>
          <w:szCs w:val="23"/>
        </w:rPr>
        <w:t>10.1 Versiones del presupuesto</w:t>
      </w:r>
    </w:p>
    <w:p>
      <w:pPr>
        <w:spacing w:after="120" w:before="0" w:line="276"/>
        <w:jc w:val="both"/>
      </w:pPr>
      <w:r>
        <w:rPr>
          <w:sz w:val="20"/>
          <w:szCs w:val="20"/>
        </w:rPr>
        <w:t xml:space="preserve">Una versión es una fotografía completa del presupuesto en un instante: todos los ítems, precios, cantidades, porcentajes de AIU y totales tal como estaban. Se guardan en cuatro momentos: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4400"/>
        <w:gridCol w:w="4620"/>
      </w:tblGrid>
      <w:tr>
        <w:trPr>
          <w:cantSplit/>
          <w:tblHeader/>
        </w:trPr>
        <w:tc>
          <w:tcPr>
            <w:tcW w:type="dxa" w:w="4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Momento</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Tipo</w:t>
            </w:r>
          </w:p>
        </w:tc>
      </w:tr>
      <w:tr>
        <w:trPr>
          <w:cantSplit/>
        </w:trPr>
        <w:tc>
          <w:tcPr>
            <w:tcW w:type="dxa" w:w="4400"/>
            <w:shd w:fill="auto" w:color="auto" w:val="clear"/>
            <w:tcMar>
              <w:top w:type="dxa" w:w="70"/>
              <w:left w:type="dxa" w:w="110"/>
              <w:bottom w:type="dxa" w:w="70"/>
              <w:right w:type="dxa" w:w="110"/>
            </w:tcMar>
          </w:tcPr>
          <w:p>
            <w:pPr>
              <w:spacing w:after="40" w:before="40" w:line="240"/>
              <w:jc w:val="left"/>
            </w:pPr>
            <w:r>
              <w:rPr>
                <w:sz w:val="18"/>
                <w:szCs w:val="18"/>
              </w:rPr>
              <w:t xml:space="preserve">Al pasar de Abierto a Activo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Automática — es la línea base</w:t>
            </w:r>
          </w:p>
        </w:tc>
      </w:tr>
      <w:tr>
        <w:trPr>
          <w:cantSplit/>
        </w:trPr>
        <w:tc>
          <w:tcPr>
            <w:tcW w:type="dxa" w:w="4400"/>
            <w:shd w:fill="F7F9FA" w:color="auto" w:val="clear"/>
            <w:tcMar>
              <w:top w:type="dxa" w:w="70"/>
              <w:left w:type="dxa" w:w="110"/>
              <w:bottom w:type="dxa" w:w="70"/>
              <w:right w:type="dxa" w:w="110"/>
            </w:tcMar>
          </w:tcPr>
          <w:p>
            <w:pPr>
              <w:spacing w:after="40" w:before="40" w:line="240"/>
              <w:jc w:val="left"/>
            </w:pPr>
            <w:r>
              <w:rPr>
                <w:sz w:val="18"/>
                <w:szCs w:val="18"/>
              </w:rPr>
              <w:t xml:space="preserve">Al reabrir un proyecto Activo</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Automática — preserva la línea base anterior</w:t>
            </w:r>
          </w:p>
        </w:tc>
      </w:tr>
      <w:tr>
        <w:trPr>
          <w:cantSplit/>
        </w:trPr>
        <w:tc>
          <w:tcPr>
            <w:tcW w:type="dxa" w:w="4400"/>
            <w:shd w:fill="auto" w:color="auto" w:val="clear"/>
            <w:tcMar>
              <w:top w:type="dxa" w:w="70"/>
              <w:left w:type="dxa" w:w="110"/>
              <w:bottom w:type="dxa" w:w="70"/>
              <w:right w:type="dxa" w:w="110"/>
            </w:tcMar>
          </w:tcPr>
          <w:p>
            <w:pPr>
              <w:spacing w:after="40" w:before="40" w:line="240"/>
              <w:jc w:val="left"/>
            </w:pPr>
            <w:r>
              <w:rPr>
                <w:sz w:val="18"/>
                <w:szCs w:val="18"/>
              </w:rPr>
              <w:t xml:space="preserve">Al pasar de Activo a Cerrado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Automática</w:t>
            </w:r>
          </w:p>
        </w:tc>
      </w:tr>
      <w:tr>
        <w:trPr>
          <w:cantSplit/>
        </w:trPr>
        <w:tc>
          <w:tcPr>
            <w:tcW w:type="dxa" w:w="4400"/>
            <w:shd w:fill="F7F9FA" w:color="auto" w:val="clear"/>
            <w:tcMar>
              <w:top w:type="dxa" w:w="70"/>
              <w:left w:type="dxa" w:w="110"/>
              <w:bottom w:type="dxa" w:w="70"/>
              <w:right w:type="dxa" w:w="110"/>
            </w:tcMar>
          </w:tcPr>
          <w:p>
            <w:pPr>
              <w:spacing w:after="40" w:before="40" w:line="240"/>
              <w:jc w:val="left"/>
            </w:pPr>
            <w:r>
              <w:rPr>
                <w:sz w:val="18"/>
                <w:szCs w:val="18"/>
              </w:rPr>
              <w:t xml:space="preserve">Cuando el usuario pulsa «Guardar versión»</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Manual — el motivo es obligatorio</w:t>
            </w:r>
          </w:p>
        </w:tc>
      </w:tr>
    </w:tbl>
    <w:p>
      <w:pPr>
        <w:spacing w:after="120" w:before="0" w:line="276"/>
        <w:jc w:val="both"/>
      </w:pPr>
      <w:r>
        <w:rPr>
          <w:sz w:val="20"/>
          <w:szCs w:val="20"/>
        </w:rPr>
        <w:t xml:space="preserve">El botón «Ver historial de versiones» muestra la lista con número, fecha, motivo y usuario que la generó. Desde ahí se puede consultar una versión en modo solo lectura —el presupuesto tal como estaba, sin posibilidad de editar— o exportarla a PDF o Excel.</w:t>
      </w:r>
    </w:p>
    <w:p>
      <w:pPr>
        <w:pStyle w:val="Heading2"/>
        <w:spacing w:after="120" w:before="300"/>
      </w:pPr>
      <w:r>
        <w:rPr>
          <w:b/>
          <w:bCs/>
          <w:color w:val="1F2933"/>
          <w:sz w:val="23"/>
          <w:szCs w:val="23"/>
        </w:rPr>
        <w:t>10.2 Historial de cambios</w:t>
      </w:r>
    </w:p>
    <w:p>
      <w:pPr>
        <w:spacing w:after="120" w:before="0" w:line="276"/>
        <w:jc w:val="both"/>
      </w:pPr>
      <w:r>
        <w:rPr>
          <w:sz w:val="20"/>
          <w:szCs w:val="20"/>
        </w:rPr>
        <w:t xml:space="preserve">Un botón «Ver historial de cambios» en la barra del proyecto abre un panel lateral con la lista cronológica descendente de eventos. Cada línea muestra fecha, usuario, tipo de evento, descripción del cambio y el valor anterior frente al nuevo.</w:t>
      </w:r>
    </w:p>
    <w:p>
      <w:pPr>
        <w:spacing w:after="120" w:before="0" w:line="276"/>
        <w:jc w:val="both"/>
      </w:pPr>
      <w:r>
        <w:rPr>
          <w:sz w:val="20"/>
          <w:szCs w:val="20"/>
        </w:rPr>
        <w:t>Los escribe la base de datos, no el backend (D-45): la aplicación no tiene permiso para insertar en el historial, así que no puede omitir un evento ni firmarlo a nombre de otro usuario. El autor sale del contexto de la transacción. Eventos que se registran automáticamente:</w:t>
      </w:r>
    </w:p>
    <w:p>
      <w:pPr>
        <w:pStyle w:val="ListParagraph"/>
        <w:numPr>
          <w:ilvl w:val="0"/>
          <w:numId w:val="2"/>
        </w:numPr>
        <w:spacing w:after="90" w:line="276"/>
        <w:jc w:val="both"/>
      </w:pPr>
      <w:r>
        <w:rPr>
          <w:sz w:val="20"/>
          <w:szCs w:val="20"/>
        </w:rPr>
        <w:t xml:space="preserve">Cambio de estado del proyecto.</w:t>
      </w:r>
    </w:p>
    <w:p>
      <w:pPr>
        <w:pStyle w:val="ListParagraph"/>
        <w:numPr>
          <w:ilvl w:val="0"/>
          <w:numId w:val="2"/>
        </w:numPr>
        <w:spacing w:after="90" w:line="276"/>
        <w:jc w:val="both"/>
      </w:pPr>
      <w:r>
        <w:rPr>
          <w:sz w:val="20"/>
          <w:szCs w:val="20"/>
        </w:rPr>
        <w:t xml:space="preserve">Reapertura, con su justificación.</w:t>
      </w:r>
    </w:p>
    <w:p>
      <w:pPr>
        <w:pStyle w:val="ListParagraph"/>
        <w:numPr>
          <w:ilvl w:val="0"/>
          <w:numId w:val="2"/>
        </w:numPr>
        <w:spacing w:after="90" w:line="276"/>
        <w:jc w:val="both"/>
      </w:pPr>
      <w:r>
        <w:rPr>
          <w:sz w:val="20"/>
          <w:szCs w:val="20"/>
        </w:rPr>
        <w:t xml:space="preserve">Ítem agregado o eliminado del presupuesto.</w:t>
      </w:r>
    </w:p>
    <w:p>
      <w:pPr>
        <w:pStyle w:val="ListParagraph"/>
        <w:numPr>
          <w:ilvl w:val="0"/>
          <w:numId w:val="2"/>
        </w:numPr>
        <w:spacing w:after="90" w:line="276"/>
        <w:jc w:val="both"/>
      </w:pPr>
      <w:r>
        <w:rPr>
          <w:sz w:val="20"/>
          <w:szCs w:val="20"/>
        </w:rPr>
        <w:t xml:space="preserve">Cantidad de obra modificada.</w:t>
      </w:r>
    </w:p>
    <w:p>
      <w:pPr>
        <w:pStyle w:val="ListParagraph"/>
        <w:numPr>
          <w:ilvl w:val="0"/>
          <w:numId w:val="2"/>
        </w:numPr>
        <w:spacing w:after="90" w:line="276"/>
        <w:jc w:val="both"/>
      </w:pPr>
      <w:r>
        <w:rPr>
          <w:sz w:val="20"/>
          <w:szCs w:val="20"/>
        </w:rPr>
        <w:t xml:space="preserve">Precio unitario modificado.</w:t>
      </w:r>
    </w:p>
    <w:p>
      <w:pPr>
        <w:pStyle w:val="ListParagraph"/>
        <w:numPr>
          <w:ilvl w:val="0"/>
          <w:numId w:val="2"/>
        </w:numPr>
        <w:spacing w:after="90" w:line="276"/>
        <w:jc w:val="both"/>
      </w:pPr>
      <w:r>
        <w:rPr>
          <w:sz w:val="20"/>
          <w:szCs w:val="20"/>
        </w:rPr>
        <w:t xml:space="preserve">Capítulo agregado o eliminado.</w:t>
      </w:r>
    </w:p>
    <w:p>
      <w:pPr>
        <w:pStyle w:val="ListParagraph"/>
        <w:numPr>
          <w:ilvl w:val="0"/>
          <w:numId w:val="2"/>
        </w:numPr>
        <w:spacing w:after="90" w:line="276"/>
        <w:jc w:val="both"/>
      </w:pPr>
      <w:r>
        <w:rPr>
          <w:sz w:val="20"/>
          <w:szCs w:val="20"/>
        </w:rPr>
        <w:t>AIU o IVA modificados.</w:t>
      </w:r>
    </w:p>
    <w:p>
      <w:pPr>
        <w:pStyle w:val="ListParagraph"/>
        <w:numPr>
          <w:ilvl w:val="0"/>
          <w:numId w:val="2"/>
        </w:numPr>
        <w:spacing w:after="90" w:line="276"/>
        <w:jc w:val="both"/>
      </w:pPr>
      <w:r>
        <w:rPr>
          <w:sz w:val="20"/>
          <w:szCs w:val="20"/>
        </w:rPr>
        <w:t>Presupuesto archivado, desarchivado o eliminado.</w:t>
      </w:r>
    </w:p>
    <w:p>
      <w:pPr>
        <w:pStyle w:val="ListParagraph"/>
        <w:numPr>
          <w:ilvl w:val="0"/>
          <w:numId w:val="2"/>
        </w:numPr>
        <w:spacing w:after="90" w:line="276"/>
        <w:jc w:val="both"/>
      </w:pPr>
      <w:r>
        <w:rPr>
          <w:sz w:val="20"/>
          <w:szCs w:val="20"/>
        </w:rPr>
        <w:t>Precio de un recurso modificado.</w:t>
      </w:r>
    </w:p>
    <w:p>
      <w:pPr>
        <w:spacing w:after="120" w:before="0" w:line="276"/>
        <w:jc w:val="both"/>
      </w:pPr>
      <w:r>
        <w:rPr>
          <w:sz w:val="20"/>
          <w:szCs w:val="20"/>
        </w:rPr>
        <w:t xml:space="preserve">El panel tiene filtros por rango de fechas, por tipo de evento y por usuario responsable.</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historial no se edita</w:t>
            </w:r>
          </w:p>
          <w:p>
            <w:pPr>
              <w:spacing w:after="40" w:line="276"/>
              <w:jc w:val="both"/>
            </w:pPr>
            <w:r>
              <w:rPr>
                <w:sz w:val="19"/>
                <w:szCs w:val="19"/>
              </w:rPr>
              <w:t>Ningún usuario, de ningún rol, ni siquiera el Administrador, puede editar o eliminar un registro del historial o una versión. La interfaz no debe ofrecer esos controles, y si alguien intenta la operación por otra vía, la base de datos la rechaza. La única excepción es eliminar un presupuesto que nunca se activó (§9.7, RF-PRE-40, D-18): al borrarlo se va en cascada todo lo suyo, incluido su historial. Sobrevive un solo evento, PRESUPUESTO_ELIMINADO, con su justificación obligatoria y sin referencia al presupuesto —precisamente para que la cascada no se lo lleve—. No es una grieta en la regla: es que de un proyecto borrado queda la constancia de que existió y de por qué se borró, y nada más.</w:t>
            </w:r>
          </w:p>
        </w:tc>
      </w:tr>
    </w:tbl>
    <w:p>
      <w:pPr>
        <w:pStyle w:val="Heading1"/>
        <w:pBdr>
          <w:bottom w:val="single" w:color="13496B" w:sz="10" w:space="6"/>
        </w:pBdr>
        <w:spacing w:after="180" w:before="420"/>
      </w:pPr>
      <w:r>
        <w:rPr>
          <w:b/>
          <w:bCs/>
          <w:color w:val="13496B"/>
          <w:sz w:val="30"/>
          <w:szCs w:val="30"/>
        </w:rPr>
        <w:t>11. Configuración</w:t>
      </w:r>
    </w:p>
    <w:p>
      <w:pPr>
        <w:spacing w:after="120" w:before="0" w:line="276"/>
        <w:jc w:val="both"/>
      </w:pPr>
      <w:r>
        <w:rPr>
          <w:sz w:val="20"/>
          <w:szCs w:val="20"/>
        </w:rPr>
        <w:t xml:space="preserve">Se accede desde el ícono de engranaje del menú principal. La pantalla se organiza en pestañas y tiene el botón Volver en la parte superior izquierda.</w:t>
      </w:r>
    </w:p>
    <w:p>
      <w:pPr>
        <w:pStyle w:val="Heading2"/>
        <w:spacing w:after="120" w:before="300"/>
      </w:pPr>
      <w:r>
        <w:rPr>
          <w:b/>
          <w:bCs/>
          <w:color w:val="1F2933"/>
          <w:sz w:val="23"/>
          <w:szCs w:val="23"/>
        </w:rPr>
        <w:t>11.1 Mi cuenta</w:t>
      </w:r>
    </w:p>
    <w:p>
      <w:pPr>
        <w:spacing w:after="120" w:before="0" w:line="276"/>
        <w:jc w:val="both"/>
      </w:pPr>
      <w:r>
        <w:rPr>
          <w:sz w:val="20"/>
          <w:szCs w:val="20"/>
        </w:rPr>
        <w:t xml:space="preserve">Muestra de forma estática el nombre, el correo de ingreso y el rol del usuario en sesión. Un botón «Cambiar Contraseña» abre un pop-out que pide la contraseña actual —validada por el servidor—, la nueva y su confirmación.</w:t>
      </w:r>
    </w:p>
    <w:p>
      <w:pPr>
        <w:pStyle w:val="Heading2"/>
        <w:spacing w:after="120" w:before="300"/>
      </w:pPr>
      <w:r>
        <w:rPr>
          <w:b/>
          <w:bCs/>
          <w:color w:val="1F2933"/>
          <w:sz w:val="23"/>
          <w:szCs w:val="23"/>
        </w:rPr>
        <w:t>11.2 Datos de empresa</w:t>
      </w:r>
    </w:p>
    <w:p>
      <w:pPr>
        <w:spacing w:after="120" w:before="0" w:line="276"/>
        <w:jc w:val="both"/>
      </w:pPr>
      <w:r>
        <w:rPr>
          <w:sz w:val="20"/>
          <w:szCs w:val="20"/>
        </w:rPr>
        <w:t>Formulario con razón social, NIT, dirección y teléfono, los cuatro editables, más la carga del logotipo en PNG o JPG. Si el NIT ya existe en otra empresa, el mensaje lo dice y pide revisarlo. El logo y el NIT se imprimen automáticamente en el encabezado de todos los PDF y exportaciones.</w:t>
      </w:r>
    </w:p>
    <w:p>
      <w:pPr>
        <w:pStyle w:val="Heading2"/>
        <w:spacing w:after="120" w:before="300"/>
      </w:pPr>
      <w:r>
        <w:rPr>
          <w:b/>
          <w:bCs/>
          <w:color w:val="1F2933"/>
          <w:sz w:val="23"/>
          <w:szCs w:val="23"/>
        </w:rPr>
        <w:t>11.3 Suscripción</w:t>
      </w:r>
    </w:p>
    <w:p>
      <w:pPr>
        <w:spacing w:after="120" w:before="0" w:line="276"/>
        <w:jc w:val="both"/>
      </w:pPr>
      <w:r>
        <w:rPr>
          <w:sz w:val="20"/>
          <w:szCs w:val="20"/>
        </w:rPr>
        <w:t>Muestra el plan activo, el estado de la suscripción —En prueba, Activa, Vencida o Cancelada—, la fecha de vencimiento y los días restantes. «Vencida» no es un estado guardado: la interfaz lo deriva comparando la fecha de vencimiento con hoy, y desaparece solo en el instante en que se registra el pago. «Cancelada» sí es un estado, y solo lo escribe el superadministrador después de hablar con el cliente (D-25). Si la empresa está en período de prueba, la pantalla indica cuántos días quedan y cómo hacer el pago.</w:t>
      </w:r>
    </w:p>
    <w:p>
      <w:pPr>
        <w:spacing w:after="120" w:before="0" w:line="276"/>
        <w:jc w:val="both"/>
      </w:pPr>
      <w:r>
        <w:rPr>
          <w:sz w:val="20"/>
          <w:szCs w:val="20"/>
        </w:rPr>
        <w:t xml:space="preserve">Debajo, la tabla del historial de facturación con fecha, concepto, monto, método de pago y estado, y un botón por fila para descargar el comprobante en PDF.</w:t>
      </w:r>
    </w:p>
    <w:p>
      <w:pPr>
        <w:spacing w:after="6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pago no se hace desde el sistema</w:t>
            </w:r>
          </w:p>
          <w:p>
            <w:pPr>
              <w:spacing w:after="40" w:line="276"/>
              <w:jc w:val="both"/>
            </w:pPr>
            <w:r>
              <w:rPr>
                <w:sz w:val="19"/>
                <w:szCs w:val="19"/>
              </w:rPr>
              <w:t xml:space="preserve">En el MVP no hay pasarela de pagos. El cliente paga por transferencia o PSE y el superadministrador registra el pago, que extiende la fecha de vencimiento. Esta pestaña muestra el estado y los datos para pagar; no cobra.</w:t>
            </w:r>
          </w:p>
        </w:tc>
      </w:tr>
    </w:tbl>
    <w:p>
      <w:pPr>
        <w:pStyle w:val="Heading2"/>
        <w:spacing w:after="120" w:before="300"/>
      </w:pPr>
      <w:r>
        <w:rPr>
          <w:b/>
          <w:bCs/>
          <w:color w:val="1F2933"/>
          <w:sz w:val="23"/>
          <w:szCs w:val="23"/>
        </w:rPr>
        <w:t>11.4 Usuarios</w:t>
      </w:r>
    </w:p>
    <w:p>
      <w:pPr>
        <w:spacing w:after="120" w:before="0" w:line="276"/>
        <w:jc w:val="both"/>
      </w:pPr>
      <w:r>
        <w:rPr>
          <w:sz w:val="20"/>
          <w:szCs w:val="20"/>
        </w:rPr>
        <w:t xml:space="preserve">El contenido depende del plan: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800"/>
        <w:gridCol w:w="7220"/>
      </w:tblGrid>
      <w:tr>
        <w:trPr>
          <w:cantSplit/>
          <w:tblHeader/>
        </w:trPr>
        <w:tc>
          <w:tcPr>
            <w:tcW w:type="dxa" w:w="1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Plan</w:t>
            </w:r>
          </w:p>
        </w:tc>
        <w:tc>
          <w:tcPr>
            <w:tcW w:type="dxa" w:w="72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ofrece</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Personal</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El ingeniero crea a su único asistente: nombre, correo, rol y permisos granulares por módulo y acción. No fija la contraseña.</w:t>
            </w:r>
          </w:p>
        </w:tc>
      </w:tr>
      <w:tr>
        <w:trPr>
          <w:cantSplit/>
        </w:trPr>
        <w:tc>
          <w:tcPr>
            <w:tcW w:type="dxa" w:w="1800"/>
            <w:shd w:fill="F7F9FA" w:color="auto" w:val="clear"/>
            <w:tcMar>
              <w:top w:type="dxa" w:w="70"/>
              <w:left w:type="dxa" w:w="110"/>
              <w:bottom w:type="dxa" w:w="70"/>
              <w:right w:type="dxa" w:w="110"/>
            </w:tcMar>
          </w:tcPr>
          <w:p>
            <w:pPr>
              <w:spacing w:after="40" w:before="40" w:line="240"/>
              <w:jc w:val="left"/>
            </w:pPr>
            <w:r>
              <w:rPr>
                <w:sz w:val="18"/>
                <w:szCs w:val="18"/>
              </w:rPr>
              <w:t xml:space="preserve">Empresarial</w:t>
            </w:r>
          </w:p>
        </w:tc>
        <w:tc>
          <w:tcPr>
            <w:tcW w:type="dxa" w:w="7220"/>
            <w:shd w:fill="F7F9FA" w:color="auto" w:val="clear"/>
            <w:tcMar>
              <w:top w:type="dxa" w:w="70"/>
              <w:left w:type="dxa" w:w="110"/>
              <w:bottom w:type="dxa" w:w="70"/>
              <w:right w:type="dxa" w:w="110"/>
            </w:tcMar>
          </w:tcPr>
          <w:p>
            <w:pPr>
              <w:spacing w:after="40" w:before="40" w:line="240"/>
              <w:jc w:val="left"/>
            </w:pPr>
            <w:r>
              <w:rPr>
                <w:sz w:val="18"/>
                <w:szCs w:val="18"/>
              </w:rPr>
              <w:t>Panel completo. El administrador crea roles personalizados, les asigna permisos por módulo y acción, y da de alta usuarios asignándoles un rol. Tampoco fija contraseñas.</w:t>
            </w:r>
          </w:p>
        </w:tc>
      </w:tr>
    </w:tbl>
    <w:p>
      <w:pPr>
        <w:spacing w:after="120" w:before="0" w:line="276"/>
        <w:jc w:val="both"/>
      </w:pPr>
      <w:r>
        <w:rPr>
          <w:sz w:val="20"/>
          <w:szCs w:val="20"/>
        </w:rPr>
        <w:t>El administrador crea el usuario con nombre, correo y rol, sin contraseña. Al guardar, el sistema envía un enlace de activación de un solo uso, vigente 72 horas: el usuario lo abre, elige su propia contraseña y queda Activo. Si el enlace vence, el administrador lo reenvía desde la misma tabla y el anterior deja de servir (RF-AUT-18).</w:t>
      </w:r>
    </w:p>
    <w:p>
      <w:pPr>
        <w:spacing w:after="120" w:before="0" w:line="276"/>
        <w:jc w:val="both"/>
      </w:pPr>
      <w:r>
        <w:rPr>
          <w:sz w:val="20"/>
          <w:szCs w:val="20"/>
        </w:rPr>
        <w:t xml:space="preserve">La tabla de usuarios muestra el estado de cada uno y permite revocar el acceso: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800"/>
        <w:gridCol w:w="7220"/>
      </w:tblGrid>
      <w:tr>
        <w:trPr>
          <w:cantSplit/>
          <w:tblHeader/>
        </w:trPr>
        <w:tc>
          <w:tcPr>
            <w:tcW w:type="dxa" w:w="1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w:t>
            </w:r>
          </w:p>
        </w:tc>
        <w:tc>
          <w:tcPr>
            <w:tcW w:type="dxa" w:w="72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Significado</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Pendiente</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Invitado, aún no ha abierto el enlace de activación</w:t>
            </w:r>
          </w:p>
        </w:tc>
      </w:tr>
      <w:tr>
        <w:trPr>
          <w:cantSplit/>
        </w:trPr>
        <w:tc>
          <w:tcPr>
            <w:tcW w:type="dxa" w:w="1800"/>
            <w:shd w:fill="F7F9FA" w:color="auto" w:val="clear"/>
            <w:tcMar>
              <w:top w:type="dxa" w:w="70"/>
              <w:left w:type="dxa" w:w="110"/>
              <w:bottom w:type="dxa" w:w="70"/>
              <w:right w:type="dxa" w:w="110"/>
            </w:tcMar>
          </w:tcPr>
          <w:p>
            <w:pPr>
              <w:spacing w:after="40" w:before="40" w:line="240"/>
              <w:jc w:val="left"/>
            </w:pPr>
            <w:r>
              <w:rPr>
                <w:sz w:val="18"/>
                <w:szCs w:val="18"/>
              </w:rPr>
              <w:t xml:space="preserve">Activo</w:t>
            </w:r>
          </w:p>
        </w:tc>
        <w:tc>
          <w:tcPr>
            <w:tcW w:type="dxa" w:w="7220"/>
            <w:shd w:fill="F7F9FA" w:color="auto" w:val="clear"/>
            <w:tcMar>
              <w:top w:type="dxa" w:w="70"/>
              <w:left w:type="dxa" w:w="110"/>
              <w:bottom w:type="dxa" w:w="70"/>
              <w:right w:type="dxa" w:w="110"/>
            </w:tcMar>
          </w:tcPr>
          <w:p>
            <w:pPr>
              <w:spacing w:after="40" w:before="40" w:line="240"/>
              <w:jc w:val="left"/>
            </w:pPr>
            <w:r>
              <w:rPr>
                <w:sz w:val="18"/>
                <w:szCs w:val="18"/>
              </w:rPr>
              <w:t>Fijó su contraseña al consumir el enlace de activación</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Revocado</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 xml:space="preserve">Se le retiró el acceso. El usuario se conserva para la trazabilidad del historial</w:t>
            </w:r>
          </w:p>
        </w:tc>
      </w:tr>
    </w:tbl>
    <w:p>
      <w:pPr>
        <w:spacing w:after="120" w:before="0" w:line="276"/>
        <w:jc w:val="both"/>
      </w:pPr>
      <w:r>
        <w:rPr>
          <w:sz w:val="20"/>
          <w:szCs w:val="20"/>
        </w:rPr>
        <w:t>Los permisos se otorgan por módulo y acción: Recursos (ver, crear, editar, eliminar), APU (ver, crear, editar, eliminar), Presupuestos (ver, crear, editar, exportar, duplicar), Configuración (datos de empresa, preferencias y ver suscripción) y Usuarios (gestionar). Son los mismos códigos del catálogo app.permiso del esquema. «Ver» es prerrequisito de las demás acciones de su módulo: marcar cualquiera marca «Ver» también, y «Ver» no se puede desmarcar mientras quede otra acción del módulo (RF-CFG-25). El cambio de estado del proyecto no es un permiso delegable: es exclusivo del Administrador. Y el rol Administrador tampoco se fabrica desde aquí: los roles que la pestaña crea son siempre personalizados, porque los de sistema —Administrador y Asistente— nacen con la empresa y su tipo no se puede cambiar (D-44). La interfaz no ofrece la opción.</w:t>
      </w:r>
    </w:p>
    <w:p>
      <w:pPr>
        <w:spacing w:after="120"/>
      </w:pPr>
      <w:r>
        <w:t>La pestaña no deja revocar, cambiar de rol ni eliminar al único usuario activo con rol Administrador. El mensaje lo nombra: «es el único administrador activo de la empresa». El registro pide además un correo de recuperación distinto del correo de ingreso, y el superadministrador puede designar un administrador nuevo si la empresa igualmente se queda sin ninguno (D-29, RF-SAD-14).</w:t>
      </w:r>
    </w:p>
    <w:p>
      <w:pPr>
        <w:pStyle w:val="Heading2"/>
        <w:spacing w:after="120" w:before="300"/>
      </w:pPr>
      <w:r>
        <w:rPr>
          <w:b/>
          <w:bCs/>
          <w:color w:val="1F2933"/>
          <w:sz w:val="23"/>
          <w:szCs w:val="23"/>
        </w:rPr>
        <w:t>11.5 Preferencias del sistema</w:t>
      </w:r>
    </w:p>
    <w:p>
      <w:pPr>
        <w:pStyle w:val="ListParagraph"/>
        <w:numPr>
          <w:ilvl w:val="0"/>
          <w:numId w:val="2"/>
        </w:numPr>
        <w:spacing w:after="90" w:line="276"/>
        <w:jc w:val="both"/>
      </w:pPr>
      <w:r>
        <w:rPr>
          <w:sz w:val="20"/>
          <w:szCs w:val="20"/>
        </w:rPr>
        <w:t>Moneda base de la empresa. El MVP solo ofrece el peso colombiano (COP); el selector queda preparado para cuando se agreguen más divisas al catálogo. Solo se puede cambiar mientras no existan recursos, APU ni presupuestos registrados; después queda bloqueada.</w:t>
      </w:r>
    </w:p>
    <w:p>
      <w:pPr>
        <w:pStyle w:val="ListParagraph"/>
        <w:numPr>
          <w:ilvl w:val="0"/>
          <w:numId w:val="2"/>
        </w:numPr>
        <w:spacing w:after="90" w:line="276"/>
        <w:jc w:val="both"/>
      </w:pPr>
      <w:r>
        <w:rPr>
          <w:sz w:val="20"/>
          <w:szCs w:val="20"/>
        </w:rPr>
        <w:t xml:space="preserve">Separador de miles y separador decimal, con vista previa del formato resultante.</w:t>
      </w:r>
    </w:p>
    <w:p>
      <w:pPr>
        <w:pStyle w:val="ListParagraph"/>
        <w:numPr>
          <w:ilvl w:val="0"/>
          <w:numId w:val="2"/>
        </w:numPr>
        <w:spacing w:after="90" w:line="276"/>
        <w:jc w:val="both"/>
      </w:pPr>
      <w:r>
        <w:rPr>
          <w:sz w:val="20"/>
          <w:szCs w:val="20"/>
        </w:rPr>
        <w:t xml:space="preserve">Número de decimales a mostrar: 0, 1 o 2, tanto en pantalla como en impresión.</w:t>
      </w:r>
    </w:p>
    <w:p>
      <w:pPr>
        <w:pStyle w:val="Heading2"/>
        <w:spacing w:after="120" w:before="300"/>
      </w:pPr>
      <w:r>
        <w:rPr>
          <w:b/>
          <w:bCs/>
          <w:color w:val="1F2933"/>
          <w:sz w:val="23"/>
          <w:szCs w:val="23"/>
        </w:rPr>
        <w:t>11.6 Parametrización</w:t>
      </w:r>
    </w:p>
    <w:p>
      <w:pPr>
        <w:pStyle w:val="Heading3"/>
        <w:spacing w:after="100" w:before="220"/>
      </w:pPr>
      <w:r>
        <w:rPr>
          <w:b/>
          <w:bCs/>
          <w:color w:val="5A6874"/>
          <w:sz w:val="20"/>
          <w:szCs w:val="20"/>
        </w:rPr>
        <w:t>Sin AIU estándar</w:t>
      </w:r>
    </w:p>
    <w:p>
      <w:pPr>
        <w:spacing w:after="120" w:before="0" w:line="276"/>
        <w:jc w:val="both"/>
      </w:pPr>
      <w:r>
        <w:rPr>
          <w:sz w:val="20"/>
          <w:szCs w:val="20"/>
        </w:rPr>
        <w:t>La parametrización de la empresa no incluye el AIU ni el IVA. Los cuatro porcentajes son de cada presupuesto y se editan en su mesa de trabajo: el AIU se negocia obra por obra, así que precargarlo desde aquí haría que una oferta saliera con el AIU de otra sin que nadie lo note (D-41). Al crear un presupuesto, el AIU nace en cero y el IVA en 19 %.</w:t>
      </w:r>
    </w:p>
    <w:p>
      <w:pPr>
        <w:pStyle w:val="Heading3"/>
        <w:spacing w:after="100" w:before="220"/>
      </w:pPr>
      <w:r>
        <w:rPr>
          <w:b/>
          <w:bCs/>
          <w:color w:val="5A6874"/>
          <w:sz w:val="20"/>
          <w:szCs w:val="20"/>
        </w:rPr>
        <w:t xml:space="preserve">Unidades de medida</w:t>
      </w:r>
    </w:p>
    <w:p>
      <w:pPr>
        <w:spacing w:after="120" w:before="0" w:line="276"/>
        <w:jc w:val="both"/>
      </w:pPr>
      <w:r>
        <w:rPr>
          <w:sz w:val="20"/>
          <w:szCs w:val="20"/>
        </w:rPr>
        <w:t xml:space="preserve">Lista maestra editable de las unidades oficiales de la empresa, con símbolo y descripción. Bloquea la entrada de datos basura por parte de otros usuarios.</w:t>
      </w:r>
    </w:p>
    <w:p>
      <w:pPr>
        <w:spacing w:after="120" w:before="0" w:line="276"/>
        <w:jc w:val="both"/>
      </w:pPr>
      <w:r>
        <w:rPr>
          <w:sz w:val="20"/>
          <w:szCs w:val="20"/>
        </w:rPr>
        <w:t xml:space="preserve">La empresa nace con estas doce, las estándar de la construcción en Colombia:</w:t>
      </w:r>
    </w:p>
    <w:tbl>
      <w:tblPr>
        <w:tblW w:type="dxa" w:w="7000"/>
        <w:tblBorders>
          <w:top w:val="single" w:color="D4DAE0" w:sz="2"/>
          <w:left w:val="none" w:color="FFFFFF" w:sz="0"/>
          <w:bottom w:val="single" w:color="D4DAE0" w:sz="2"/>
          <w:right w:val="none" w:color="FFFFFF" w:sz="0"/>
          <w:insideH w:val="single" w:color="E4E8EC" w:sz="2"/>
          <w:insideV w:val="none" w:color="FFFFFF" w:sz="0"/>
        </w:tblBorders>
      </w:tblPr>
      <w:tblGrid>
        <w:gridCol w:w="1100"/>
        <w:gridCol w:w="2400"/>
        <w:gridCol w:w="1100"/>
        <w:gridCol w:w="2400"/>
      </w:tblGrid>
      <w:tr>
        <w:trPr>
          <w:cantSplit/>
          <w:tblHeader/>
        </w:trPr>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Símbolo</w:t>
            </w:r>
          </w:p>
        </w:tc>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Descripción</w:t>
            </w:r>
          </w:p>
        </w:tc>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Símbolo</w:t>
            </w:r>
          </w:p>
        </w:tc>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Descripción</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m</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Metro</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Glb</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Global</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m²</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Metro cuadrado</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Gal</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Galón</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m³</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Metro cúbico</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Lt</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Litro</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Kg</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Kilogramo</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Ms</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Mes</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Und</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Unidad</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X</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Todo costo</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Hr</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Hora</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Jr</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Jornal</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
            </w:r>
          </w:p>
        </w:tc>
      </w:tr>
    </w:tbl>
    <w:p>
      <w:pPr>
        <w:spacing w:after="120" w:before="0" w:line="276"/>
        <w:jc w:val="both"/>
      </w:pPr>
      <w:r>
        <w:rPr>
          <w:sz w:val="20"/>
          <w:szCs w:val="20"/>
        </w:rPr>
        <w:t xml:space="preserve">No es una lista cerrada: el usuario puede renombrarlas, eliminar las que no use y crear las suyas, incluidas las de otro sistema de medida si trabaja fuera de Colombia.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500"/>
        <w:gridCol w:w="7520"/>
      </w:tblGrid>
      <w:tr>
        <w:trPr>
          <w:cantSplit/>
          <w:tblHeader/>
        </w:trPr>
        <w:tc>
          <w:tcPr>
            <w:tcW w:type="dxa" w:w="15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Acción</w:t>
            </w:r>
          </w:p>
        </w:tc>
        <w:tc>
          <w:tcPr>
            <w:tcW w:type="dxa" w:w="75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Crear</w:t>
            </w:r>
          </w:p>
        </w:tc>
        <w:tc>
          <w:tcPr>
            <w:tcW w:type="dxa" w:w="7520"/>
            <w:shd w:fill="auto" w:color="auto" w:val="clear"/>
            <w:tcMar>
              <w:top w:type="dxa" w:w="70"/>
              <w:left w:type="dxa" w:w="110"/>
              <w:bottom w:type="dxa" w:w="70"/>
              <w:right w:type="dxa" w:w="110"/>
            </w:tcMar>
          </w:tcPr>
          <w:p>
            <w:pPr>
              <w:spacing w:after="40" w:before="40" w:line="240"/>
              <w:jc w:val="left"/>
            </w:pPr>
            <w:r>
              <w:rPr>
                <w:sz w:val="18"/>
                <w:szCs w:val="18"/>
              </w:rPr>
              <w:t>Pide símbolo y descripción. Si el símbolo ya existe en la empresa, muestra el error y pide uno distinto. La comparación no distingue mayúsculas: «Kg» y «kg» son el mismo símbolo y no pueden convivir, que es exactamente la entrada de datos basura que esta lista existe para impedir (D-31).</w:t>
            </w:r>
          </w:p>
        </w:tc>
      </w:tr>
      <w:tr>
        <w:trPr>
          <w:cantSplit/>
        </w:trPr>
        <w:tc>
          <w:tcPr>
            <w:tcW w:type="dxa" w:w="1500"/>
            <w:shd w:fill="F7F9FA" w:color="auto" w:val="clear"/>
            <w:tcMar>
              <w:top w:type="dxa" w:w="70"/>
              <w:left w:type="dxa" w:w="110"/>
              <w:bottom w:type="dxa" w:w="70"/>
              <w:right w:type="dxa" w:w="110"/>
            </w:tcMar>
          </w:tcPr>
          <w:p>
            <w:pPr>
              <w:spacing w:after="40" w:before="40" w:line="240"/>
              <w:jc w:val="left"/>
            </w:pPr>
            <w:r>
              <w:rPr>
                <w:sz w:val="18"/>
                <w:szCs w:val="18"/>
              </w:rPr>
              <w:t xml:space="preserve">Editar</w:t>
            </w:r>
          </w:p>
        </w:tc>
        <w:tc>
          <w:tcPr>
            <w:tcW w:type="dxa" w:w="7520"/>
            <w:shd w:fill="F7F9FA" w:color="auto" w:val="clear"/>
            <w:tcMar>
              <w:top w:type="dxa" w:w="70"/>
              <w:left w:type="dxa" w:w="110"/>
              <w:bottom w:type="dxa" w:w="70"/>
              <w:right w:type="dxa" w:w="110"/>
            </w:tcMar>
          </w:tcPr>
          <w:p>
            <w:pPr>
              <w:spacing w:after="40" w:before="40" w:line="240"/>
              <w:jc w:val="left"/>
            </w:pPr>
            <w:r>
              <w:rPr>
                <w:sz w:val="18"/>
                <w:szCs w:val="18"/>
              </w:rPr>
              <w:t xml:space="preserve">Permite modificar símbolo o descripción, con la misma validación de duplicado.</w:t>
            </w:r>
          </w:p>
        </w:tc>
      </w:tr>
      <w:tr>
        <w:trPr>
          <w:cantSplit/>
        </w:trPr>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Eliminar</w:t>
            </w:r>
          </w:p>
        </w:tc>
        <w:tc>
          <w:tcPr>
            <w:tcW w:type="dxa" w:w="7520"/>
            <w:shd w:fill="auto" w:color="auto" w:val="clear"/>
            <w:tcMar>
              <w:top w:type="dxa" w:w="70"/>
              <w:left w:type="dxa" w:w="110"/>
              <w:bottom w:type="dxa" w:w="70"/>
              <w:right w:type="dxa" w:w="110"/>
            </w:tcMar>
          </w:tcPr>
          <w:p>
            <w:pPr>
              <w:spacing w:after="40" w:before="40" w:line="240"/>
              <w:jc w:val="left"/>
            </w:pPr>
            <w:r>
              <w:rPr>
                <w:sz w:val="18"/>
                <w:szCs w:val="18"/>
              </w:rPr>
              <w:t xml:space="preserve">Si la unidad está en uso en algún recurso o APU, la eliminación se bloquea con un mensaje explicativo. Si no, pide confirmación.</w:t>
            </w:r>
          </w:p>
        </w:tc>
      </w:tr>
    </w:tbl>
    <w:p>
      <w:pPr>
        <w:spacing w:after="120" w:before="0" w:line="276"/>
        <w:jc w:val="both"/>
      </w:pPr>
      <w:r>
        <w:rPr>
          <w:sz w:val="20"/>
          <w:szCs w:val="20"/>
        </w:rPr>
        <w:t xml:space="preserve">Las unidades creadas quedan disponibles de inmediato en el selector de Recursos y de APU.</w:t>
      </w:r>
    </w:p>
    <w:p>
      <w:pPr>
        <w:spacing w:after="120"/>
      </w:pPr>
      <w:r>
        <w:t>Cambiar la unidad de un recurso o de un APU que ya está en uso queda bloqueado. El mensaje dice en cuántos APU o presupuestos está en uso y sugiere crear un recurso nuevo con la unidad correcta. Ajustar los rendimientos exigiría un factor de conversión que el sistema no tiene ni puede deducir, porque las unidades son símbolos de texto que cada empresa define libremente (D-31).</w:t>
      </w:r>
    </w:p>
    <w:p>
      <w:pPr>
        <w:pStyle w:val="Heading2"/>
        <w:spacing w:after="120" w:before="300"/>
      </w:pPr>
      <w:r>
        <w:rPr>
          <w:b/>
          <w:bCs/>
          <w:color w:val="1F2933"/>
          <w:sz w:val="23"/>
          <w:szCs w:val="23"/>
        </w:rPr>
        <w:t>11.7 Notificaciones</w:t>
      </w:r>
    </w:p>
    <w:p>
      <w:pPr>
        <w:spacing w:after="120" w:before="0" w:line="276"/>
        <w:jc w:val="both"/>
      </w:pPr>
      <w:r>
        <w:rPr>
          <w:sz w:val="20"/>
          <w:szCs w:val="20"/>
        </w:rPr>
        <w:t xml:space="preserve">Casillas para activar o desactivar los avisos por correo: fin del período de prueba con dos días de anticipación, vencimiento de la suscripción con cinco días y cambios de estado del proyecto (RF-CFG-21).</w:t>
      </w:r>
    </w:p>
    <w:p>
      <w:pPr>
        <w:pStyle w:val="Heading1"/>
        <w:pBdr>
          <w:bottom w:val="single" w:color="13496B" w:sz="10" w:space="6"/>
        </w:pBdr>
        <w:spacing w:after="180" w:before="420"/>
      </w:pPr>
      <w:r>
        <w:rPr>
          <w:b/>
          <w:bCs/>
          <w:color w:val="13496B"/>
          <w:sz w:val="30"/>
          <w:szCs w:val="30"/>
        </w:rPr>
        <w:t>12. Lo que no se construye</w:t>
      </w:r>
    </w:p>
    <w:p>
      <w:pPr>
        <w:spacing w:after="120" w:before="0" w:line="276"/>
        <w:jc w:val="both"/>
      </w:pPr>
      <w:r>
        <w:rPr>
          <w:sz w:val="20"/>
          <w:szCs w:val="20"/>
        </w:rPr>
        <w:t>Estas funciones se nombran en algún punto del producto o son las que cualquiera esperaría encontrar en un sistema de presupuestación. Ninguna se programa en el MVP, y la lista existe para que no se cuelen.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200"/>
        <w:gridCol w:w="2620"/>
      </w:tblGrid>
      <w:tr>
        <w:trPr>
          <w:cantSplit/>
          <w:tblHeader/>
        </w:trPr>
        <w:tc>
          <w:tcPr>
            <w:tcW w:type="dxa" w:w="3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Función</w:t>
            </w:r>
          </w:p>
        </w:tc>
        <w:tc>
          <w:tcPr>
            <w:tcW w:type="dxa" w:w="2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Plantilla de capítulos base preconfigurable</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La duplicación de proyectos cubre el caso</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Importación masiva de recursos y APU por Excel</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Paleta de colores corporativa inyectada en los PDF</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El PDF usa logo y NIT únicamente</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Formulario de soporte técnico con tickets y adjuntos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Sin requisito</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Solicitud de activación del Editor al Administrador</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No existe. Activar es exclusivo del Administrador</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Módulo de órdenes de cambio con campos y aprobaciones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No existe. Se resuelve con reapertura justificada</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Edición directa de un proyecto en estado Activo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No existe. Hay que reabrir</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Rol Lector / Cliente con acceso al sistema</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En el MVP el cliente recibe el PDF</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Selector de moneda por proyecto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La moneda se hereda de la empresa</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Pasarela de pagos y cobro recurrente automático</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En el MVP el cobro es manual</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Avance físico: cantidad ejecutada, % de avance y valor ejecutado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Fase 2, dentro del control de obra (D-43). El MVP termina en la línea base aprobada</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Compras, inventario, vales de salida, contratos, anticipos, otrosíes</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completa</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Reportes, indicadores EVM, cubos de datos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 3</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Cronograma o Gantt, facturación electrónica del constructor a su cliente final, integración BIM/CAD</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Fuera del producto, de forma permanente</w:t>
            </w:r>
          </w:p>
        </w:tc>
      </w:tr>
    </w:tbl>
    <w:p>
      <w:pPr>
        <w:spacing w:after="200"/>
      </w:pPr>
    </w:p>
    <w:p>
      <w:pPr>
        <w:spacing w:after="120" w:before="0" w:line="276"/>
        <w:jc w:val="center"/>
      </w:pPr>
      <w:r>
        <w:rPr>
          <w:i/>
          <w:iCs/>
          <w:color w:val="7A8896"/>
          <w:sz w:val="20"/>
          <w:szCs w:val="20"/>
        </w:rPr>
        <w:t xml:space="preserve">— Fin del documento —</w:t>
      </w:r>
    </w:p>
    <w:sectPr>
      <w:headerReference w:type="default" r:id="rId7"/>
      <w:headerReference w:type="first" r:id="rId8"/>
      <w:footerReference w:type="default" r:id="rId9"/>
      <w:footerReference w:type="first" r:id="rId10"/>
      <w:headerReference w:type="even" r:id="rId12"/>
      <w:footerReference w:type="even" r:id="rId13"/>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7A3"/>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4DAE0" w:sz="4" w:space="4"/>
      </w:pBdr>
      <w:jc w:val="right"/>
    </w:pPr>
    <w:r>
      <w:rPr>
        <w:color w:val="8A97A3"/>
        <w:sz w:val="15"/>
        <w:szCs w:val="15"/>
      </w:rPr>
      <w:t>CONSTRUSOFT · Guía de comportamiento de interfaz</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 Id="rId12" Type="http://schemas.openxmlformats.org/officeDocument/2006/relationships/header" Target="header3.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Comportamiento de interfaz</dc:title>
  <dc:creator>Juan Sebastián Lopera Ayala</dc:creator>
  <cp:lastModifiedBy>Un-named</cp:lastModifiedBy>
  <cp:revision>1</cp:revision>
  <dcterms:created xsi:type="dcterms:W3CDTF">2026-09-15T05:20:09.454Z</dcterms:created>
  <dcterms:modified xsi:type="dcterms:W3CDTF">2026-09-15T05:20:09.454Z</dcterms:modified>
</cp:coreProperties>
</file>

<file path=docProps/custom.xml><?xml version="1.0" encoding="utf-8"?>
<Properties xmlns="http://schemas.openxmlformats.org/officeDocument/2006/custom-properties" xmlns:vt="http://schemas.openxmlformats.org/officeDocument/2006/docPropsVTypes"/>
</file>