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200"/>
      </w:pPr>
      <w:r>
        <w:rPr>
          <w:b/>
          <w:bCs/>
          <w:caps/>
          <w:color w:val="7A8896"/>
          <w:spacing w:val="60"/>
          <w:sz w:val="17"/>
          <w:szCs w:val="17"/>
        </w:rPr>
        <w:t xml:space="preserve">Paquete de desarrollo</w:t>
      </w:r>
    </w:p>
    <w:p>
      <w:pPr>
        <w:spacing w:after="120"/>
      </w:pPr>
      <w:r>
        <w:rPr>
          <w:b/>
          <w:bCs/>
          <w:color w:val="13496B"/>
          <w:sz w:val="44"/>
          <w:szCs w:val="44"/>
        </w:rPr>
        <w:t xml:space="preserve">Plan por fases</w:t>
      </w:r>
    </w:p>
    <w:p>
      <w:pPr>
        <w:pBdr>
          <w:bottom w:val="single" w:color="13496B" w:sz="12" w:space="10"/>
        </w:pBdr>
        <w:spacing w:after="700"/>
      </w:pPr>
      <w:r>
        <w:rPr>
          <w:color w:val="3C4A57"/>
          <w:sz w:val="24"/>
          <w:szCs w:val="24"/>
        </w:rPr>
        <w:t>En qué orden construir el MVP, cómo saber que una fase terminó y qué sigue después</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2400"/>
        <w:gridCol w:w="6620"/>
      </w:tblGrid>
      <w:tr>
        <w:trPr>
          <w:cantSplit/>
        </w:trPr>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Documento</w:t>
            </w:r>
          </w:p>
        </w:tc>
        <w:tc>
          <w:tcPr>
            <w:tcW w:type="dxa" w:w="6620"/>
            <w:shd w:fill="auto" w:color="auto" w:val="clear"/>
            <w:tcMar>
              <w:top w:type="dxa" w:w="70"/>
              <w:left w:type="dxa" w:w="110"/>
              <w:bottom w:type="dxa" w:w="70"/>
              <w:right w:type="dxa" w:w="110"/>
            </w:tcMar>
          </w:tcPr>
          <w:p>
            <w:pPr>
              <w:spacing w:after="40" w:before="40" w:line="240"/>
              <w:jc w:val="left"/>
            </w:pPr>
            <w:r>
              <w:rPr>
                <w:sz w:val="18"/>
                <w:szCs w:val="18"/>
              </w:rPr>
              <w:t xml:space="preserve">03 de 07</w:t>
            </w:r>
          </w:p>
        </w:tc>
      </w:tr>
      <w:tr>
        <w:trPr>
          <w:cantSplit/>
        </w:trPr>
        <w:tc>
          <w:tcPr>
            <w:tcW w:type="dxa" w:w="2400"/>
            <w:shd w:fill="F7F9FA" w:color="auto" w:val="clear"/>
            <w:tcMar>
              <w:top w:type="dxa" w:w="70"/>
              <w:left w:type="dxa" w:w="110"/>
              <w:bottom w:type="dxa" w:w="70"/>
              <w:right w:type="dxa" w:w="110"/>
            </w:tcMar>
          </w:tcPr>
          <w:p>
            <w:pPr>
              <w:spacing w:after="40" w:before="40" w:line="240"/>
              <w:jc w:val="left"/>
            </w:pPr>
            <w:r>
              <w:rPr>
                <w:sz w:val="18"/>
                <w:szCs w:val="18"/>
              </w:rPr>
              <w:t xml:space="preserve">Fecha</w:t>
            </w:r>
          </w:p>
        </w:tc>
        <w:tc>
          <w:tcPr>
            <w:tcW w:type="dxa" w:w="6620"/>
            <w:shd w:fill="F7F9FA" w:color="auto" w:val="clear"/>
            <w:tcMar>
              <w:top w:type="dxa" w:w="70"/>
              <w:left w:type="dxa" w:w="110"/>
              <w:bottom w:type="dxa" w:w="70"/>
              <w:right w:type="dxa" w:w="110"/>
            </w:tcMar>
          </w:tcPr>
          <w:p>
            <w:pPr>
              <w:spacing w:after="40" w:before="40" w:line="240"/>
              <w:jc w:val="left"/>
            </w:pPr>
            <w:r>
              <w:rPr>
                <w:sz w:val="18"/>
                <w:szCs w:val="18"/>
              </w:rPr>
              <w:t xml:space="preserve">16 de septiembre de 2026 · revisiones del 22 de septiembre, del 14 y del 16 de octubre de 2026</w:t>
            </w:r>
          </w:p>
        </w:tc>
      </w:tr>
      <w:tr>
        <w:trPr>
          <w:cantSplit/>
        </w:trPr>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Alcance</w:t>
            </w:r>
          </w:p>
        </w:tc>
        <w:tc>
          <w:tcPr>
            <w:tcW w:type="dxa" w:w="6620"/>
            <w:shd w:fill="auto" w:color="auto" w:val="clear"/>
            <w:tcMar>
              <w:top w:type="dxa" w:w="70"/>
              <w:left w:type="dxa" w:w="110"/>
              <w:bottom w:type="dxa" w:w="70"/>
              <w:right w:type="dxa" w:w="110"/>
            </w:tcMar>
          </w:tcPr>
          <w:p>
            <w:pPr>
              <w:spacing w:after="40" w:before="40" w:line="240"/>
              <w:jc w:val="left"/>
            </w:pPr>
            <w:r>
              <w:rPr>
                <w:sz w:val="18"/>
                <w:szCs w:val="18"/>
              </w:rPr>
              <w:t xml:space="preserve">157 requisitos funcionales y 25 no funcionales en el 01, repartidos en las fases 0 a 7; los de después del MVP están en el 07</w:t>
            </w:r>
          </w:p>
        </w:tc>
      </w:tr>
      <w:tr>
        <w:trPr>
          <w:cantSplit/>
        </w:trPr>
        <w:tc>
          <w:tcPr>
            <w:tcW w:type="dxa" w:w="2400"/>
            <w:shd w:fill="F7F9FA" w:color="auto" w:val="clear"/>
            <w:tcMar>
              <w:top w:type="dxa" w:w="70"/>
              <w:left w:type="dxa" w:w="110"/>
              <w:bottom w:type="dxa" w:w="70"/>
              <w:right w:type="dxa" w:w="110"/>
            </w:tcMar>
          </w:tcPr>
          <w:p>
            <w:pPr>
              <w:spacing w:after="40" w:before="40" w:line="240"/>
              <w:jc w:val="left"/>
            </w:pPr>
            <w:r>
              <w:rPr>
                <w:sz w:val="18"/>
                <w:szCs w:val="18"/>
              </w:rPr>
              <w:t xml:space="preserve">Punto de validación</w:t>
            </w:r>
          </w:p>
        </w:tc>
        <w:tc>
          <w:tcPr>
            <w:tcW w:type="dxa" w:w="6620"/>
            <w:shd w:fill="F7F9FA" w:color="auto" w:val="clear"/>
            <w:tcMar>
              <w:top w:type="dxa" w:w="70"/>
              <w:left w:type="dxa" w:w="110"/>
              <w:bottom w:type="dxa" w:w="70"/>
              <w:right w:type="dxa" w:w="110"/>
            </w:tcMar>
          </w:tcPr>
          <w:p>
            <w:pPr>
              <w:spacing w:after="40" w:before="40" w:line="240"/>
              <w:jc w:val="left"/>
            </w:pPr>
            <w:r>
              <w:rPr>
                <w:sz w:val="18"/>
                <w:szCs w:val="18"/>
              </w:rPr>
              <w:t>Al cerrar la fase 5 ya hay producto que mostrar a un cliente</w:t>
            </w:r>
          </w:p>
        </w:tc>
      </w:tr>
    </w:tbl>
    <w:p>
      <w:pPr>
        <w:spacing w:before="1600"/>
      </w:pPr>
    </w:p>
    <w:tbl>
      <w:tblPr>
        <w:tblW w:type="dxa" w:w="9020"/>
        <w:tblBorders>
          <w:top w:val="none" w:color="FFFFFF" w:sz="0"/>
          <w:left w:val="single" w:color="13496B" w:sz="18"/>
          <w:bottom w:val="none" w:color="FFFFFF" w:sz="0"/>
          <w:right w:val="none" w:color="FFFFFF" w:sz="0"/>
          <w:insideH w:val="none" w:color="FFFFFF" w:sz="0"/>
          <w:insideV w:val="none" w:color="FFFFFF" w:sz="0"/>
        </w:tblBorders>
      </w:tblPr>
      <w:tblGrid>
        <w:gridCol w:w="9020"/>
      </w:tblGrid>
      <w:tr>
        <w:trPr>
          <w:cantSplit/>
        </w:trPr>
        <w:tc>
          <w:tcPr>
            <w:tcW w:type="dxa" w:w="9020"/>
            <w:shd w:fill="E7EFF4" w:color="auto" w:val="clear"/>
            <w:tcMar>
              <w:top w:type="dxa" w:w="140"/>
              <w:left w:type="dxa" w:w="200"/>
              <w:bottom w:type="dxa" w:w="140"/>
              <w:right w:type="dxa" w:w="180"/>
            </w:tcMar>
          </w:tcPr>
          <w:p>
            <w:pPr>
              <w:spacing w:after="90" w:before="40"/>
            </w:pPr>
            <w:r>
              <w:rPr>
                <w:b/>
                <w:bCs/>
                <w:caps/>
                <w:color w:val="13496B"/>
                <w:sz w:val="18"/>
                <w:szCs w:val="18"/>
              </w:rPr>
              <w:t xml:space="preserve">La regla que ordena todo el plan</w:t>
            </w:r>
          </w:p>
          <w:p>
            <w:pPr>
              <w:spacing w:after="110" w:line="276"/>
              <w:jc w:val="both"/>
            </w:pPr>
            <w:r>
              <w:rPr>
                <w:sz w:val="19"/>
                <w:szCs w:val="19"/>
              </w:rPr>
              <w:t>No se puede construir un APU sin recursos, ni un presupuesto sin APU, ni activar un presupuesto sin presupuesto. Esa cadena de dependencias es la columna vertebral y no admite atajos.</w:t>
            </w:r>
          </w:p>
          <w:p>
            <w:pPr>
              <w:spacing w:after="40" w:line="276"/>
              <w:jc w:val="both"/>
            </w:pPr>
            <w:r>
              <w:rPr>
                <w:sz w:val="19"/>
                <w:szCs w:val="19"/>
              </w:rPr>
              <w:t xml:space="preserve">Lo demás sí se decidió: qué va antes de la cadena, y qué hace falta para vender pero no para que el producto funcione.</w:t>
            </w:r>
          </w:p>
        </w:tc>
      </w:tr>
    </w:tbl>
    <w:p>
      <w:r>
        <w:br w:type="page"/>
      </w:r>
    </w:p>
    <w:p>
      <w:pPr>
        <w:pStyle w:val="Heading1"/>
        <w:pBdr>
          <w:bottom w:val="single" w:color="13496B" w:sz="10" w:space="6"/>
        </w:pBdr>
        <w:spacing w:after="180" w:before="420"/>
      </w:pPr>
      <w:r>
        <w:rPr>
          <w:b/>
          <w:bCs/>
          <w:color w:val="13496B"/>
          <w:sz w:val="30"/>
          <w:szCs w:val="30"/>
        </w:rPr>
        <w:t xml:space="preserve">1. Cómo se decidió este orden</w:t>
      </w:r>
    </w:p>
    <w:p>
      <w:pPr>
        <w:spacing w:after="120" w:before="0" w:line="276"/>
        <w:jc w:val="both"/>
      </w:pPr>
      <w:r>
        <w:rPr>
          <w:sz w:val="20"/>
          <w:szCs w:val="20"/>
        </w:rPr>
        <w:t>El orden lo dicta la cadena de datos, no la preferencia de nadie. No se puede construir un APU sin recursos, ni un presupuesto sin APU, ni activar un presupuesto sin presupuesto. Esa dependencia es la columna vertebral del plan y no admite atajos.</w:t>
      </w:r>
    </w:p>
    <w:p>
      <w:pPr>
        <w:spacing w:after="120" w:before="0" w:line="276"/>
        <w:jc w:val="both"/>
      </w:pPr>
      <w:r>
        <w:rPr>
          <w:sz w:val="20"/>
          <w:szCs w:val="20"/>
        </w:rPr>
        <w:t xml:space="preserve">Lo que sí se decidió es qué va antes de la cadena y qué se puede dejar para después. Antes van los cimientos: sin aislamiento entre empresas, autenticación y unidades de medida no se puede construir ni el primer recurso. Después quedan los módulos que hacen falta para vender pero no para que el producto funcione.</w:t>
      </w:r>
    </w:p>
    <w:p>
      <w:pPr>
        <w:spacing w:after="60"/>
      </w:pP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2400"/>
        <w:gridCol w:w="6620"/>
      </w:tblGrid>
      <w:tr>
        <w:trPr>
          <w:cantSplit/>
          <w:tblHeader/>
        </w:trPr>
        <w:tc>
          <w:tcPr>
            <w:tcW w:type="dxa" w:w="24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Peso aproximado</w:t>
            </w:r>
          </w:p>
        </w:tc>
        <w:tc>
          <w:tcPr>
            <w:tcW w:type="dxa" w:w="66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Bloque</w:t>
            </w:r>
          </w:p>
        </w:tc>
      </w:tr>
      <w:tr>
        <w:trPr>
          <w:cantSplit/>
        </w:trPr>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 25%</w:t>
            </w:r>
          </w:p>
        </w:tc>
        <w:tc>
          <w:tcPr>
            <w:tcW w:type="dxa" w:w="6620"/>
            <w:shd w:fill="auto" w:color="auto" w:val="clear"/>
            <w:tcMar>
              <w:top w:type="dxa" w:w="70"/>
              <w:left w:type="dxa" w:w="110"/>
              <w:bottom w:type="dxa" w:w="70"/>
              <w:right w:type="dxa" w:w="110"/>
            </w:tcMar>
          </w:tcPr>
          <w:p>
            <w:pPr>
              <w:spacing w:after="40" w:before="40" w:line="240"/>
              <w:jc w:val="left"/>
            </w:pPr>
            <w:r>
              <w:rPr>
                <w:sz w:val="18"/>
                <w:szCs w:val="18"/>
              </w:rPr>
              <w:t xml:space="preserve">Fase 0 — cimientos</w:t>
            </w:r>
          </w:p>
        </w:tc>
      </w:tr>
      <w:tr>
        <w:trPr>
          <w:cantSplit/>
        </w:trPr>
        <w:tc>
          <w:tcPr>
            <w:tcW w:type="dxa" w:w="2400"/>
            <w:shd w:fill="F7F9FA" w:color="auto" w:val="clear"/>
            <w:tcMar>
              <w:top w:type="dxa" w:w="70"/>
              <w:left w:type="dxa" w:w="110"/>
              <w:bottom w:type="dxa" w:w="70"/>
              <w:right w:type="dxa" w:w="110"/>
            </w:tcMar>
          </w:tcPr>
          <w:p>
            <w:pPr>
              <w:spacing w:after="40" w:before="40" w:line="240"/>
              <w:jc w:val="left"/>
            </w:pPr>
            <w:r>
              <w:rPr>
                <w:sz w:val="18"/>
                <w:szCs w:val="18"/>
              </w:rPr>
              <w:t xml:space="preserve">≈ 25%</w:t>
            </w:r>
          </w:p>
        </w:tc>
        <w:tc>
          <w:tcPr>
            <w:tcW w:type="dxa" w:w="6620"/>
            <w:shd w:fill="F7F9FA" w:color="auto" w:val="clear"/>
            <w:tcMar>
              <w:top w:type="dxa" w:w="70"/>
              <w:left w:type="dxa" w:w="110"/>
              <w:bottom w:type="dxa" w:w="70"/>
              <w:right w:type="dxa" w:w="110"/>
            </w:tcMar>
          </w:tcPr>
          <w:p>
            <w:pPr>
              <w:spacing w:after="40" w:before="40" w:line="240"/>
              <w:jc w:val="left"/>
            </w:pPr>
            <w:r>
              <w:rPr>
                <w:sz w:val="18"/>
                <w:szCs w:val="18"/>
              </w:rPr>
              <w:t xml:space="preserve">Fases 1 y 2 — recursos y APU</w:t>
            </w:r>
          </w:p>
        </w:tc>
      </w:tr>
      <w:tr>
        <w:trPr>
          <w:cantSplit/>
        </w:trPr>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 40%</w:t>
            </w:r>
          </w:p>
        </w:tc>
        <w:tc>
          <w:tcPr>
            <w:tcW w:type="dxa" w:w="6620"/>
            <w:shd w:fill="auto" w:color="auto" w:val="clear"/>
            <w:tcMar>
              <w:top w:type="dxa" w:w="70"/>
              <w:left w:type="dxa" w:w="110"/>
              <w:bottom w:type="dxa" w:w="70"/>
              <w:right w:type="dxa" w:w="110"/>
            </w:tcMar>
          </w:tcPr>
          <w:p>
            <w:pPr>
              <w:spacing w:after="40" w:before="40" w:line="240"/>
              <w:jc w:val="left"/>
            </w:pPr>
            <w:r>
              <w:rPr>
                <w:sz w:val="18"/>
                <w:szCs w:val="18"/>
              </w:rPr>
              <w:t xml:space="preserve">Fases 3 y 4 — presupuesto y ciclo de vida</w:t>
            </w:r>
          </w:p>
        </w:tc>
      </w:tr>
      <w:tr>
        <w:trPr>
          <w:cantSplit/>
        </w:trPr>
        <w:tc>
          <w:tcPr>
            <w:tcW w:type="dxa" w:w="2400"/>
            <w:shd w:fill="F7F9FA" w:color="auto" w:val="clear"/>
            <w:tcMar>
              <w:top w:type="dxa" w:w="70"/>
              <w:left w:type="dxa" w:w="110"/>
              <w:bottom w:type="dxa" w:w="70"/>
              <w:right w:type="dxa" w:w="110"/>
            </w:tcMar>
          </w:tcPr>
          <w:p>
            <w:pPr>
              <w:spacing w:after="40" w:before="40" w:line="240"/>
              <w:jc w:val="left"/>
            </w:pPr>
            <w:r>
              <w:rPr>
                <w:sz w:val="18"/>
                <w:szCs w:val="18"/>
              </w:rPr>
              <w:t xml:space="preserve">≈ 10%</w:t>
            </w:r>
          </w:p>
        </w:tc>
        <w:tc>
          <w:tcPr>
            <w:tcW w:type="dxa" w:w="6620"/>
            <w:shd w:fill="F7F9FA" w:color="auto" w:val="clear"/>
            <w:tcMar>
              <w:top w:type="dxa" w:w="70"/>
              <w:left w:type="dxa" w:w="110"/>
              <w:bottom w:type="dxa" w:w="70"/>
              <w:right w:type="dxa" w:w="110"/>
            </w:tcMar>
          </w:tcPr>
          <w:p>
            <w:pPr>
              <w:spacing w:after="40" w:before="40" w:line="240"/>
              <w:jc w:val="left"/>
            </w:pPr>
            <w:r>
              <w:rPr>
                <w:sz w:val="18"/>
                <w:szCs w:val="18"/>
              </w:rPr>
              <w:t>Fases 5 a 7 — exportaciones, superadmin y pulido</w:t>
            </w:r>
          </w:p>
        </w:tc>
      </w:tr>
    </w:tbl>
    <w:tbl>
      <w:tblPr>
        <w:tblW w:type="dxa" w:w="9020"/>
        <w:tblBorders>
          <w:top w:val="none" w:color="FFFFFF" w:sz="0"/>
          <w:left w:val="single" w:color="2E7D5B" w:sz="18"/>
          <w:bottom w:val="none" w:color="FFFFFF" w:sz="0"/>
          <w:right w:val="none" w:color="FFFFFF" w:sz="0"/>
          <w:insideH w:val="none" w:color="FFFFFF" w:sz="0"/>
          <w:insideV w:val="none" w:color="FFFFFF" w:sz="0"/>
        </w:tblBorders>
      </w:tblPr>
      <w:tblGrid>
        <w:gridCol w:w="9020"/>
      </w:tblGrid>
      <w:tr>
        <w:trPr>
          <w:cantSplit/>
        </w:trPr>
        <w:tc>
          <w:tcPr>
            <w:tcW w:type="dxa" w:w="9020"/>
            <w:shd w:fill="EDF5F1" w:color="auto" w:val="clear"/>
            <w:tcMar>
              <w:top w:type="dxa" w:w="140"/>
              <w:left w:type="dxa" w:w="200"/>
              <w:bottom w:type="dxa" w:w="140"/>
              <w:right w:type="dxa" w:w="180"/>
            </w:tcMar>
          </w:tcPr>
          <w:p>
            <w:pPr>
              <w:spacing w:after="90" w:before="40"/>
            </w:pPr>
            <w:r>
              <w:rPr>
                <w:b/>
                <w:bCs/>
                <w:caps/>
                <w:color w:val="2E7D5B"/>
                <w:sz w:val="18"/>
                <w:szCs w:val="18"/>
              </w:rPr>
              <w:t xml:space="preserve">Dónde está el punto de validación comercial</w:t>
            </w:r>
          </w:p>
          <w:p>
            <w:pPr>
              <w:spacing w:after="40" w:line="276"/>
              <w:jc w:val="both"/>
            </w:pPr>
            <w:r>
              <w:rPr>
                <w:sz w:val="19"/>
                <w:szCs w:val="19"/>
              </w:rPr>
              <w:t xml:space="preserve">Al terminar la fase 5 ya tienes algo que mostrarle a un cliente: un ingeniero puede armar su presupuesto completo y sacarlo en PDF con su logo, que es la propuesta de valor entera frente a Excel. Ese es el momento de buscar los primeros usuarios de prueba, no el final del plan.</w:t>
            </w:r>
          </w:p>
        </w:tc>
      </w:tr>
    </w:tbl>
    <w:p>
      <w:pPr>
        <w:spacing w:after="120"/>
      </w:pPr>
      <w:r>
        <w:t>Antes de empezar la fase 0 hay que crear la base con 05 - construsoft_mvp_schema.sql y comprobar, contra esa base real, que rechaza las operaciones prohibidas de la sección 3.4 del documento 00. Programar contra otra copia del esquema es programar contra reglas que no se cumplen. Y una advertencia de disciplina: mientras no haya datos de ningún cliente, el esquema se corrige editando ese archivo; desde el primer cliente real no se toca nunca más y todo cambio viaja en migraciones .sql numeradas.</w:t>
      </w:r>
    </w:p>
    <w:p>
      <w:pPr>
        <w:spacing w:after="120"/>
      </w:pPr>
      <w:r>
        <w:t>Los requisitos no funcionales se reparten de otra manera. RNF-01 a 10 y RNF-21 a 23 son transversales: rigen desde la fase 0 y se comprueban en el hito de cada fase, no en una sola. RNF-17 a 19 son de operación y se montan con el despliegue, según la sección 6 del documento 04. Los demás sí tienen fase: RNF-24 en la 0, RNF-25 en la 4, RNF-20 en la 5, RNF-26 en la 6 y RNF-11 a 16 en la 8.</w:t>
      </w:r>
    </w:p>
    <w:p>
      <w:pPr>
        <w:pStyle w:val="Heading1"/>
        <w:pBdr>
          <w:bottom w:val="single" w:color="13496B" w:sz="10" w:space="6"/>
        </w:pBdr>
        <w:spacing w:after="180" w:before="420"/>
      </w:pPr>
      <w:r>
        <w:rPr>
          <w:b/>
          <w:bCs/>
          <w:color w:val="13496B"/>
          <w:sz w:val="30"/>
          <w:szCs w:val="30"/>
        </w:rPr>
        <w:t xml:space="preserve">Fase 0 — Cimientos</w:t>
      </w:r>
    </w:p>
    <w:p>
      <w:pPr>
        <w:spacing w:after="120" w:before="0" w:line="276"/>
        <w:jc w:val="both"/>
      </w:pPr>
      <w:r>
        <w:rPr>
          <w:sz w:val="20"/>
          <w:szCs w:val="20"/>
        </w:rPr>
        <w:t xml:space="preserve">No produce ninguna pantalla vendible y es la fase que más problemas evita. Todo lo que se construye después asume que esto funciona; si el aislamiento entre empresas queda mal, no se nota hasta que ya hay clientes.</w:t>
      </w:r>
    </w:p>
    <w:p>
      <w:pPr>
        <w:spacing w:after="120" w:before="0" w:line="276"/>
        <w:jc w:val="both"/>
      </w:pPr>
      <w:r>
        <w:rPr>
          <w:i/>
          <w:iCs/>
          <w:color w:val="5A6874"/>
          <w:sz w:val="20"/>
          <w:szCs w:val="20"/>
        </w:rPr>
        <w:t>Requisitos que cubre: RF-AUT-01 a 18 · RF-CFG-01 a 05, 09 a 20, 22 a 25 · RF-SAD-11 · RNF-24</w:t>
      </w:r>
    </w:p>
    <w:p>
      <w:pPr>
        <w:pStyle w:val="Heading3"/>
        <w:spacing w:after="100" w:before="220"/>
      </w:pPr>
      <w:r>
        <w:rPr>
          <w:b/>
          <w:bCs/>
          <w:color w:val="5A6874"/>
          <w:sz w:val="20"/>
          <w:szCs w:val="20"/>
        </w:rPr>
        <w:t xml:space="preserve">Qué se construye</w:t>
      </w:r>
    </w:p>
    <w:p>
      <w:pPr>
        <w:pStyle w:val="ListParagraph"/>
        <w:numPr>
          <w:ilvl w:val="0"/>
          <w:numId w:val="2"/>
        </w:numPr>
        <w:spacing w:after="90" w:line="276"/>
        <w:jc w:val="both"/>
      </w:pPr>
      <w:r>
        <w:rPr>
          <w:sz w:val="20"/>
          <w:szCs w:val="20"/>
        </w:rPr>
        <w:t>El esquema completo creado y corriendo a partir de 05 - construsoft_mvp_schema.sql, con las comprobaciones de la sección 3.4 del documento 00 en verde antes de escribir una línea de aplicación.</w:t>
      </w:r>
    </w:p>
    <w:p>
      <w:pPr>
        <w:pStyle w:val="ListParagraph"/>
        <w:numPr>
          <w:ilvl w:val="0"/>
          <w:numId w:val="2"/>
        </w:numPr>
        <w:spacing w:after="90" w:line="276"/>
        <w:jc w:val="both"/>
      </w:pPr>
      <w:r>
        <w:rPr>
          <w:sz w:val="20"/>
          <w:szCs w:val="20"/>
        </w:rPr>
        <w:t>Tres roles de conexión, no uno: app_login para la aplicación, superadmin_login para el panel y auth_login solo para el paso de autenticación (D-46). Ninguno es dueño de las tablas ni superusuario. El backend tiene que iniciar sesión por la conexión de autenticación: con la de la aplicación, app.fn_autenticar responde «permiso denegado».</w:t>
      </w:r>
    </w:p>
    <w:p>
      <w:pPr>
        <w:pStyle w:val="ListParagraph"/>
        <w:numPr>
          <w:ilvl w:val="0"/>
          <w:numId w:val="2"/>
        </w:numPr>
        <w:spacing w:after="90" w:line="276"/>
        <w:jc w:val="both"/>
      </w:pPr>
      <w:r>
        <w:rPr>
          <w:sz w:val="20"/>
          <w:szCs w:val="20"/>
        </w:rPr>
        <w:t>Contexto de inquilino por transacción: SELECT set_config('app.tenant_id', $1, true) al abrir cada transacción, y junto a él set_config('app.usuario_id', $2, true). El segundo no es opcional: es el autor que la base escribe en cada evento del historial (D-45), así que la transacción que no lo fije deja eventos sin firmar. Además prepara el control de acceso por proyecto de la fase 2, que será un cambio de política de aislamiento y no una reforma del backend. La forma SET LOCAL app.tenant_id = $1 no es SQL válido —SET no admite parámetros—, y el contexto se lee con app.fn_tenant_actual(), nunca con current_setting directo.</w:t>
      </w:r>
    </w:p>
    <w:p>
      <w:pPr>
        <w:pStyle w:val="ListParagraph"/>
        <w:numPr>
          <w:ilvl w:val="0"/>
          <w:numId w:val="2"/>
        </w:numPr>
        <w:spacing w:after="90" w:line="276"/>
        <w:jc w:val="both"/>
      </w:pPr>
      <w:r>
        <w:rPr>
          <w:sz w:val="20"/>
          <w:szCs w:val="20"/>
        </w:rPr>
        <w:t>Registro de empresa en tres pasos, resuelto con app.fn_alta_tenant(...), que crea en una sola transacción el inquilino, la suscripción en prueba, la configuración, las doce unidades estándar, los dos correlativos de código, los roles Administrador —con todos los permisos— y Asistente —sin ninguno, para que el ingeniero se los otorgue (D-44)— y el usuario, que nace ACTIVO (D-35). El NIT es obligatorio y se valida ahí mismo (D-34). Login a través de app.fn_autenticar(correo) y recuperación con app.fn_resolver_token(hash): una consulta directa a app.usuario devuelve cero filas mientras no haya contexto de inquilino, así que el login no funciona por esa vía. Enlace de activación de un solo uso y 72 horas para los usuarios que crea el administrador; enlace de recuperación de 30 minutos para quien olvida su contraseña. La misma tabla de tokens sirve a los dos, distinguidos por su propósito.</w:t>
      </w:r>
    </w:p>
    <w:p>
      <w:pPr>
        <w:pStyle w:val="ListParagraph"/>
        <w:numPr>
          <w:ilvl w:val="0"/>
          <w:numId w:val="2"/>
        </w:numPr>
        <w:spacing w:after="90" w:line="276"/>
        <w:jc w:val="both"/>
      </w:pPr>
      <w:r>
        <w:rPr>
          <w:sz w:val="20"/>
          <w:szCs w:val="20"/>
        </w:rPr>
        <w:t>Roles, permisos y la verificación de autorización en el servidor en cada petición. «Ver» es prerrequisito de las demás acciones de su módulo y lo comprueba la base (RF-CFG-25).</w:t>
      </w:r>
    </w:p>
    <w:p>
      <w:pPr>
        <w:pStyle w:val="ListParagraph"/>
        <w:numPr>
          <w:ilvl w:val="0"/>
          <w:numId w:val="2"/>
        </w:numPr>
        <w:spacing w:after="90" w:line="276"/>
        <w:jc w:val="both"/>
      </w:pPr>
      <w:r>
        <w:rPr>
          <w:sz w:val="20"/>
          <w:szCs w:val="20"/>
        </w:rPr>
        <w:t>Unidades de medida precargadas y editables, moneda base y formatos numéricos. El AIU y el IVA son de cada presupuesto y no se parametrizan por empresa (D-41).</w:t>
      </w:r>
    </w:p>
    <w:p>
      <w:pPr>
        <w:pStyle w:val="ListParagraph"/>
        <w:numPr>
          <w:ilvl w:val="0"/>
          <w:numId w:val="2"/>
        </w:numPr>
        <w:spacing w:after="90" w:line="276"/>
        <w:jc w:val="both"/>
      </w:pPr>
      <w:r>
        <w:rPr>
          <w:sz w:val="20"/>
          <w:szCs w:val="20"/>
        </w:rPr>
        <w:t>Nada que construir para el registro de auditoría: los eventos los escriben los triggers del esquema desde el primer día (D-45), aunque el panel que los muestra sea de la fase 4. Lo único que el backend debe hacer es fijar app.usuario_id en cada transacción.</w:t>
      </w:r>
    </w:p>
    <w:p>
      <w:pPr>
        <w:pStyle w:val="Heading3"/>
        <w:spacing w:after="100" w:before="220"/>
      </w:pPr>
      <w:r>
        <w:rPr>
          <w:b/>
          <w:bCs/>
          <w:color w:val="5A6874"/>
          <w:sz w:val="20"/>
          <w:szCs w:val="20"/>
        </w:rPr>
        <w:t xml:space="preserve">Hito que cierra la fase</w:t>
      </w:r>
    </w:p>
    <w:tbl>
      <w:tblPr>
        <w:tblW w:type="dxa" w:w="9020"/>
        <w:tblBorders>
          <w:top w:val="none" w:color="FFFFFF" w:sz="0"/>
          <w:left w:val="single" w:color="2E7D5B" w:sz="18"/>
          <w:bottom w:val="none" w:color="FFFFFF" w:sz="0"/>
          <w:right w:val="none" w:color="FFFFFF" w:sz="0"/>
          <w:insideH w:val="none" w:color="FFFFFF" w:sz="0"/>
          <w:insideV w:val="none" w:color="FFFFFF" w:sz="0"/>
        </w:tblBorders>
      </w:tblPr>
      <w:tblGrid>
        <w:gridCol w:w="9020"/>
      </w:tblGrid>
      <w:tr>
        <w:trPr>
          <w:cantSplit/>
        </w:trPr>
        <w:tc>
          <w:tcPr>
            <w:tcW w:type="dxa" w:w="9020"/>
            <w:shd w:fill="EDF5F1" w:color="auto" w:val="clear"/>
            <w:tcMar>
              <w:top w:type="dxa" w:w="140"/>
              <w:left w:type="dxa" w:w="200"/>
              <w:bottom w:type="dxa" w:w="140"/>
              <w:right w:type="dxa" w:w="180"/>
            </w:tcMar>
          </w:tcPr>
          <w:p>
            <w:pPr>
              <w:spacing w:after="40" w:line="276"/>
              <w:jc w:val="both"/>
            </w:pPr>
            <w:r>
              <w:rPr>
                <w:sz w:val="19"/>
                <w:szCs w:val="19"/>
              </w:rPr>
              <w:t>Dos empresas distintas se registran, inician sesión y ninguna ve un solo dato de la otra. Hay una prueba automática que lo comprueba y falla si alguien rompe el aislamiento. Se le suma una segunda: app.fn_verificar_rls() debe devolver cero filas. Esa consulta recorre todas las tablas de inquilino y señala cualquiera que haya nacido sin política, que es lo que pasa con cada tabla nueva si quien la crea no termina llamando a app.fn_aplicar_rls() (RNF-24).</w:t>
            </w:r>
          </w:p>
        </w:tc>
      </w:tr>
    </w:tbl>
    <w:tbl>
      <w:tblPr>
        <w:tblW w:type="dxa" w:w="9020"/>
        <w:tblBorders>
          <w:top w:val="none" w:color="FFFFFF" w:sz="0"/>
          <w:left w:val="single" w:color="B07A22" w:sz="18"/>
          <w:bottom w:val="none" w:color="FFFFFF" w:sz="0"/>
          <w:right w:val="none" w:color="FFFFFF" w:sz="0"/>
          <w:insideH w:val="none" w:color="FFFFFF" w:sz="0"/>
          <w:insideV w:val="none" w:color="FFFFFF" w:sz="0"/>
        </w:tblBorders>
      </w:tblPr>
      <w:tblGrid>
        <w:gridCol w:w="9020"/>
      </w:tblGrid>
      <w:tr>
        <w:trPr>
          <w:cantSplit/>
        </w:trPr>
        <w:tc>
          <w:tcPr>
            <w:tcW w:type="dxa" w:w="9020"/>
            <w:shd w:fill="FBF5E9" w:color="auto" w:val="clear"/>
            <w:tcMar>
              <w:top w:type="dxa" w:w="140"/>
              <w:left w:type="dxa" w:w="200"/>
              <w:bottom w:type="dxa" w:w="140"/>
              <w:right w:type="dxa" w:w="180"/>
            </w:tcMar>
          </w:tcPr>
          <w:p>
            <w:pPr>
              <w:spacing w:after="90" w:before="40"/>
            </w:pPr>
            <w:r>
              <w:rPr>
                <w:b/>
                <w:bCs/>
                <w:caps/>
                <w:color w:val="B07A22"/>
                <w:sz w:val="18"/>
                <w:szCs w:val="18"/>
              </w:rPr>
              <w:t xml:space="preserve">Por qué el historial empieza aquí y no en la fase 4</w:t>
            </w:r>
          </w:p>
          <w:p>
            <w:pPr>
              <w:spacing w:after="40" w:line="276"/>
              <w:jc w:val="both"/>
            </w:pPr>
            <w:r>
              <w:rPr>
                <w:sz w:val="19"/>
                <w:szCs w:val="19"/>
              </w:rPr>
              <w:t xml:space="preserve">El panel lateral del historial es de la fase 4, pero la emisión de eventos tiene que existir desde el principio como un servicio que cualquier módulo llama al escribir. Si se deja para el final, hay que volver a entrar a los nueve módulos a insertar llamadas, y se va a olvidar en alguno. El día que haga falta en serio —una discusión con un cliente sobre quién cambió una cantidad— el evento que falta será justo el que importaba.</w:t>
            </w:r>
          </w:p>
        </w:tc>
      </w:tr>
    </w:tbl>
    <w:p>
      <w:pPr>
        <w:pStyle w:val="Heading1"/>
        <w:pBdr>
          <w:bottom w:val="single" w:color="13496B" w:sz="10" w:space="6"/>
        </w:pBdr>
        <w:spacing w:after="180" w:before="420"/>
      </w:pPr>
      <w:r>
        <w:rPr>
          <w:b/>
          <w:bCs/>
          <w:color w:val="13496B"/>
          <w:sz w:val="30"/>
          <w:szCs w:val="30"/>
        </w:rPr>
        <w:t xml:space="preserve">Fase 1 — Recursos</w:t>
      </w:r>
    </w:p>
    <w:p>
      <w:pPr>
        <w:spacing w:after="120" w:before="0" w:line="276"/>
        <w:jc w:val="both"/>
      </w:pPr>
      <w:r>
        <w:rPr>
          <w:sz w:val="20"/>
          <w:szCs w:val="20"/>
        </w:rPr>
        <w:t xml:space="preserve">El primer eslabón de la cadena y el módulo más sencillo de los tres. Sirve además para establecer los patrones de interfaz que se repiten en todo el sistema: la ventana flotante, el bloqueo de campos, la generación de códigos en el servidor.</w:t>
      </w:r>
    </w:p>
    <w:p>
      <w:pPr>
        <w:spacing w:after="120" w:before="0" w:line="276"/>
        <w:jc w:val="both"/>
      </w:pPr>
      <w:r>
        <w:rPr>
          <w:i/>
          <w:iCs/>
          <w:color w:val="5A6874"/>
          <w:sz w:val="20"/>
          <w:szCs w:val="20"/>
        </w:rPr>
        <w:t xml:space="preserve">Requisitos que cubre: RF-REC-01 a 15</w:t>
      </w:r>
    </w:p>
    <w:p>
      <w:pPr>
        <w:pStyle w:val="Heading3"/>
        <w:spacing w:after="100" w:before="220"/>
      </w:pPr>
      <w:r>
        <w:rPr>
          <w:b/>
          <w:bCs/>
          <w:color w:val="5A6874"/>
          <w:sz w:val="20"/>
          <w:szCs w:val="20"/>
        </w:rPr>
        <w:t xml:space="preserve">Qué se construye</w:t>
      </w:r>
    </w:p>
    <w:p>
      <w:pPr>
        <w:pStyle w:val="ListParagraph"/>
        <w:numPr>
          <w:ilvl w:val="0"/>
          <w:numId w:val="2"/>
        </w:numPr>
        <w:spacing w:after="90" w:line="276"/>
        <w:jc w:val="both"/>
      </w:pPr>
      <w:r>
        <w:rPr>
          <w:sz w:val="20"/>
          <w:szCs w:val="20"/>
        </w:rPr>
        <w:t xml:space="preserve">Vista maestra con cuatro pestañas, vista unificada y búsqueda que rompe el filtro por categoría.</w:t>
      </w:r>
    </w:p>
    <w:p>
      <w:pPr>
        <w:pStyle w:val="ListParagraph"/>
        <w:numPr>
          <w:ilvl w:val="0"/>
          <w:numId w:val="2"/>
        </w:numPr>
        <w:spacing w:after="90" w:line="276"/>
        <w:jc w:val="both"/>
      </w:pPr>
      <w:r>
        <w:rPr>
          <w:sz w:val="20"/>
          <w:szCs w:val="20"/>
        </w:rPr>
        <w:t xml:space="preserve">Pop-out de creación con la doble vía de precio y el bloqueo cruzado de los dos campos.</w:t>
      </w:r>
    </w:p>
    <w:p>
      <w:pPr>
        <w:pStyle w:val="ListParagraph"/>
        <w:numPr>
          <w:ilvl w:val="0"/>
          <w:numId w:val="2"/>
        </w:numPr>
        <w:spacing w:after="90" w:line="276"/>
        <w:jc w:val="both"/>
      </w:pPr>
      <w:r>
        <w:rPr>
          <w:sz w:val="20"/>
          <w:szCs w:val="20"/>
        </w:rPr>
        <w:t xml:space="preserve">Generación del código único en el servidor, no modificable.</w:t>
      </w:r>
    </w:p>
    <w:p>
      <w:pPr>
        <w:pStyle w:val="ListParagraph"/>
        <w:numPr>
          <w:ilvl w:val="0"/>
          <w:numId w:val="2"/>
        </w:numPr>
        <w:spacing w:after="90" w:line="276"/>
        <w:jc w:val="both"/>
      </w:pPr>
      <w:r>
        <w:rPr>
          <w:sz w:val="20"/>
          <w:szCs w:val="20"/>
        </w:rPr>
        <w:t xml:space="preserve">Edición con la pregunta de propagación (todavía sin presupuestos a los que afectar).</w:t>
      </w:r>
    </w:p>
    <w:p>
      <w:pPr>
        <w:pStyle w:val="ListParagraph"/>
        <w:numPr>
          <w:ilvl w:val="0"/>
          <w:numId w:val="2"/>
        </w:numPr>
        <w:spacing w:after="90" w:line="276"/>
        <w:jc w:val="both"/>
      </w:pPr>
      <w:r>
        <w:rPr>
          <w:sz w:val="20"/>
          <w:szCs w:val="20"/>
        </w:rPr>
        <w:t xml:space="preserve">Eliminación bloqueada si el recurso está en uso.</w:t>
      </w:r>
    </w:p>
    <w:p>
      <w:pPr>
        <w:pStyle w:val="Heading3"/>
        <w:spacing w:after="100" w:before="220"/>
      </w:pPr>
      <w:r>
        <w:rPr>
          <w:b/>
          <w:bCs/>
          <w:color w:val="5A6874"/>
          <w:sz w:val="20"/>
          <w:szCs w:val="20"/>
        </w:rPr>
        <w:t xml:space="preserve">Hito que cierra la fase</w:t>
      </w:r>
    </w:p>
    <w:tbl>
      <w:tblPr>
        <w:tblW w:type="dxa" w:w="9020"/>
        <w:tblBorders>
          <w:top w:val="none" w:color="FFFFFF" w:sz="0"/>
          <w:left w:val="single" w:color="2E7D5B" w:sz="18"/>
          <w:bottom w:val="none" w:color="FFFFFF" w:sz="0"/>
          <w:right w:val="none" w:color="FFFFFF" w:sz="0"/>
          <w:insideH w:val="none" w:color="FFFFFF" w:sz="0"/>
          <w:insideV w:val="none" w:color="FFFFFF" w:sz="0"/>
        </w:tblBorders>
      </w:tblPr>
      <w:tblGrid>
        <w:gridCol w:w="9020"/>
      </w:tblGrid>
      <w:tr>
        <w:trPr>
          <w:cantSplit/>
        </w:trPr>
        <w:tc>
          <w:tcPr>
            <w:tcW w:type="dxa" w:w="9020"/>
            <w:shd w:fill="EDF5F1" w:color="auto" w:val="clear"/>
            <w:tcMar>
              <w:top w:type="dxa" w:w="140"/>
              <w:left w:type="dxa" w:w="200"/>
              <w:bottom w:type="dxa" w:w="140"/>
              <w:right w:type="dxa" w:w="180"/>
            </w:tcMar>
          </w:tcPr>
          <w:p>
            <w:pPr>
              <w:spacing w:after="40" w:line="276"/>
              <w:jc w:val="both"/>
            </w:pPr>
            <w:r>
              <w:rPr>
                <w:sz w:val="19"/>
                <w:szCs w:val="19"/>
              </w:rPr>
              <w:t xml:space="preserve">Se crea un material con IVA del 19% por cualquiera de las dos vías y los dos precios cuadran; el código lo puso el servidor y el usuario no lo puede tocar.</w:t>
            </w:r>
          </w:p>
        </w:tc>
      </w:tr>
    </w:tbl>
    <w:p>
      <w:pPr>
        <w:pStyle w:val="Heading1"/>
        <w:pBdr>
          <w:bottom w:val="single" w:color="13496B" w:sz="10" w:space="6"/>
        </w:pBdr>
        <w:spacing w:after="180" w:before="420"/>
      </w:pPr>
      <w:r>
        <w:rPr>
          <w:b/>
          <w:bCs/>
          <w:color w:val="13496B"/>
          <w:sz w:val="30"/>
          <w:szCs w:val="30"/>
        </w:rPr>
        <w:t xml:space="preserve">Fase 2 — APU</w:t>
      </w:r>
    </w:p>
    <w:p>
      <w:pPr>
        <w:spacing w:after="120" w:before="0" w:line="276"/>
        <w:jc w:val="both"/>
      </w:pPr>
      <w:r>
        <w:rPr>
          <w:sz w:val="20"/>
          <w:szCs w:val="20"/>
        </w:rPr>
        <w:t xml:space="preserve">El segundo eslabón y la pieza conceptualmente más difícil del MVP. Aquí se construye el mecanismo de versiones, que es el que sostiene la promesa de que un presupuesto emitido no cambia solo.</w:t>
      </w:r>
    </w:p>
    <w:p>
      <w:pPr>
        <w:spacing w:after="120" w:before="0" w:line="276"/>
        <w:jc w:val="both"/>
      </w:pPr>
      <w:r>
        <w:rPr>
          <w:i/>
          <w:iCs/>
          <w:color w:val="5A6874"/>
          <w:sz w:val="20"/>
          <w:szCs w:val="20"/>
        </w:rPr>
        <w:t>Requisitos que cubre: RF-APU-01 a 12, 18 a 22</w:t>
      </w:r>
    </w:p>
    <w:p>
      <w:pPr>
        <w:pStyle w:val="Heading3"/>
        <w:spacing w:after="100" w:before="220"/>
      </w:pPr>
      <w:r>
        <w:rPr>
          <w:b/>
          <w:bCs/>
          <w:color w:val="5A6874"/>
          <w:sz w:val="20"/>
          <w:szCs w:val="20"/>
        </w:rPr>
        <w:t xml:space="preserve">Qué se construye</w:t>
      </w:r>
    </w:p>
    <w:p>
      <w:pPr>
        <w:pStyle w:val="ListParagraph"/>
        <w:numPr>
          <w:ilvl w:val="0"/>
          <w:numId w:val="2"/>
        </w:numPr>
        <w:spacing w:after="90" w:line="276"/>
        <w:jc w:val="both"/>
      </w:pPr>
      <w:r>
        <w:rPr>
          <w:sz w:val="20"/>
          <w:szCs w:val="20"/>
        </w:rPr>
        <w:t xml:space="preserve">Vista maestra con búsqueda en tiempo real y filtro por unidad.</w:t>
      </w:r>
    </w:p>
    <w:p>
      <w:pPr>
        <w:pStyle w:val="ListParagraph"/>
        <w:numPr>
          <w:ilvl w:val="0"/>
          <w:numId w:val="2"/>
        </w:numPr>
        <w:spacing w:after="90" w:line="276"/>
        <w:jc w:val="both"/>
      </w:pPr>
      <w:r>
        <w:rPr>
          <w:sz w:val="20"/>
          <w:szCs w:val="20"/>
        </w:rPr>
        <w:t>Cabecera de APU y versiones inmutables de su composición, desde el primer día. La versión la crea app.fn_nueva_version_apu: los subtotales y el costo directo los calcula la base con el precio vigente del recurso, no el backend (D-39).</w:t>
      </w:r>
    </w:p>
    <w:p>
      <w:pPr>
        <w:pStyle w:val="ListParagraph"/>
        <w:numPr>
          <w:ilvl w:val="0"/>
          <w:numId w:val="2"/>
        </w:numPr>
        <w:spacing w:after="90" w:line="276"/>
        <w:jc w:val="both"/>
      </w:pPr>
      <w:r>
        <w:rPr>
          <w:sz w:val="20"/>
          <w:szCs w:val="20"/>
        </w:rPr>
        <w:t xml:space="preserve">Vinculación de recursos con cantidad, rendimiento y desperdicio, con las etiquetas y las ayudas que distinguen los dos primeros campos.</w:t>
      </w:r>
    </w:p>
    <w:p>
      <w:pPr>
        <w:pStyle w:val="ListParagraph"/>
        <w:numPr>
          <w:ilvl w:val="0"/>
          <w:numId w:val="2"/>
        </w:numPr>
        <w:spacing w:after="90" w:line="276"/>
        <w:jc w:val="both"/>
      </w:pPr>
      <w:r>
        <w:rPr>
          <w:sz w:val="20"/>
          <w:szCs w:val="20"/>
        </w:rPr>
        <w:t xml:space="preserve">Creación de recurso al vuelo desde el pop-out del APU.</w:t>
      </w:r>
    </w:p>
    <w:p>
      <w:pPr>
        <w:pStyle w:val="ListParagraph"/>
        <w:numPr>
          <w:ilvl w:val="0"/>
          <w:numId w:val="2"/>
        </w:numPr>
        <w:spacing w:after="90" w:line="276"/>
        <w:jc w:val="both"/>
      </w:pPr>
      <w:r>
        <w:rPr>
          <w:sz w:val="20"/>
          <w:szCs w:val="20"/>
        </w:rPr>
        <w:t xml:space="preserve">Cálculo del costo directo en tiempo real.</w:t>
      </w:r>
    </w:p>
    <w:p>
      <w:pPr>
        <w:pStyle w:val="Heading3"/>
        <w:spacing w:after="100" w:before="220"/>
      </w:pPr>
      <w:r>
        <w:rPr>
          <w:b/>
          <w:bCs/>
          <w:color w:val="5A6874"/>
          <w:sz w:val="20"/>
          <w:szCs w:val="20"/>
        </w:rPr>
        <w:t xml:space="preserve">Hito que cierra la fase</w:t>
      </w:r>
    </w:p>
    <w:tbl>
      <w:tblPr>
        <w:tblW w:type="dxa" w:w="9020"/>
        <w:tblBorders>
          <w:top w:val="none" w:color="FFFFFF" w:sz="0"/>
          <w:left w:val="single" w:color="2E7D5B" w:sz="18"/>
          <w:bottom w:val="none" w:color="FFFFFF" w:sz="0"/>
          <w:right w:val="none" w:color="FFFFFF" w:sz="0"/>
          <w:insideH w:val="none" w:color="FFFFFF" w:sz="0"/>
          <w:insideV w:val="none" w:color="FFFFFF" w:sz="0"/>
        </w:tblBorders>
      </w:tblPr>
      <w:tblGrid>
        <w:gridCol w:w="9020"/>
      </w:tblGrid>
      <w:tr>
        <w:trPr>
          <w:cantSplit/>
        </w:trPr>
        <w:tc>
          <w:tcPr>
            <w:tcW w:type="dxa" w:w="9020"/>
            <w:shd w:fill="EDF5F1" w:color="auto" w:val="clear"/>
            <w:tcMar>
              <w:top w:type="dxa" w:w="140"/>
              <w:left w:type="dxa" w:w="200"/>
              <w:bottom w:type="dxa" w:w="140"/>
              <w:right w:type="dxa" w:w="180"/>
            </w:tcMar>
          </w:tcPr>
          <w:p>
            <w:pPr>
              <w:spacing w:after="40" w:line="276"/>
              <w:jc w:val="both"/>
            </w:pPr>
            <w:r>
              <w:rPr>
                <w:sz w:val="19"/>
                <w:szCs w:val="19"/>
              </w:rPr>
              <w:t xml:space="preserve">Un APU de concreto con material al 5% de desperdicio y una cuadrilla de dos oficiales con rendimiento de 0,05 jornal por m³ da exactamente 636.750 por m³, el mismo número que sale a mano.</w:t>
            </w:r>
          </w:p>
        </w:tc>
      </w:tr>
    </w:tbl>
    <w:tbl>
      <w:tblPr>
        <w:tblW w:type="dxa" w:w="9020"/>
        <w:tblBorders>
          <w:top w:val="none" w:color="FFFFFF" w:sz="0"/>
          <w:left w:val="single" w:color="B07A22" w:sz="18"/>
          <w:bottom w:val="none" w:color="FFFFFF" w:sz="0"/>
          <w:right w:val="none" w:color="FFFFFF" w:sz="0"/>
          <w:insideH w:val="none" w:color="FFFFFF" w:sz="0"/>
          <w:insideV w:val="none" w:color="FFFFFF" w:sz="0"/>
        </w:tblBorders>
      </w:tblPr>
      <w:tblGrid>
        <w:gridCol w:w="9020"/>
      </w:tblGrid>
      <w:tr>
        <w:trPr>
          <w:cantSplit/>
        </w:trPr>
        <w:tc>
          <w:tcPr>
            <w:tcW w:type="dxa" w:w="9020"/>
            <w:shd w:fill="FBF5E9" w:color="auto" w:val="clear"/>
            <w:tcMar>
              <w:top w:type="dxa" w:w="140"/>
              <w:left w:type="dxa" w:w="200"/>
              <w:bottom w:type="dxa" w:w="140"/>
              <w:right w:type="dxa" w:w="180"/>
            </w:tcMar>
          </w:tcPr>
          <w:p>
            <w:pPr>
              <w:spacing w:after="90" w:before="40"/>
            </w:pPr>
            <w:r>
              <w:rPr>
                <w:b/>
                <w:bCs/>
                <w:caps/>
                <w:color w:val="B07A22"/>
                <w:sz w:val="18"/>
                <w:szCs w:val="18"/>
              </w:rPr>
              <w:t xml:space="preserve">Las versiones no se posponen</w:t>
            </w:r>
          </w:p>
          <w:p>
            <w:pPr>
              <w:spacing w:after="110" w:line="276"/>
              <w:jc w:val="both"/>
            </w:pPr>
            <w:r>
              <w:rPr>
                <w:sz w:val="19"/>
                <w:szCs w:val="19"/>
              </w:rPr>
              <w:t xml:space="preserve">Es tentador hacer un APU simple ahora y agregarle versionamiento cuando haga falta. Para entonces ya habrá presupuestos apuntando a una composición que no se puede congelar, y la migración toca datos de producción.</w:t>
            </w:r>
          </w:p>
          <w:p>
            <w:pPr>
              <w:spacing w:after="40" w:line="276"/>
              <w:jc w:val="both"/>
            </w:pPr>
            <w:r>
              <w:rPr>
                <w:sz w:val="19"/>
                <w:szCs w:val="19"/>
              </w:rPr>
              <w:t xml:space="preserve">Lo que sí se puede posponer a la fase 4 es la pregunta de propagación, porque hasta que existan presupuestos no hay a quién preguntarle. La estructura de cabecera y versiones, no.</w:t>
            </w:r>
          </w:p>
        </w:tc>
      </w:tr>
    </w:tbl>
    <w:p>
      <w:pPr>
        <w:pStyle w:val="Heading1"/>
        <w:pBdr>
          <w:bottom w:val="single" w:color="13496B" w:sz="10" w:space="6"/>
        </w:pBdr>
        <w:spacing w:after="180" w:before="420"/>
      </w:pPr>
      <w:r>
        <w:rPr>
          <w:b/>
          <w:bCs/>
          <w:color w:val="13496B"/>
          <w:sz w:val="30"/>
          <w:szCs w:val="30"/>
        </w:rPr>
        <w:t xml:space="preserve">Fase 3 — Mesa de trabajo</w:t>
      </w:r>
    </w:p>
    <w:p>
      <w:pPr>
        <w:spacing w:after="120" w:before="0" w:line="276"/>
        <w:jc w:val="both"/>
      </w:pPr>
      <w:r>
        <w:rPr>
          <w:sz w:val="20"/>
          <w:szCs w:val="20"/>
        </w:rPr>
        <w:t xml:space="preserve">El tercer eslabón y el módulo más grande del MVP. Junto con la fase 4 es cerca del 40% del trabajo: cuando se llegue aquí se va por la mitad del calendario, no por el final.</w:t>
      </w:r>
    </w:p>
    <w:p>
      <w:pPr>
        <w:spacing w:after="120" w:before="0" w:line="276"/>
        <w:jc w:val="both"/>
      </w:pPr>
      <w:r>
        <w:rPr>
          <w:i/>
          <w:iCs/>
          <w:color w:val="5A6874"/>
          <w:sz w:val="20"/>
          <w:szCs w:val="20"/>
        </w:rPr>
        <w:t>Requisitos que cubre: RF-PRE-01 a 23, 36, 37</w:t>
      </w:r>
    </w:p>
    <w:p>
      <w:pPr>
        <w:pStyle w:val="Heading3"/>
        <w:spacing w:after="100" w:before="220"/>
      </w:pPr>
      <w:r>
        <w:rPr>
          <w:b/>
          <w:bCs/>
          <w:color w:val="5A6874"/>
          <w:sz w:val="20"/>
          <w:szCs w:val="20"/>
        </w:rPr>
        <w:t xml:space="preserve">Qué se construye</w:t>
      </w:r>
    </w:p>
    <w:p>
      <w:pPr>
        <w:pStyle w:val="ListParagraph"/>
        <w:numPr>
          <w:ilvl w:val="0"/>
          <w:numId w:val="2"/>
        </w:numPr>
        <w:spacing w:after="90" w:line="276"/>
        <w:jc w:val="both"/>
      </w:pPr>
      <w:r>
        <w:rPr>
          <w:sz w:val="20"/>
          <w:szCs w:val="20"/>
        </w:rPr>
        <w:t xml:space="preserve">Vista maestra de proyectos con búsqueda y filtro por estado.</w:t>
      </w:r>
    </w:p>
    <w:p>
      <w:pPr>
        <w:pStyle w:val="ListParagraph"/>
        <w:numPr>
          <w:ilvl w:val="0"/>
          <w:numId w:val="2"/>
        </w:numPr>
        <w:spacing w:after="90" w:line="276"/>
        <w:jc w:val="both"/>
      </w:pPr>
      <w:r>
        <w:rPr>
          <w:sz w:val="20"/>
          <w:szCs w:val="20"/>
        </w:rPr>
        <w:t xml:space="preserve">Creación del proyecto con código manual validado como único.</w:t>
      </w:r>
    </w:p>
    <w:p>
      <w:pPr>
        <w:pStyle w:val="ListParagraph"/>
        <w:numPr>
          <w:ilvl w:val="0"/>
          <w:numId w:val="2"/>
        </w:numPr>
        <w:spacing w:after="90" w:line="276"/>
        <w:jc w:val="both"/>
      </w:pPr>
      <w:r>
        <w:rPr>
          <w:sz w:val="20"/>
          <w:szCs w:val="20"/>
        </w:rPr>
        <w:t xml:space="preserve">Las dos formas de estructurar el presupuesto, que se eligen al crearlo: por ítems y por EDT de profundidad ilimitada, esta última con actividades colgando también del capítulo (D-42). La numeración —1, 2, 3 los capítulos (01 … 12 si son diez o más), 1.1 y 1.1.1 los subcapítulos, que van antes que las actividades; la actividad se muestra con el código de su APU (D-75)— la deriva app.fn_renumerar_wbs del propio árbol, y se dispara sola con cada cambio de estructura (D-39).</w:t>
      </w:r>
    </w:p>
    <w:p>
      <w:pPr>
        <w:pStyle w:val="ListParagraph"/>
        <w:numPr>
          <w:ilvl w:val="0"/>
          <w:numId w:val="2"/>
        </w:numPr>
        <w:spacing w:after="90" w:line="276"/>
        <w:jc w:val="both"/>
      </w:pPr>
      <w:r>
        <w:rPr>
          <w:sz w:val="20"/>
          <w:szCs w:val="20"/>
        </w:rPr>
        <w:t xml:space="preserve">Vinculación de actividades con autocompletado y creación de APU al vuelo.</w:t>
      </w:r>
    </w:p>
    <w:p>
      <w:pPr>
        <w:pStyle w:val="ListParagraph"/>
        <w:numPr>
          <w:ilvl w:val="0"/>
          <w:numId w:val="2"/>
        </w:numPr>
        <w:spacing w:after="90" w:line="276"/>
        <w:jc w:val="both"/>
      </w:pPr>
      <w:r>
        <w:rPr>
          <w:sz w:val="20"/>
          <w:szCs w:val="20"/>
        </w:rPr>
        <w:t xml:space="preserve">Clasificación directo/indirecto obligatoria en el capítulo de primer nivel, heredada hacia abajo, con el AIU calculado solo sobre los directos.</w:t>
      </w:r>
    </w:p>
    <w:p>
      <w:pPr>
        <w:pStyle w:val="ListParagraph"/>
        <w:numPr>
          <w:ilvl w:val="0"/>
          <w:numId w:val="2"/>
        </w:numPr>
        <w:spacing w:after="90" w:line="276"/>
        <w:jc w:val="both"/>
      </w:pPr>
      <w:r>
        <w:rPr>
          <w:sz w:val="20"/>
          <w:szCs w:val="20"/>
        </w:rPr>
        <w:t xml:space="preserve">Montos acumulados e incidencia por capítulo en tiempo real.</w:t>
      </w:r>
    </w:p>
    <w:p>
      <w:pPr>
        <w:pStyle w:val="ListParagraph"/>
        <w:numPr>
          <w:ilvl w:val="0"/>
          <w:numId w:val="2"/>
        </w:numPr>
        <w:spacing w:after="90" w:line="276"/>
        <w:jc w:val="both"/>
      </w:pPr>
      <w:r>
        <w:rPr>
          <w:sz w:val="20"/>
          <w:szCs w:val="20"/>
        </w:rPr>
        <w:t>Pie financiero con el AIU desglosado y el IVA sobre la utilidad (D-33).</w:t>
      </w:r>
    </w:p>
    <w:p>
      <w:pPr>
        <w:pStyle w:val="Heading3"/>
        <w:spacing w:after="100" w:before="220"/>
      </w:pPr>
      <w:r>
        <w:rPr>
          <w:b/>
          <w:bCs/>
          <w:color w:val="5A6874"/>
          <w:sz w:val="20"/>
          <w:szCs w:val="20"/>
        </w:rPr>
        <w:t xml:space="preserve">Hito que cierra la fase</w:t>
      </w:r>
    </w:p>
    <w:tbl>
      <w:tblPr>
        <w:tblW w:type="dxa" w:w="9020"/>
        <w:tblBorders>
          <w:top w:val="none" w:color="FFFFFF" w:sz="0"/>
          <w:left w:val="single" w:color="2E7D5B" w:sz="18"/>
          <w:bottom w:val="none" w:color="FFFFFF" w:sz="0"/>
          <w:right w:val="none" w:color="FFFFFF" w:sz="0"/>
          <w:insideH w:val="none" w:color="FFFFFF" w:sz="0"/>
          <w:insideV w:val="none" w:color="FFFFFF" w:sz="0"/>
        </w:tblBorders>
      </w:tblPr>
      <w:tblGrid>
        <w:gridCol w:w="9020"/>
      </w:tblGrid>
      <w:tr>
        <w:trPr>
          <w:cantSplit/>
        </w:trPr>
        <w:tc>
          <w:tcPr>
            <w:tcW w:type="dxa" w:w="9020"/>
            <w:shd w:fill="EDF5F1" w:color="auto" w:val="clear"/>
            <w:tcMar>
              <w:top w:type="dxa" w:w="140"/>
              <w:left w:type="dxa" w:w="200"/>
              <w:bottom w:type="dxa" w:w="140"/>
              <w:right w:type="dxa" w:w="180"/>
            </w:tcMar>
          </w:tcPr>
          <w:p>
            <w:pPr>
              <w:spacing w:after="40" w:line="276"/>
              <w:jc w:val="both"/>
            </w:pPr>
            <w:r>
              <w:rPr>
                <w:sz w:val="19"/>
                <w:szCs w:val="19"/>
              </w:rPr>
              <w:t xml:space="preserve">Se arma un presupuesto completo de varios capítulos con subniveles, y el valor total que muestra el pie financiero coincide con el cálculo manual.</w:t>
            </w:r>
          </w:p>
        </w:tc>
      </w:tr>
    </w:tbl>
    <w:tbl>
      <w:tblPr>
        <w:tblW w:type="dxa" w:w="9020"/>
        <w:tblBorders>
          <w:top w:val="none" w:color="FFFFFF" w:sz="0"/>
          <w:left w:val="single" w:color="B07A22" w:sz="18"/>
          <w:bottom w:val="none" w:color="FFFFFF" w:sz="0"/>
          <w:right w:val="none" w:color="FFFFFF" w:sz="0"/>
          <w:insideH w:val="none" w:color="FFFFFF" w:sz="0"/>
          <w:insideV w:val="none" w:color="FFFFFF" w:sz="0"/>
        </w:tblBorders>
      </w:tblPr>
      <w:tblGrid>
        <w:gridCol w:w="9020"/>
      </w:tblGrid>
      <w:tr>
        <w:trPr>
          <w:cantSplit/>
        </w:trPr>
        <w:tc>
          <w:tcPr>
            <w:tcW w:type="dxa" w:w="9020"/>
            <w:shd w:fill="FBF5E9" w:color="auto" w:val="clear"/>
            <w:tcMar>
              <w:top w:type="dxa" w:w="140"/>
              <w:left w:type="dxa" w:w="200"/>
              <w:bottom w:type="dxa" w:w="140"/>
              <w:right w:type="dxa" w:w="180"/>
            </w:tcMar>
          </w:tcPr>
          <w:p>
            <w:pPr>
              <w:spacing w:after="90" w:before="40"/>
            </w:pPr>
            <w:r>
              <w:rPr>
                <w:b/>
                <w:bCs/>
                <w:caps/>
                <w:color w:val="B07A22"/>
                <w:sz w:val="18"/>
                <w:szCs w:val="18"/>
              </w:rPr>
              <w:t xml:space="preserve">Las dos trampas de rendimiento de esta fase</w:t>
            </w:r>
          </w:p>
          <w:p>
            <w:pPr>
              <w:spacing w:after="110" w:line="276"/>
              <w:jc w:val="both"/>
            </w:pPr>
            <w:r>
              <w:rPr>
                <w:sz w:val="19"/>
                <w:szCs w:val="19"/>
              </w:rPr>
              <w:t xml:space="preserve">Consultas N+1 al pintar el árbol: si el servidor recorre nodo por nodo en un bucle, cien actividades son cien consultas. Se resuelve con un CTE recursivo y una sola consulta.</w:t>
            </w:r>
          </w:p>
          <w:p>
            <w:pPr>
              <w:spacing w:after="40" w:line="276"/>
              <w:jc w:val="both"/>
            </w:pPr>
            <w:r>
              <w:rPr>
                <w:sz w:val="19"/>
                <w:szCs w:val="19"/>
              </w:rPr>
              <w:t>Recalcular el presupuesto entero en cada tecla: el frontend calcula para mostrar, guarda con retardo y el servidor devuelve la cifra autoritativa. Es lo que anticipa el requisito de que el frontend solo previsualiza. Ojo con el otro extremo: el recálculo lo dispara la propia base ante cualquier alta, cambio o baja de actividad, y escribe también los montos acumulados de los capítulos. El backend no tiene que acordarse de llamarlo, pero sí debe agrupar las escrituras en una sola sentencia cuando cambie muchas filas a la vez, porque el disparador es por sentencia.</w:t>
            </w:r>
          </w:p>
        </w:tc>
      </w:tr>
    </w:tbl>
    <w:p>
      <w:pPr>
        <w:pStyle w:val="Heading1"/>
        <w:pBdr>
          <w:bottom w:val="single" w:color="13496B" w:sz="10" w:space="6"/>
        </w:pBdr>
        <w:spacing w:after="180" w:before="420"/>
      </w:pPr>
      <w:r>
        <w:rPr>
          <w:b/>
          <w:bCs/>
          <w:color w:val="13496B"/>
          <w:sz w:val="30"/>
          <w:szCs w:val="30"/>
        </w:rPr>
        <w:t xml:space="preserve">Fase 4 — Ciclo de vida y congelamiento</w:t>
      </w:r>
    </w:p>
    <w:p>
      <w:pPr>
        <w:spacing w:after="120" w:before="0" w:line="276"/>
        <w:jc w:val="both"/>
      </w:pPr>
      <w:r>
        <w:rPr>
          <w:sz w:val="20"/>
          <w:szCs w:val="20"/>
        </w:rPr>
        <w:t xml:space="preserve">Aquí el producto deja de ser una calculadora bonita y se convierte en un sistema con garantías. Es la fase donde se implementan las reglas que el esquema ya defiende, y donde se cierra el control de cambios del APU.</w:t>
      </w:r>
    </w:p>
    <w:p>
      <w:pPr>
        <w:spacing w:after="120" w:before="0" w:line="276"/>
        <w:jc w:val="both"/>
      </w:pPr>
      <w:r>
        <w:rPr>
          <w:i/>
          <w:iCs/>
          <w:color w:val="5A6874"/>
          <w:sz w:val="20"/>
          <w:szCs w:val="20"/>
        </w:rPr>
        <w:t>Requisitos que cubre: RF-PRE-24 a 28, 32, 33, 35, 38 a 41 · RF-VER-01 a 08 · RF-HIS-01 a 05 · RF-APU-13 a 17 · RNF-25</w:t>
      </w:r>
    </w:p>
    <w:p>
      <w:pPr>
        <w:pStyle w:val="Heading3"/>
        <w:spacing w:after="100" w:before="220"/>
      </w:pPr>
      <w:r>
        <w:rPr>
          <w:b/>
          <w:bCs/>
          <w:color w:val="5A6874"/>
          <w:sz w:val="20"/>
          <w:szCs w:val="20"/>
        </w:rPr>
        <w:t xml:space="preserve">Qué se construye</w:t>
      </w:r>
    </w:p>
    <w:p>
      <w:pPr>
        <w:pStyle w:val="ListParagraph"/>
        <w:numPr>
          <w:ilvl w:val="0"/>
          <w:numId w:val="2"/>
        </w:numPr>
        <w:spacing w:after="90" w:line="276"/>
        <w:jc w:val="both"/>
      </w:pPr>
      <w:r>
        <w:rPr>
          <w:sz w:val="20"/>
          <w:szCs w:val="20"/>
        </w:rPr>
        <w:t>Activar, cerrar, reabrir con justificación y duplicar. La duplicación es app.fn_duplicar_presupuesto y la propagación de precios, app.fn_propagar_recurso (D-39).</w:t>
      </w:r>
    </w:p>
    <w:p>
      <w:pPr>
        <w:pStyle w:val="ListParagraph"/>
        <w:numPr>
          <w:ilvl w:val="0"/>
          <w:numId w:val="2"/>
        </w:numPr>
        <w:spacing w:after="90" w:line="276"/>
        <w:jc w:val="both"/>
      </w:pPr>
      <w:r>
        <w:rPr>
          <w:sz w:val="20"/>
          <w:szCs w:val="20"/>
        </w:rPr>
        <w:t xml:space="preserve">Congelamiento real: la mesa de trabajo en solo lectura y los controles deshabilitados.</w:t>
      </w:r>
    </w:p>
    <w:p>
      <w:pPr>
        <w:spacing w:after="120"/>
      </w:pPr>
      <w:r>
        <w:t>Archivar y desarchivar en cualquier estado, y eliminar un presupuesto que nunca fue activado (RF-PRE-39 y 40). Es lo que resuelve la licitación perdida sin ensuciar el estado Cerrado.</w:t>
      </w:r>
    </w:p>
    <w:p>
      <w:pPr>
        <w:spacing w:after="120"/>
      </w:pPr>
      <w:r>
        <w:t>Congelar la cabecera además de las cifras: código, nombre, ubicación, moneda y los tres porcentajes de AIU dejan de ser editables fuera de Abierto (RF-PRE-38), y los totales solo los escribe la función de recálculo (RNF-25).</w:t>
      </w:r>
    </w:p>
    <w:p>
      <w:pPr>
        <w:pStyle w:val="ListParagraph"/>
        <w:numPr>
          <w:ilvl w:val="0"/>
          <w:numId w:val="2"/>
        </w:numPr>
        <w:spacing w:after="90" w:line="276"/>
        <w:jc w:val="both"/>
      </w:pPr>
      <w:r>
        <w:rPr>
          <w:sz w:val="20"/>
          <w:szCs w:val="20"/>
        </w:rPr>
        <w:t xml:space="preserve">Versiones automáticas en los cuatro momentos y versión manual con motivo.</w:t>
      </w:r>
    </w:p>
    <w:p>
      <w:pPr>
        <w:pStyle w:val="ListParagraph"/>
        <w:numPr>
          <w:ilvl w:val="0"/>
          <w:numId w:val="2"/>
        </w:numPr>
        <w:spacing w:after="90" w:line="276"/>
        <w:jc w:val="both"/>
      </w:pPr>
      <w:r>
        <w:rPr>
          <w:sz w:val="20"/>
          <w:szCs w:val="20"/>
        </w:rPr>
        <w:t xml:space="preserve">Consulta de una versión en modo lectura.</w:t>
      </w:r>
    </w:p>
    <w:p>
      <w:pPr>
        <w:pStyle w:val="ListParagraph"/>
        <w:numPr>
          <w:ilvl w:val="0"/>
          <w:numId w:val="2"/>
        </w:numPr>
        <w:spacing w:after="90" w:line="276"/>
        <w:jc w:val="both"/>
      </w:pPr>
      <w:r>
        <w:rPr>
          <w:sz w:val="20"/>
          <w:szCs w:val="20"/>
        </w:rPr>
        <w:t xml:space="preserve">Panel lateral del historial con sus filtros.</w:t>
      </w:r>
    </w:p>
    <w:p>
      <w:pPr>
        <w:pStyle w:val="ListParagraph"/>
        <w:numPr>
          <w:ilvl w:val="0"/>
          <w:numId w:val="2"/>
        </w:numPr>
        <w:spacing w:after="90" w:line="276"/>
        <w:jc w:val="both"/>
      </w:pPr>
      <w:r>
        <w:rPr>
          <w:sz w:val="20"/>
          <w:szCs w:val="20"/>
        </w:rPr>
        <w:t xml:space="preserve">La pregunta de propagación del APU, que ahora sí tiene presupuestos abiertos a los que afectar.</w:t>
      </w:r>
    </w:p>
    <w:p>
      <w:pPr>
        <w:pStyle w:val="Heading3"/>
        <w:spacing w:after="100" w:before="220"/>
      </w:pPr>
      <w:r>
        <w:rPr>
          <w:b/>
          <w:bCs/>
          <w:color w:val="5A6874"/>
          <w:sz w:val="20"/>
          <w:szCs w:val="20"/>
        </w:rPr>
        <w:t xml:space="preserve">Hito que cierra la fase</w:t>
      </w:r>
    </w:p>
    <w:tbl>
      <w:tblPr>
        <w:tblW w:type="dxa" w:w="9020"/>
        <w:tblBorders>
          <w:top w:val="none" w:color="FFFFFF" w:sz="0"/>
          <w:left w:val="single" w:color="2E7D5B" w:sz="18"/>
          <w:bottom w:val="none" w:color="FFFFFF" w:sz="0"/>
          <w:right w:val="none" w:color="FFFFFF" w:sz="0"/>
          <w:insideH w:val="none" w:color="FFFFFF" w:sz="0"/>
          <w:insideV w:val="none" w:color="FFFFFF" w:sz="0"/>
        </w:tblBorders>
      </w:tblPr>
      <w:tblGrid>
        <w:gridCol w:w="9020"/>
      </w:tblGrid>
      <w:tr>
        <w:trPr>
          <w:cantSplit/>
        </w:trPr>
        <w:tc>
          <w:tcPr>
            <w:tcW w:type="dxa" w:w="9020"/>
            <w:shd w:fill="EDF5F1" w:color="auto" w:val="clear"/>
            <w:tcMar>
              <w:top w:type="dxa" w:w="140"/>
              <w:left w:type="dxa" w:w="200"/>
              <w:bottom w:type="dxa" w:w="140"/>
              <w:right w:type="dxa" w:w="180"/>
            </w:tcMar>
          </w:tcPr>
          <w:p>
            <w:pPr>
              <w:spacing w:after="40" w:line="276"/>
              <w:jc w:val="both"/>
            </w:pPr>
            <w:r>
              <w:rPr>
                <w:sz w:val="19"/>
                <w:szCs w:val="19"/>
              </w:rPr>
              <w:t xml:space="preserve">Activar congela de verdad: un intento de cambiar una cantidad en un proyecto activo se rechaza aunque se invoque el servicio directamente. Reabrir exige justificación y queda en el historial, que nadie puede editar.</w:t>
            </w:r>
          </w:p>
        </w:tc>
      </w:tr>
    </w:tbl>
    <w:p>
      <w:pPr>
        <w:pStyle w:val="Heading1"/>
        <w:pBdr>
          <w:bottom w:val="single" w:color="13496B" w:sz="10" w:space="6"/>
        </w:pBdr>
        <w:spacing w:after="180" w:before="420"/>
      </w:pPr>
      <w:r>
        <w:rPr>
          <w:b/>
          <w:bCs/>
          <w:color w:val="13496B"/>
          <w:sz w:val="30"/>
          <w:szCs w:val="30"/>
        </w:rPr>
        <w:t xml:space="preserve">Fase 5 — Exportaciones</w:t>
      </w:r>
    </w:p>
    <w:p>
      <w:pPr>
        <w:spacing w:after="120" w:before="0" w:line="276"/>
        <w:jc w:val="both"/>
      </w:pPr>
      <w:r>
        <w:rPr>
          <w:sz w:val="20"/>
          <w:szCs w:val="20"/>
        </w:rPr>
        <w:t xml:space="preserve">Lo último de la cadena de presupuestación. Va aquí y no antes porque la estructura de la WBS todavía se mueve en las fases 3 y 4, y cada cambio obliga a rehacer el generador.</w:t>
      </w:r>
    </w:p>
    <w:p>
      <w:pPr>
        <w:spacing w:after="120" w:before="0" w:line="276"/>
        <w:jc w:val="both"/>
      </w:pPr>
      <w:r>
        <w:rPr>
          <w:i/>
          <w:iCs/>
          <w:color w:val="5A6874"/>
          <w:sz w:val="20"/>
          <w:szCs w:val="20"/>
        </w:rPr>
        <w:t xml:space="preserve">Requisitos que cubre: RF-PRE-29 a 31 · RF-VER-07 · RNF-20</w:t>
      </w:r>
    </w:p>
    <w:p>
      <w:pPr>
        <w:pStyle w:val="Heading3"/>
        <w:spacing w:after="100" w:before="220"/>
      </w:pPr>
      <w:r>
        <w:rPr>
          <w:b/>
          <w:bCs/>
          <w:color w:val="5A6874"/>
          <w:sz w:val="20"/>
          <w:szCs w:val="20"/>
        </w:rPr>
        <w:t xml:space="preserve">Qué se construye</w:t>
      </w:r>
    </w:p>
    <w:p>
      <w:pPr>
        <w:pStyle w:val="ListParagraph"/>
        <w:numPr>
          <w:ilvl w:val="0"/>
          <w:numId w:val="2"/>
        </w:numPr>
        <w:spacing w:after="90" w:line="276"/>
        <w:jc w:val="both"/>
      </w:pPr>
      <w:r>
        <w:rPr>
          <w:sz w:val="20"/>
          <w:szCs w:val="20"/>
        </w:rPr>
        <w:t xml:space="preserve">Excel con agrupamiento nativo de filas y los controles (+ / −) por nivel jerárquico.</w:t>
      </w:r>
    </w:p>
    <w:p>
      <w:pPr>
        <w:pStyle w:val="ListParagraph"/>
        <w:numPr>
          <w:ilvl w:val="0"/>
          <w:numId w:val="2"/>
        </w:numPr>
        <w:spacing w:after="90" w:line="276"/>
        <w:jc w:val="both"/>
      </w:pPr>
      <w:r>
        <w:rPr>
          <w:sz w:val="20"/>
          <w:szCs w:val="20"/>
        </w:rPr>
        <w:t xml:space="preserve">PDF corporativo con logo y NIT en el encabezado y la WBS en tabla jerárquica.</w:t>
      </w:r>
    </w:p>
    <w:p>
      <w:pPr>
        <w:pStyle w:val="ListParagraph"/>
        <w:numPr>
          <w:ilvl w:val="0"/>
          <w:numId w:val="2"/>
        </w:numPr>
        <w:spacing w:after="90" w:line="276"/>
        <w:jc w:val="both"/>
      </w:pPr>
      <w:r>
        <w:rPr>
          <w:sz w:val="20"/>
          <w:szCs w:val="20"/>
        </w:rPr>
        <w:t xml:space="preserve">Exportación de una versión específica, con su número indicado en el documento.</w:t>
      </w:r>
    </w:p>
    <w:p>
      <w:pPr>
        <w:pStyle w:val="Heading3"/>
        <w:spacing w:after="100" w:before="220"/>
      </w:pPr>
      <w:r>
        <w:rPr>
          <w:b/>
          <w:bCs/>
          <w:color w:val="5A6874"/>
          <w:sz w:val="20"/>
          <w:szCs w:val="20"/>
        </w:rPr>
        <w:t xml:space="preserve">Hito que cierra la fase</w:t>
      </w:r>
    </w:p>
    <w:tbl>
      <w:tblPr>
        <w:tblW w:type="dxa" w:w="9020"/>
        <w:tblBorders>
          <w:top w:val="none" w:color="FFFFFF" w:sz="0"/>
          <w:left w:val="single" w:color="2E7D5B" w:sz="18"/>
          <w:bottom w:val="none" w:color="FFFFFF" w:sz="0"/>
          <w:right w:val="none" w:color="FFFFFF" w:sz="0"/>
          <w:insideH w:val="none" w:color="FFFFFF" w:sz="0"/>
          <w:insideV w:val="none" w:color="FFFFFF" w:sz="0"/>
        </w:tblBorders>
      </w:tblPr>
      <w:tblGrid>
        <w:gridCol w:w="9020"/>
      </w:tblGrid>
      <w:tr>
        <w:trPr>
          <w:cantSplit/>
        </w:trPr>
        <w:tc>
          <w:tcPr>
            <w:tcW w:type="dxa" w:w="9020"/>
            <w:shd w:fill="EDF5F1" w:color="auto" w:val="clear"/>
            <w:tcMar>
              <w:top w:type="dxa" w:w="140"/>
              <w:left w:type="dxa" w:w="200"/>
              <w:bottom w:type="dxa" w:w="140"/>
              <w:right w:type="dxa" w:w="180"/>
            </w:tcMar>
          </w:tcPr>
          <w:p>
            <w:pPr>
              <w:spacing w:after="40" w:line="276"/>
              <w:jc w:val="both"/>
            </w:pPr>
            <w:r>
              <w:rPr>
                <w:sz w:val="19"/>
                <w:szCs w:val="19"/>
              </w:rPr>
              <w:t xml:space="preserve">El PDF que sale se le puede mostrar a un cliente sin que dé vergüenza, y el Excel se abre con los capítulos plegados.</w:t>
            </w:r>
          </w:p>
        </w:tc>
      </w:tr>
    </w:tbl>
    <w:p>
      <w:pPr>
        <w:pStyle w:val="Heading1"/>
        <w:pBdr>
          <w:bottom w:val="single" w:color="13496B" w:sz="10" w:space="6"/>
        </w:pBdr>
        <w:spacing w:after="180" w:before="420"/>
      </w:pPr>
      <w:r>
        <w:rPr>
          <w:b/>
          <w:bCs/>
          <w:color w:val="13496B"/>
          <w:sz w:val="30"/>
          <w:szCs w:val="30"/>
        </w:rPr>
        <w:t>Fase 6 — Superadministración y cobro</w:t>
      </w:r>
    </w:p>
    <w:p>
      <w:pPr>
        <w:spacing w:after="120" w:before="0" w:line="276"/>
        <w:jc w:val="both"/>
      </w:pPr>
      <w:r>
        <w:rPr>
          <w:sz w:val="20"/>
          <w:szCs w:val="20"/>
        </w:rPr>
        <w:t xml:space="preserve">Va tan tarde a propósito. No se puede vender sin panel de superadministración, pero sí se puede operar a los primeros clientes a mano mientras se valida que el producto le sirve a alguien. Es la clase de módulo que se siente urgente y no lo es.</w:t>
      </w:r>
    </w:p>
    <w:p>
      <w:pPr>
        <w:spacing w:after="120" w:before="0" w:line="276"/>
        <w:jc w:val="both"/>
      </w:pPr>
      <w:r>
        <w:rPr>
          <w:i/>
          <w:iCs/>
          <w:color w:val="5A6874"/>
          <w:sz w:val="20"/>
          <w:szCs w:val="20"/>
        </w:rPr>
        <w:t>Requisitos que cubre: RF-SAD-01 a 10, 12 a 15 · RF-CFG-06 a 08</w:t>
      </w:r>
    </w:p>
    <w:p>
      <w:pPr>
        <w:pStyle w:val="Heading3"/>
        <w:spacing w:after="100" w:before="220"/>
      </w:pPr>
      <w:r>
        <w:rPr>
          <w:b/>
          <w:bCs/>
          <w:color w:val="5A6874"/>
          <w:sz w:val="20"/>
          <w:szCs w:val="20"/>
        </w:rPr>
        <w:t xml:space="preserve">Qué se construye</w:t>
      </w:r>
    </w:p>
    <w:p>
      <w:pPr>
        <w:pStyle w:val="ListParagraph"/>
        <w:numPr>
          <w:ilvl w:val="0"/>
          <w:numId w:val="2"/>
        </w:numPr>
        <w:spacing w:after="90" w:line="276"/>
        <w:jc w:val="both"/>
      </w:pPr>
      <w:r>
        <w:rPr>
          <w:sz w:val="20"/>
          <w:szCs w:val="20"/>
        </w:rPr>
        <w:t xml:space="preserve">Acceso por URL propia, separada de la de los inquilinos.</w:t>
      </w:r>
    </w:p>
    <w:p>
      <w:pPr>
        <w:pStyle w:val="ListParagraph"/>
        <w:numPr>
          <w:ilvl w:val="0"/>
          <w:numId w:val="2"/>
        </w:numPr>
        <w:spacing w:after="90" w:line="276"/>
        <w:jc w:val="both"/>
      </w:pPr>
      <w:r>
        <w:rPr>
          <w:sz w:val="20"/>
          <w:szCs w:val="20"/>
        </w:rPr>
        <w:t xml:space="preserve">Dashboard global y panel de métricas.</w:t>
      </w:r>
    </w:p>
    <w:p>
      <w:pPr>
        <w:pStyle w:val="ListParagraph"/>
        <w:numPr>
          <w:ilvl w:val="0"/>
          <w:numId w:val="2"/>
        </w:numPr>
        <w:spacing w:after="90" w:line="276"/>
        <w:jc w:val="both"/>
      </w:pPr>
      <w:r>
        <w:rPr>
          <w:sz w:val="20"/>
          <w:szCs w:val="20"/>
        </w:rPr>
        <w:t xml:space="preserve">Listado y ficha de tenants, con suspensión y reactivación sin pérdida de datos.</w:t>
      </w:r>
    </w:p>
    <w:p>
      <w:pPr>
        <w:spacing w:after="120"/>
      </w:pPr>
      <w:r>
        <w:t xml:space="preserve">Designar administrador cuando una empresa se queda sin ninguno (RF-SAD-14) y eliminar los datos de una empresa a mano, con justificación escrita (RF-SAD-15); el resto lo elimina la purga diaria (D-74, D-76).</w:t>
      </w:r>
    </w:p>
    <w:p>
      <w:pPr>
        <w:pStyle w:val="ListParagraph"/>
        <w:numPr>
          <w:ilvl w:val="0"/>
          <w:numId w:val="2"/>
        </w:numPr>
        <w:spacing w:after="90" w:line="276"/>
        <w:jc w:val="both"/>
      </w:pPr>
      <w:r>
        <w:rPr>
          <w:sz w:val="20"/>
          <w:szCs w:val="20"/>
        </w:rPr>
        <w:t xml:space="preserve">Cambio manual de plan y ajuste de vencimiento.</w:t>
      </w:r>
    </w:p>
    <w:p>
      <w:pPr>
        <w:pStyle w:val="ListParagraph"/>
        <w:numPr>
          <w:ilvl w:val="0"/>
          <w:numId w:val="2"/>
        </w:numPr>
        <w:spacing w:after="90" w:line="276"/>
        <w:jc w:val="both"/>
      </w:pPr>
      <w:r>
        <w:rPr>
          <w:sz w:val="20"/>
          <w:szCs w:val="20"/>
        </w:rPr>
        <w:t>Suscripciones, historial de pagos y registro manual de pagos externos con su soporte adjunto y la fecha de vencimiento que fija el superadministrador (D-36). La pasarela no se construye en esta fase, pero la base ya la admite: el día que se conecte, el webhook entra por plataforma.fn_registrar_pago_pasarela sin migrar ninguna tabla (D-40). Designar administrador cuando una empresa se queda sin ninguno se resuelve con app.fn_designar_admin, y los avisos de vencimiento marcan su envío con plataforma.fn_marcar_aviso.</w:t>
      </w:r>
    </w:p>
    <w:p>
      <w:pPr>
        <w:pStyle w:val="ListParagraph"/>
        <w:numPr>
          <w:ilvl w:val="0"/>
          <w:numId w:val="2"/>
        </w:numPr>
        <w:spacing w:after="90" w:line="276"/>
        <w:jc w:val="both"/>
      </w:pPr>
      <w:r>
        <w:rPr>
          <w:sz w:val="20"/>
          <w:szCs w:val="20"/>
        </w:rPr>
        <w:t xml:space="preserve">Pestaña de suscripción y facturación del lado del inquilino.</w:t>
      </w:r>
    </w:p>
    <w:p>
      <w:pPr>
        <w:pStyle w:val="Heading3"/>
        <w:spacing w:after="100" w:before="220"/>
      </w:pPr>
      <w:r>
        <w:rPr>
          <w:b/>
          <w:bCs/>
          <w:color w:val="5A6874"/>
          <w:sz w:val="20"/>
          <w:szCs w:val="20"/>
        </w:rPr>
        <w:t xml:space="preserve">Hito que cierra la fase</w:t>
      </w:r>
    </w:p>
    <w:tbl>
      <w:tblPr>
        <w:tblW w:type="dxa" w:w="9020"/>
        <w:tblBorders>
          <w:top w:val="none" w:color="FFFFFF" w:sz="0"/>
          <w:left w:val="single" w:color="2E7D5B" w:sz="18"/>
          <w:bottom w:val="none" w:color="FFFFFF" w:sz="0"/>
          <w:right w:val="none" w:color="FFFFFF" w:sz="0"/>
          <w:insideH w:val="none" w:color="FFFFFF" w:sz="0"/>
          <w:insideV w:val="none" w:color="FFFFFF" w:sz="0"/>
        </w:tblBorders>
      </w:tblPr>
      <w:tblGrid>
        <w:gridCol w:w="9020"/>
      </w:tblGrid>
      <w:tr>
        <w:trPr>
          <w:cantSplit/>
        </w:trPr>
        <w:tc>
          <w:tcPr>
            <w:tcW w:type="dxa" w:w="9020"/>
            <w:shd w:fill="EDF5F1" w:color="auto" w:val="clear"/>
            <w:tcMar>
              <w:top w:type="dxa" w:w="140"/>
              <w:left w:type="dxa" w:w="200"/>
              <w:bottom w:type="dxa" w:w="140"/>
              <w:right w:type="dxa" w:w="180"/>
            </w:tcMar>
          </w:tcPr>
          <w:p>
            <w:pPr>
              <w:spacing w:after="40" w:line="276"/>
              <w:jc w:val="both"/>
            </w:pPr>
            <w:r>
              <w:rPr>
                <w:sz w:val="19"/>
                <w:szCs w:val="19"/>
              </w:rPr>
              <w:t xml:space="preserve">Se suspende una cuenta, el ingeniero pierde el acceso, se reactiva y recupera todo tal como estaba.</w:t>
            </w:r>
          </w:p>
        </w:tc>
      </w:tr>
    </w:tbl>
    <w:p>
      <w:pPr>
        <w:pStyle w:val="Heading1"/>
        <w:pBdr>
          <w:bottom w:val="single" w:color="13496B" w:sz="10" w:space="6"/>
        </w:pBdr>
        <w:spacing w:after="180" w:before="420"/>
      </w:pPr>
      <w:r>
        <w:rPr>
          <w:b/>
          <w:bCs/>
          <w:color w:val="13496B"/>
          <w:sz w:val="30"/>
          <w:szCs w:val="30"/>
        </w:rPr>
        <w:t>Fase 7 — Notificaciones y pulido</w:t>
      </w:r>
    </w:p>
    <w:p>
      <w:pPr>
        <w:spacing w:after="120" w:before="0" w:line="276"/>
        <w:jc w:val="both"/>
      </w:pPr>
      <w:r>
        <w:rPr>
          <w:sz w:val="20"/>
          <w:szCs w:val="20"/>
        </w:rPr>
        <w:t xml:space="preserve">Lo que hace que el sistema se sienta terminado. Es tentador dejarlo sin hacer; no conviene, porque es precisamente lo que separa un producto de un prototipo.</w:t>
      </w:r>
    </w:p>
    <w:p>
      <w:pPr>
        <w:spacing w:after="120" w:before="0" w:line="276"/>
        <w:jc w:val="both"/>
      </w:pPr>
      <w:r>
        <w:rPr>
          <w:i/>
          <w:iCs/>
          <w:color w:val="5A6874"/>
          <w:sz w:val="20"/>
          <w:szCs w:val="20"/>
        </w:rPr>
        <w:t xml:space="preserve">Requisitos que cubre: RF-CFG-21 · RNF-11 a 16</w:t>
      </w:r>
    </w:p>
    <w:p>
      <w:pPr>
        <w:pStyle w:val="Heading3"/>
        <w:spacing w:after="100" w:before="220"/>
      </w:pPr>
      <w:r>
        <w:rPr>
          <w:b/>
          <w:bCs/>
          <w:color w:val="5A6874"/>
          <w:sz w:val="20"/>
          <w:szCs w:val="20"/>
        </w:rPr>
        <w:t xml:space="preserve">Qué se construye</w:t>
      </w:r>
    </w:p>
    <w:p>
      <w:pPr>
        <w:pStyle w:val="ListParagraph"/>
        <w:numPr>
          <w:ilvl w:val="0"/>
          <w:numId w:val="2"/>
        </w:numPr>
        <w:spacing w:after="90" w:line="276"/>
        <w:jc w:val="both"/>
      </w:pPr>
      <w:r>
        <w:rPr>
          <w:sz w:val="20"/>
          <w:szCs w:val="20"/>
        </w:rPr>
        <w:t xml:space="preserve">Correos de vencimiento de suscripción con cinco días de anticipación y de cambio de estado del proyecto.</w:t>
      </w:r>
    </w:p>
    <w:p>
      <w:pPr>
        <w:pStyle w:val="ListParagraph"/>
        <w:numPr>
          <w:ilvl w:val="0"/>
          <w:numId w:val="2"/>
        </w:numPr>
        <w:spacing w:after="90" w:line="276"/>
        <w:jc w:val="both"/>
      </w:pPr>
      <w:r>
        <w:rPr>
          <w:sz w:val="20"/>
          <w:szCs w:val="20"/>
        </w:rPr>
        <w:t xml:space="preserve">Revisión de que todo mensaje de error diga causa y acción correctiva.</w:t>
      </w:r>
    </w:p>
    <w:p>
      <w:pPr>
        <w:pStyle w:val="ListParagraph"/>
        <w:numPr>
          <w:ilvl w:val="0"/>
          <w:numId w:val="2"/>
        </w:numPr>
        <w:spacing w:after="90" w:line="276"/>
        <w:jc w:val="both"/>
      </w:pPr>
      <w:r>
        <w:rPr>
          <w:sz w:val="20"/>
          <w:szCs w:val="20"/>
        </w:rPr>
        <w:t xml:space="preserve">Revisión de que el botón Volver esté en todos los niveles de navegación.</w:t>
      </w:r>
    </w:p>
    <w:p>
      <w:pPr>
        <w:pStyle w:val="ListParagraph"/>
        <w:numPr>
          <w:ilvl w:val="0"/>
          <w:numId w:val="2"/>
        </w:numPr>
        <w:spacing w:after="90" w:line="276"/>
        <w:jc w:val="both"/>
      </w:pPr>
      <w:r>
        <w:rPr>
          <w:sz w:val="20"/>
          <w:szCs w:val="20"/>
        </w:rPr>
        <w:t xml:space="preserve">Revisión de formatos numéricos y decimales en pantalla e impresión.</w:t>
      </w:r>
    </w:p>
    <w:p>
      <w:pPr>
        <w:pStyle w:val="Heading3"/>
        <w:spacing w:after="100" w:before="220"/>
      </w:pPr>
      <w:r>
        <w:rPr>
          <w:b/>
          <w:bCs/>
          <w:color w:val="5A6874"/>
          <w:sz w:val="20"/>
          <w:szCs w:val="20"/>
        </w:rPr>
        <w:t xml:space="preserve">Hito que cierra la fase</w:t>
      </w:r>
    </w:p>
    <w:tbl>
      <w:tblPr>
        <w:tblW w:type="dxa" w:w="9020"/>
        <w:tblBorders>
          <w:top w:val="none" w:color="FFFFFF" w:sz="0"/>
          <w:left w:val="single" w:color="2E7D5B" w:sz="18"/>
          <w:bottom w:val="none" w:color="FFFFFF" w:sz="0"/>
          <w:right w:val="none" w:color="FFFFFF" w:sz="0"/>
          <w:insideH w:val="none" w:color="FFFFFF" w:sz="0"/>
          <w:insideV w:val="none" w:color="FFFFFF" w:sz="0"/>
        </w:tblBorders>
      </w:tblPr>
      <w:tblGrid>
        <w:gridCol w:w="9020"/>
      </w:tblGrid>
      <w:tr>
        <w:trPr>
          <w:cantSplit/>
        </w:trPr>
        <w:tc>
          <w:tcPr>
            <w:tcW w:type="dxa" w:w="9020"/>
            <w:shd w:fill="EDF5F1" w:color="auto" w:val="clear"/>
            <w:tcMar>
              <w:top w:type="dxa" w:w="140"/>
              <w:left w:type="dxa" w:w="200"/>
              <w:bottom w:type="dxa" w:w="140"/>
              <w:right w:type="dxa" w:w="180"/>
            </w:tcMar>
          </w:tcPr>
          <w:p>
            <w:pPr>
              <w:spacing w:after="40" w:line="276"/>
              <w:jc w:val="both"/>
            </w:pPr>
            <w:r>
              <w:rPr>
                <w:sz w:val="19"/>
                <w:szCs w:val="19"/>
              </w:rPr>
              <w:t xml:space="preserve">Un usuario nuevo recorre el sistema completo sin quedarse atascado ni encontrar un mensaje que no le diga qué hacer.</w:t>
            </w:r>
          </w:p>
        </w:tc>
      </w:tr>
    </w:tbl>
    <w:p>
      <w:pPr>
        <w:pStyle w:val="Heading1"/>
        <w:pBdr>
          <w:bottom w:val="single" w:color="13496B" w:sz="10" w:space="6"/>
        </w:pBdr>
        <w:spacing w:after="180" w:before="420"/>
      </w:pPr>
      <w:r>
        <w:rPr>
          <w:b/>
          <w:bCs/>
          <w:color w:val="13496B"/>
          <w:sz w:val="30"/>
          <w:szCs w:val="30"/>
        </w:rPr>
        <w:t xml:space="preserve">Resumen</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900"/>
        <w:gridCol w:w="2600"/>
        <w:gridCol w:w="5520"/>
      </w:tblGrid>
      <w:tr>
        <w:trPr>
          <w:cantSplit/>
          <w:tblHeader/>
        </w:trPr>
        <w:tc>
          <w:tcPr>
            <w:tcW w:type="dxa" w:w="9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Fase</w:t>
            </w:r>
          </w:p>
        </w:tc>
        <w:tc>
          <w:tcPr>
            <w:tcW w:type="dxa" w:w="26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Entrega</w:t>
            </w:r>
          </w:p>
        </w:tc>
        <w:tc>
          <w:tcPr>
            <w:tcW w:type="dxa" w:w="55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Hito</w:t>
            </w:r>
          </w:p>
        </w:tc>
      </w:tr>
      <w:tr>
        <w:trPr>
          <w:cantSplit/>
        </w:trPr>
        <w:tc>
          <w:tcPr>
            <w:tcW w:type="dxa" w:w="900"/>
            <w:shd w:fill="auto" w:color="auto" w:val="clear"/>
            <w:tcMar>
              <w:top w:type="dxa" w:w="70"/>
              <w:left w:type="dxa" w:w="110"/>
              <w:bottom w:type="dxa" w:w="70"/>
              <w:right w:type="dxa" w:w="110"/>
            </w:tcMar>
          </w:tcPr>
          <w:p>
            <w:pPr>
              <w:spacing w:after="40" w:before="40" w:line="240"/>
              <w:jc w:val="left"/>
            </w:pPr>
            <w:r>
              <w:rPr>
                <w:sz w:val="18"/>
                <w:szCs w:val="18"/>
              </w:rPr>
              <w:t xml:space="preserve">0</w:t>
            </w:r>
          </w:p>
        </w:tc>
        <w:tc>
          <w:tcPr>
            <w:tcW w:type="dxa" w:w="2600"/>
            <w:shd w:fill="auto" w:color="auto" w:val="clear"/>
            <w:tcMar>
              <w:top w:type="dxa" w:w="70"/>
              <w:left w:type="dxa" w:w="110"/>
              <w:bottom w:type="dxa" w:w="70"/>
              <w:right w:type="dxa" w:w="110"/>
            </w:tcMar>
          </w:tcPr>
          <w:p>
            <w:pPr>
              <w:spacing w:after="40" w:before="40" w:line="240"/>
              <w:jc w:val="left"/>
            </w:pPr>
            <w:r>
              <w:rPr>
                <w:sz w:val="18"/>
                <w:szCs w:val="18"/>
              </w:rPr>
              <w:t xml:space="preserve">Cimientos</w:t>
            </w:r>
          </w:p>
        </w:tc>
        <w:tc>
          <w:tcPr>
            <w:tcW w:type="dxa" w:w="5520"/>
            <w:shd w:fill="auto" w:color="auto" w:val="clear"/>
            <w:tcMar>
              <w:top w:type="dxa" w:w="70"/>
              <w:left w:type="dxa" w:w="110"/>
              <w:bottom w:type="dxa" w:w="70"/>
              <w:right w:type="dxa" w:w="110"/>
            </w:tcMar>
          </w:tcPr>
          <w:p>
            <w:pPr>
              <w:spacing w:after="40" w:before="40" w:line="240"/>
              <w:jc w:val="left"/>
            </w:pPr>
            <w:r>
              <w:rPr>
                <w:sz w:val="18"/>
                <w:szCs w:val="18"/>
              </w:rPr>
              <w:t>Dos empresas aisladas y app.fn_verificar_rls() en cero, ambas con prueba automática</w:t>
            </w:r>
          </w:p>
        </w:tc>
      </w:tr>
      <w:tr>
        <w:trPr>
          <w:cantSplit/>
        </w:trPr>
        <w:tc>
          <w:tcPr>
            <w:tcW w:type="dxa" w:w="900"/>
            <w:shd w:fill="F7F9FA" w:color="auto" w:val="clear"/>
            <w:tcMar>
              <w:top w:type="dxa" w:w="70"/>
              <w:left w:type="dxa" w:w="110"/>
              <w:bottom w:type="dxa" w:w="70"/>
              <w:right w:type="dxa" w:w="110"/>
            </w:tcMar>
          </w:tcPr>
          <w:p>
            <w:pPr>
              <w:spacing w:after="40" w:before="40" w:line="240"/>
              <w:jc w:val="left"/>
            </w:pPr>
            <w:r>
              <w:rPr>
                <w:sz w:val="18"/>
                <w:szCs w:val="18"/>
              </w:rPr>
              <w:t xml:space="preserve">1</w:t>
            </w:r>
          </w:p>
        </w:tc>
        <w:tc>
          <w:tcPr>
            <w:tcW w:type="dxa" w:w="2600"/>
            <w:shd w:fill="F7F9FA" w:color="auto" w:val="clear"/>
            <w:tcMar>
              <w:top w:type="dxa" w:w="70"/>
              <w:left w:type="dxa" w:w="110"/>
              <w:bottom w:type="dxa" w:w="70"/>
              <w:right w:type="dxa" w:w="110"/>
            </w:tcMar>
          </w:tcPr>
          <w:p>
            <w:pPr>
              <w:spacing w:after="40" w:before="40" w:line="240"/>
              <w:jc w:val="left"/>
            </w:pPr>
            <w:r>
              <w:rPr>
                <w:sz w:val="18"/>
                <w:szCs w:val="18"/>
              </w:rPr>
              <w:t xml:space="preserve">Recursos</w:t>
            </w:r>
          </w:p>
        </w:tc>
        <w:tc>
          <w:tcPr>
            <w:tcW w:type="dxa" w:w="5520"/>
            <w:shd w:fill="F7F9FA" w:color="auto" w:val="clear"/>
            <w:tcMar>
              <w:top w:type="dxa" w:w="70"/>
              <w:left w:type="dxa" w:w="110"/>
              <w:bottom w:type="dxa" w:w="70"/>
              <w:right w:type="dxa" w:w="110"/>
            </w:tcMar>
          </w:tcPr>
          <w:p>
            <w:pPr>
              <w:spacing w:after="40" w:before="40" w:line="240"/>
              <w:jc w:val="left"/>
            </w:pPr>
            <w:r>
              <w:rPr>
                <w:sz w:val="18"/>
                <w:szCs w:val="18"/>
              </w:rPr>
              <w:t xml:space="preserve">Un material con IVA y sus dos precios cuadrados</w:t>
            </w:r>
          </w:p>
        </w:tc>
      </w:tr>
      <w:tr>
        <w:trPr>
          <w:cantSplit/>
        </w:trPr>
        <w:tc>
          <w:tcPr>
            <w:tcW w:type="dxa" w:w="900"/>
            <w:shd w:fill="auto" w:color="auto" w:val="clear"/>
            <w:tcMar>
              <w:top w:type="dxa" w:w="70"/>
              <w:left w:type="dxa" w:w="110"/>
              <w:bottom w:type="dxa" w:w="70"/>
              <w:right w:type="dxa" w:w="110"/>
            </w:tcMar>
          </w:tcPr>
          <w:p>
            <w:pPr>
              <w:spacing w:after="40" w:before="40" w:line="240"/>
              <w:jc w:val="left"/>
            </w:pPr>
            <w:r>
              <w:rPr>
                <w:sz w:val="18"/>
                <w:szCs w:val="18"/>
              </w:rPr>
              <w:t xml:space="preserve">2</w:t>
            </w:r>
          </w:p>
        </w:tc>
        <w:tc>
          <w:tcPr>
            <w:tcW w:type="dxa" w:w="2600"/>
            <w:shd w:fill="auto" w:color="auto" w:val="clear"/>
            <w:tcMar>
              <w:top w:type="dxa" w:w="70"/>
              <w:left w:type="dxa" w:w="110"/>
              <w:bottom w:type="dxa" w:w="70"/>
              <w:right w:type="dxa" w:w="110"/>
            </w:tcMar>
          </w:tcPr>
          <w:p>
            <w:pPr>
              <w:spacing w:after="40" w:before="40" w:line="240"/>
              <w:jc w:val="left"/>
            </w:pPr>
            <w:r>
              <w:rPr>
                <w:sz w:val="18"/>
                <w:szCs w:val="18"/>
              </w:rPr>
              <w:t xml:space="preserve">APU</w:t>
            </w:r>
          </w:p>
        </w:tc>
        <w:tc>
          <w:tcPr>
            <w:tcW w:type="dxa" w:w="5520"/>
            <w:shd w:fill="auto" w:color="auto" w:val="clear"/>
            <w:tcMar>
              <w:top w:type="dxa" w:w="70"/>
              <w:left w:type="dxa" w:w="110"/>
              <w:bottom w:type="dxa" w:w="70"/>
              <w:right w:type="dxa" w:w="110"/>
            </w:tcMar>
          </w:tcPr>
          <w:p>
            <w:pPr>
              <w:spacing w:after="40" w:before="40" w:line="240"/>
              <w:jc w:val="left"/>
            </w:pPr>
            <w:r>
              <w:rPr>
                <w:sz w:val="18"/>
                <w:szCs w:val="18"/>
              </w:rPr>
              <w:t xml:space="preserve">El costo directo coincide con el cálculo a mano</w:t>
            </w:r>
          </w:p>
        </w:tc>
      </w:tr>
      <w:tr>
        <w:trPr>
          <w:cantSplit/>
        </w:trPr>
        <w:tc>
          <w:tcPr>
            <w:tcW w:type="dxa" w:w="900"/>
            <w:shd w:fill="F7F9FA" w:color="auto" w:val="clear"/>
            <w:tcMar>
              <w:top w:type="dxa" w:w="70"/>
              <w:left w:type="dxa" w:w="110"/>
              <w:bottom w:type="dxa" w:w="70"/>
              <w:right w:type="dxa" w:w="110"/>
            </w:tcMar>
          </w:tcPr>
          <w:p>
            <w:pPr>
              <w:spacing w:after="40" w:before="40" w:line="240"/>
              <w:jc w:val="left"/>
            </w:pPr>
            <w:r>
              <w:rPr>
                <w:sz w:val="18"/>
                <w:szCs w:val="18"/>
              </w:rPr>
              <w:t xml:space="preserve">3</w:t>
            </w:r>
          </w:p>
        </w:tc>
        <w:tc>
          <w:tcPr>
            <w:tcW w:type="dxa" w:w="2600"/>
            <w:shd w:fill="F7F9FA" w:color="auto" w:val="clear"/>
            <w:tcMar>
              <w:top w:type="dxa" w:w="70"/>
              <w:left w:type="dxa" w:w="110"/>
              <w:bottom w:type="dxa" w:w="70"/>
              <w:right w:type="dxa" w:w="110"/>
            </w:tcMar>
          </w:tcPr>
          <w:p>
            <w:pPr>
              <w:spacing w:after="40" w:before="40" w:line="240"/>
              <w:jc w:val="left"/>
            </w:pPr>
            <w:r>
              <w:rPr>
                <w:sz w:val="18"/>
                <w:szCs w:val="18"/>
              </w:rPr>
              <w:t xml:space="preserve">Mesa de trabajo</w:t>
            </w:r>
          </w:p>
        </w:tc>
        <w:tc>
          <w:tcPr>
            <w:tcW w:type="dxa" w:w="5520"/>
            <w:shd w:fill="F7F9FA" w:color="auto" w:val="clear"/>
            <w:tcMar>
              <w:top w:type="dxa" w:w="70"/>
              <w:left w:type="dxa" w:w="110"/>
              <w:bottom w:type="dxa" w:w="70"/>
              <w:right w:type="dxa" w:w="110"/>
            </w:tcMar>
          </w:tcPr>
          <w:p>
            <w:pPr>
              <w:spacing w:after="40" w:before="40" w:line="240"/>
              <w:jc w:val="left"/>
            </w:pPr>
            <w:r>
              <w:rPr>
                <w:sz w:val="18"/>
                <w:szCs w:val="18"/>
              </w:rPr>
              <w:t xml:space="preserve">Un presupuesto completo con su valor total correcto</w:t>
            </w:r>
          </w:p>
        </w:tc>
      </w:tr>
      <w:tr>
        <w:trPr>
          <w:cantSplit/>
        </w:trPr>
        <w:tc>
          <w:tcPr>
            <w:tcW w:type="dxa" w:w="900"/>
            <w:shd w:fill="auto" w:color="auto" w:val="clear"/>
            <w:tcMar>
              <w:top w:type="dxa" w:w="70"/>
              <w:left w:type="dxa" w:w="110"/>
              <w:bottom w:type="dxa" w:w="70"/>
              <w:right w:type="dxa" w:w="110"/>
            </w:tcMar>
          </w:tcPr>
          <w:p>
            <w:pPr>
              <w:spacing w:after="40" w:before="40" w:line="240"/>
              <w:jc w:val="left"/>
            </w:pPr>
            <w:r>
              <w:rPr>
                <w:sz w:val="18"/>
                <w:szCs w:val="18"/>
              </w:rPr>
              <w:t xml:space="preserve">4</w:t>
            </w:r>
          </w:p>
        </w:tc>
        <w:tc>
          <w:tcPr>
            <w:tcW w:type="dxa" w:w="2600"/>
            <w:shd w:fill="auto" w:color="auto" w:val="clear"/>
            <w:tcMar>
              <w:top w:type="dxa" w:w="70"/>
              <w:left w:type="dxa" w:w="110"/>
              <w:bottom w:type="dxa" w:w="70"/>
              <w:right w:type="dxa" w:w="110"/>
            </w:tcMar>
          </w:tcPr>
          <w:p>
            <w:pPr>
              <w:spacing w:after="40" w:before="40" w:line="240"/>
              <w:jc w:val="left"/>
            </w:pPr>
            <w:r>
              <w:rPr>
                <w:sz w:val="18"/>
                <w:szCs w:val="18"/>
              </w:rPr>
              <w:t xml:space="preserve">Ciclo de vida</w:t>
            </w:r>
          </w:p>
        </w:tc>
        <w:tc>
          <w:tcPr>
            <w:tcW w:type="dxa" w:w="5520"/>
            <w:shd w:fill="auto" w:color="auto" w:val="clear"/>
            <w:tcMar>
              <w:top w:type="dxa" w:w="70"/>
              <w:left w:type="dxa" w:w="110"/>
              <w:bottom w:type="dxa" w:w="70"/>
              <w:right w:type="dxa" w:w="110"/>
            </w:tcMar>
          </w:tcPr>
          <w:p>
            <w:pPr>
              <w:spacing w:after="40" w:before="40" w:line="240"/>
              <w:jc w:val="left"/>
            </w:pPr>
            <w:r>
              <w:rPr>
                <w:sz w:val="18"/>
                <w:szCs w:val="18"/>
              </w:rPr>
              <w:t xml:space="preserve">Activar congela; reabrir exige justificación</w:t>
            </w:r>
          </w:p>
        </w:tc>
      </w:tr>
      <w:tr>
        <w:trPr>
          <w:cantSplit/>
        </w:trPr>
        <w:tc>
          <w:tcPr>
            <w:tcW w:type="dxa" w:w="900"/>
            <w:shd w:fill="F7F9FA" w:color="auto" w:val="clear"/>
            <w:tcMar>
              <w:top w:type="dxa" w:w="70"/>
              <w:left w:type="dxa" w:w="110"/>
              <w:bottom w:type="dxa" w:w="70"/>
              <w:right w:type="dxa" w:w="110"/>
            </w:tcMar>
          </w:tcPr>
          <w:p>
            <w:pPr>
              <w:spacing w:after="40" w:before="40" w:line="240"/>
              <w:jc w:val="left"/>
            </w:pPr>
            <w:r>
              <w:rPr>
                <w:sz w:val="18"/>
                <w:szCs w:val="18"/>
              </w:rPr>
              <w:t xml:space="preserve">5</w:t>
            </w:r>
          </w:p>
        </w:tc>
        <w:tc>
          <w:tcPr>
            <w:tcW w:type="dxa" w:w="2600"/>
            <w:shd w:fill="F7F9FA" w:color="auto" w:val="clear"/>
            <w:tcMar>
              <w:top w:type="dxa" w:w="70"/>
              <w:left w:type="dxa" w:w="110"/>
              <w:bottom w:type="dxa" w:w="70"/>
              <w:right w:type="dxa" w:w="110"/>
            </w:tcMar>
          </w:tcPr>
          <w:p>
            <w:pPr>
              <w:spacing w:after="40" w:before="40" w:line="240"/>
              <w:jc w:val="left"/>
            </w:pPr>
            <w:r>
              <w:rPr>
                <w:sz w:val="18"/>
                <w:szCs w:val="18"/>
              </w:rPr>
              <w:t xml:space="preserve">Exportaciones</w:t>
            </w:r>
          </w:p>
        </w:tc>
        <w:tc>
          <w:tcPr>
            <w:tcW w:type="dxa" w:w="5520"/>
            <w:shd w:fill="F7F9FA" w:color="auto" w:val="clear"/>
            <w:tcMar>
              <w:top w:type="dxa" w:w="70"/>
              <w:left w:type="dxa" w:w="110"/>
              <w:bottom w:type="dxa" w:w="70"/>
              <w:right w:type="dxa" w:w="110"/>
            </w:tcMar>
          </w:tcPr>
          <w:p>
            <w:pPr>
              <w:spacing w:after="40" w:before="40" w:line="240"/>
              <w:jc w:val="left"/>
            </w:pPr>
            <w:r>
              <w:rPr>
                <w:sz w:val="18"/>
                <w:szCs w:val="18"/>
              </w:rPr>
              <w:t xml:space="preserve">Un PDF presentable a un cliente</w:t>
            </w:r>
          </w:p>
        </w:tc>
      </w:tr>
      <w:tr>
        <w:trPr>
          <w:cantSplit/>
        </w:trPr>
        <w:tc>
          <w:tcPr>
            <w:tcW w:type="dxa" w:w="900"/>
            <w:shd w:fill="F7F9FA" w:color="auto" w:val="clear"/>
            <w:tcMar>
              <w:top w:type="dxa" w:w="70"/>
              <w:left w:type="dxa" w:w="110"/>
              <w:bottom w:type="dxa" w:w="70"/>
              <w:right w:type="dxa" w:w="110"/>
            </w:tcMar>
          </w:tcPr>
          <w:p>
            <w:pPr>
              <w:spacing w:after="40" w:before="40" w:line="240"/>
              <w:jc w:val="left"/>
            </w:pPr>
            <w:r>
              <w:rPr>
                <w:sz w:val="18"/>
                <w:szCs w:val="18"/>
              </w:rPr>
              <w:t>6</w:t>
            </w:r>
          </w:p>
        </w:tc>
        <w:tc>
          <w:tcPr>
            <w:tcW w:type="dxa" w:w="2600"/>
            <w:shd w:fill="F7F9FA" w:color="auto" w:val="clear"/>
            <w:tcMar>
              <w:top w:type="dxa" w:w="70"/>
              <w:left w:type="dxa" w:w="110"/>
              <w:bottom w:type="dxa" w:w="70"/>
              <w:right w:type="dxa" w:w="110"/>
            </w:tcMar>
          </w:tcPr>
          <w:p>
            <w:pPr>
              <w:spacing w:after="40" w:before="40" w:line="240"/>
              <w:jc w:val="left"/>
            </w:pPr>
            <w:r>
              <w:rPr>
                <w:sz w:val="18"/>
                <w:szCs w:val="18"/>
              </w:rPr>
              <w:t xml:space="preserve">Superadmin</w:t>
            </w:r>
          </w:p>
        </w:tc>
        <w:tc>
          <w:tcPr>
            <w:tcW w:type="dxa" w:w="5520"/>
            <w:shd w:fill="F7F9FA" w:color="auto" w:val="clear"/>
            <w:tcMar>
              <w:top w:type="dxa" w:w="70"/>
              <w:left w:type="dxa" w:w="110"/>
              <w:bottom w:type="dxa" w:w="70"/>
              <w:right w:type="dxa" w:w="110"/>
            </w:tcMar>
          </w:tcPr>
          <w:p>
            <w:pPr>
              <w:spacing w:after="40" w:before="40" w:line="240"/>
              <w:jc w:val="left"/>
            </w:pPr>
            <w:r>
              <w:rPr>
                <w:sz w:val="18"/>
                <w:szCs w:val="18"/>
              </w:rPr>
              <w:t xml:space="preserve">Suspender y reactivar sin perder datos</w:t>
            </w:r>
          </w:p>
        </w:tc>
      </w:tr>
      <w:tr>
        <w:trPr>
          <w:cantSplit/>
        </w:trPr>
        <w:tc>
          <w:tcPr>
            <w:tcW w:type="dxa" w:w="900"/>
            <w:shd w:fill="auto" w:color="auto" w:val="clear"/>
            <w:tcMar>
              <w:top w:type="dxa" w:w="70"/>
              <w:left w:type="dxa" w:w="110"/>
              <w:bottom w:type="dxa" w:w="70"/>
              <w:right w:type="dxa" w:w="110"/>
            </w:tcMar>
          </w:tcPr>
          <w:p>
            <w:pPr>
              <w:spacing w:after="40" w:before="40" w:line="240"/>
              <w:jc w:val="left"/>
            </w:pPr>
            <w:r>
              <w:rPr>
                <w:sz w:val="18"/>
                <w:szCs w:val="18"/>
              </w:rPr>
              <w:t>7</w:t>
            </w:r>
          </w:p>
        </w:tc>
        <w:tc>
          <w:tcPr>
            <w:tcW w:type="dxa" w:w="2600"/>
            <w:shd w:fill="auto" w:color="auto" w:val="clear"/>
            <w:tcMar>
              <w:top w:type="dxa" w:w="70"/>
              <w:left w:type="dxa" w:w="110"/>
              <w:bottom w:type="dxa" w:w="70"/>
              <w:right w:type="dxa" w:w="110"/>
            </w:tcMar>
          </w:tcPr>
          <w:p>
            <w:pPr>
              <w:spacing w:after="40" w:before="40" w:line="240"/>
              <w:jc w:val="left"/>
            </w:pPr>
            <w:r>
              <w:rPr>
                <w:sz w:val="18"/>
                <w:szCs w:val="18"/>
              </w:rPr>
              <w:t xml:space="preserve">Pulido</w:t>
            </w:r>
          </w:p>
        </w:tc>
        <w:tc>
          <w:tcPr>
            <w:tcW w:type="dxa" w:w="5520"/>
            <w:shd w:fill="auto" w:color="auto" w:val="clear"/>
            <w:tcMar>
              <w:top w:type="dxa" w:w="70"/>
              <w:left w:type="dxa" w:w="110"/>
              <w:bottom w:type="dxa" w:w="70"/>
              <w:right w:type="dxa" w:w="110"/>
            </w:tcMar>
          </w:tcPr>
          <w:p>
            <w:pPr>
              <w:spacing w:after="40" w:before="40" w:line="240"/>
              <w:jc w:val="left"/>
            </w:pPr>
            <w:r>
              <w:rPr>
                <w:sz w:val="18"/>
                <w:szCs w:val="18"/>
              </w:rPr>
              <w:t xml:space="preserve">Recorrido completo sin atascos</w:t>
            </w:r>
          </w:p>
        </w:tc>
      </w:tr>
    </w:tbl>
    <w:p>
      <w:pPr>
        <w:spacing w:after="100"/>
      </w:pPr>
    </w:p>
    <w:tbl>
      <w:tblPr>
        <w:tblW w:type="dxa" w:w="9020"/>
        <w:tblBorders>
          <w:top w:val="none" w:color="FFFFFF" w:sz="0"/>
          <w:left w:val="single" w:color="13496B" w:sz="18"/>
          <w:bottom w:val="none" w:color="FFFFFF" w:sz="0"/>
          <w:right w:val="none" w:color="FFFFFF" w:sz="0"/>
          <w:insideH w:val="none" w:color="FFFFFF" w:sz="0"/>
          <w:insideV w:val="none" w:color="FFFFFF" w:sz="0"/>
        </w:tblBorders>
      </w:tblPr>
      <w:tblGrid>
        <w:gridCol w:w="9020"/>
      </w:tblGrid>
      <w:tr>
        <w:trPr>
          <w:cantSplit/>
        </w:trPr>
        <w:tc>
          <w:tcPr>
            <w:tcW w:type="dxa" w:w="9020"/>
            <w:shd w:fill="E7EFF4" w:color="auto" w:val="clear"/>
            <w:tcMar>
              <w:top w:type="dxa" w:w="140"/>
              <w:left w:type="dxa" w:w="200"/>
              <w:bottom w:type="dxa" w:w="140"/>
              <w:right w:type="dxa" w:w="180"/>
            </w:tcMar>
          </w:tcPr>
          <w:p>
            <w:pPr>
              <w:spacing w:after="90" w:before="40"/>
            </w:pPr>
            <w:r>
              <w:rPr>
                <w:b/>
                <w:bCs/>
                <w:caps/>
                <w:color w:val="13496B"/>
                <w:sz w:val="18"/>
                <w:szCs w:val="18"/>
              </w:rPr>
              <w:t xml:space="preserve">Una recomendación de método</w:t>
            </w:r>
          </w:p>
          <w:p>
            <w:pPr>
              <w:spacing w:after="110" w:line="276"/>
              <w:jc w:val="both"/>
            </w:pPr>
            <w:r>
              <w:rPr>
                <w:sz w:val="19"/>
                <w:szCs w:val="19"/>
              </w:rPr>
              <w:t xml:space="preserve">Cada fase debería cerrar con su hito probado contra una base de datos real, no contra simulacros. El esquema defiende las reglas de negocio con triggers, así que una prueba que usa una base falsa no comprueba nada de lo que importa: puede pasar en verde mientras el sistema real rechaza la operación, o al revés.</w:t>
            </w:r>
          </w:p>
          <w:p>
            <w:pPr>
              <w:spacing w:after="40" w:line="276"/>
              <w:jc w:val="both"/>
            </w:pPr>
            <w:r>
              <w:rPr>
                <w:sz w:val="19"/>
                <w:szCs w:val="19"/>
              </w:rPr>
              <w:t>La lista de la sección 3.4 del documento 00 es el punto de partida de esa suite: cada punto comprueba una regla del esquema —que la base rechaza la operación prohibida, o que la cifra que produce es la correcta— y se ejecuta con el rol de la aplicación, no con un superusuario, porque la mitad de las defensas son privilegios.</w:t>
            </w:r>
          </w:p>
        </w:tc>
      </w:tr>
    </w:tbl>
    <w:p>
      <w:pPr>
        <w:spacing w:after="200"/>
      </w:pPr>
    </w:p>
    <w:p>
      <w:pPr>
        <w:pStyle w:val="Heading1"/>
        <w:pBdr>
          <w:bottom w:val="single" w:color="13496B" w:sz="10" w:space="6"/>
        </w:pBdr>
        <w:spacing w:after="180" w:before="420"/>
      </w:pPr>
      <w:r>
        <w:rPr>
          <w:b/>
          <w:bCs/>
          <w:color w:val="13496B"/>
          <w:sz w:val="30"/>
          <w:szCs w:val="30"/>
        </w:rPr>
        <w:t>Qué sigue después del MVP</w:t>
      </w:r>
    </w:p>
    <w:p>
      <w:pPr>
        <w:spacing w:after="120" w:before="0" w:line="276"/>
        <w:jc w:val="both"/>
      </w:pPr>
      <w:r>
        <w:rPr>
          <w:sz w:val="20"/>
          <w:szCs w:val="20"/>
        </w:rPr>
        <w:t>Las fases 0 a 7 de este documento son las etapas de construcción del MVP. En el vocabulario del producto, ese MVP completo es la fase 1: presupuestar bien, de punta a punta. Lo que sigue se numera como fase 2, fase 3 y fase 4 del producto, y es a eso a lo que remiten los documentos 01 y 02 cuando dicen que algo «llega en la fase 2».</w:t>
      </w:r>
    </w:p>
    <w:p>
      <w:pPr>
        <w:spacing w:after="120" w:before="0" w:line="276"/>
        <w:jc w:val="both"/>
      </w:pPr>
      <w:r>
        <w:rPr>
          <w:sz w:val="20"/>
          <w:szCs w:val="20"/>
        </w:rPr>
        <w:t>El orden de aquí en adelante obedece a la misma lógica que el del MVP: la cadena de datos. No hay avance de obra creíble sin consumo de recursos, no hay consumo sin salidas de almacén, no hay salidas sin entradas, y no hay entradas sin compras ni proveedores. Quien intente empezar por el final —la barra de avance— vuelve a construir lo que el MVP acaba de retirar.</w:t>
      </w:r>
    </w:p>
    <w:p>
      <w:pPr>
        <w:pStyle w:val="Heading1"/>
        <w:pBdr>
          <w:bottom w:val="single" w:color="13496B" w:sz="10" w:space="6"/>
        </w:pBdr>
        <w:spacing w:after="180" w:before="420"/>
      </w:pPr>
      <w:r>
        <w:rPr>
          <w:b/>
          <w:bCs/>
          <w:color w:val="13496B"/>
          <w:sz w:val="30"/>
          <w:szCs w:val="30"/>
        </w:rPr>
        <w:t>Las reglas para crecer sin romper lo que ya funciona</w:t>
      </w:r>
    </w:p>
    <w:p>
      <w:pPr>
        <w:spacing w:after="120" w:before="0" w:line="276"/>
        <w:jc w:val="both"/>
      </w:pPr>
      <w:r>
        <w:rPr>
          <w:sz w:val="20"/>
          <w:szCs w:val="20"/>
        </w:rPr>
        <w:t>Estas seis reglas no son burocracia: son lo que permite que la fase 2 entre en una base que ya tiene clientes con presupuestos aprobados, sin que nadie pierda un dato ni una noche.</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900"/>
        <w:gridCol w:w="2600"/>
        <w:gridCol w:w="5520"/>
      </w:tblGrid>
      <w:tr>
        <w:trPr>
          <w:cantSplit/>
          <w:tblHeader/>
        </w:trPr>
        <w:tc>
          <w:tcPr>
            <w:tcW w:type="dxa" w:w="900"/>
            <w:shd w:fill="13496B" w:color="auto" w:val="clear"/>
            <w:tcMar>
              <w:top w:type="dxa" w:w="70"/>
              <w:left w:type="dxa" w:w="110"/>
              <w:bottom w:type="dxa" w:w="70"/>
              <w:right w:type="dxa" w:w="110"/>
            </w:tcMar>
          </w:tcPr>
          <w:p>
            <w:pPr>
              <w:spacing w:after="40" w:before="40" w:line="240"/>
              <w:jc w:val="left"/>
            </w:pPr>
            <w:r>
              <w:rPr>
                <w:b/>
                <w:bCs/>
                <w:color w:val="FFFFFF"/>
                <w:sz w:val="18"/>
                <w:szCs w:val="18"/>
              </w:rPr>
              <w:t>Regla</w:t>
            </w:r>
          </w:p>
        </w:tc>
        <w:tc>
          <w:tcPr>
            <w:tcW w:type="dxa" w:w="2600"/>
            <w:shd w:fill="13496B" w:color="auto" w:val="clear"/>
            <w:tcMar>
              <w:top w:type="dxa" w:w="70"/>
              <w:left w:type="dxa" w:w="110"/>
              <w:bottom w:type="dxa" w:w="70"/>
              <w:right w:type="dxa" w:w="110"/>
            </w:tcMar>
          </w:tcPr>
          <w:p>
            <w:pPr>
              <w:spacing w:after="40" w:before="40" w:line="240"/>
              <w:jc w:val="left"/>
            </w:pPr>
            <w:r>
              <w:rPr>
                <w:b/>
                <w:bCs/>
                <w:color w:val="FFFFFF"/>
                <w:sz w:val="18"/>
                <w:szCs w:val="18"/>
              </w:rPr>
              <w:t>Qué significa</w:t>
            </w:r>
          </w:p>
        </w:tc>
        <w:tc>
          <w:tcPr>
            <w:tcW w:type="dxa" w:w="5520"/>
            <w:shd w:fill="13496B" w:color="auto" w:val="clear"/>
            <w:tcMar>
              <w:top w:type="dxa" w:w="70"/>
              <w:left w:type="dxa" w:w="110"/>
              <w:bottom w:type="dxa" w:w="70"/>
              <w:right w:type="dxa" w:w="110"/>
            </w:tcMar>
          </w:tcPr>
          <w:p>
            <w:pPr>
              <w:spacing w:after="40" w:before="40" w:line="240"/>
              <w:jc w:val="left"/>
            </w:pPr>
            <w:r>
              <w:rPr>
                <w:b/>
                <w:bCs/>
                <w:color w:val="FFFFFF"/>
                <w:sz w:val="18"/>
                <w:szCs w:val="18"/>
              </w:rPr>
              <w:t>Cómo se comprueba</w:t>
            </w:r>
          </w:p>
        </w:tc>
      </w:tr>
      <w:tr>
        <w:trPr>
          <w:cantSplit/>
          <w:tblHeader/>
        </w:trPr>
        <w:tc>
          <w:tcPr>
            <w:tcW w:type="dxa" w:w="900"/>
            <w:shd w:fill="13496B" w:color="auto" w:val="clear"/>
            <w:tcMar>
              <w:top w:type="dxa" w:w="70"/>
              <w:left w:type="dxa" w:w="110"/>
              <w:bottom w:type="dxa" w:w="70"/>
              <w:right w:type="dxa" w:w="110"/>
            </w:tcMar>
          </w:tcPr>
          <w:p>
            <w:pPr>
              <w:spacing w:after="40" w:before="40" w:line="240"/>
              <w:jc w:val="left"/>
            </w:pPr>
            <w:r>
              <w:rPr>
                <w:b/>
                <w:bCs/>
                <w:color w:val="FFFFFF"/>
                <w:sz w:val="18"/>
                <w:szCs w:val="18"/>
              </w:rPr>
              <w:t>1. Migraciones numeradas, nunca reescribir el 05</w:t>
            </w:r>
          </w:p>
        </w:tc>
        <w:tc>
          <w:tcPr>
            <w:tcW w:type="dxa" w:w="26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El archivo 05 es el estado inicial de una base nueva y se queda como está. Cada cambio posterior es un archivo propio en docs/migraciones —0001, 0002…— que se aplica en orden y una sola vez. Toda migración se escribe con su vuelta atrás.</w:t>
            </w:r>
          </w:p>
        </w:tc>
        <w:tc>
          <w:tcPr>
            <w:tcW w:type="dxa" w:w="5520"/>
            <w:shd w:fill="13496B" w:color="auto" w:val="clear"/>
            <w:tcMar>
              <w:top w:type="dxa" w:w="70"/>
              <w:left w:type="dxa" w:w="110"/>
              <w:bottom w:type="dxa" w:w="70"/>
              <w:right w:type="dxa" w:w="110"/>
            </w:tcMar>
          </w:tcPr>
          <w:p>
            <w:pPr>
              <w:spacing w:after="40" w:before="40" w:line="240"/>
              <w:jc w:val="left"/>
            </w:pPr>
            <w:r>
              <w:rPr>
                <w:b/>
                <w:bCs/>
                <w:color w:val="FFFFFF"/>
                <w:sz w:val="18"/>
                <w:szCs w:val="18"/>
              </w:rPr>
              <w:t>Una base creada desde el 05 más todas las migraciones queda idéntica a una base recién instalada con el esquema al día</w:t>
            </w:r>
          </w:p>
        </w:tc>
      </w:tr>
      <w:tr>
        <w:trPr>
          <w:cantSplit/>
          <w:tblHeader/>
        </w:trPr>
        <w:tc>
          <w:tcPr>
            <w:tcW w:type="dxa" w:w="900"/>
            <w:shd w:fill="13496B" w:color="auto" w:val="clear"/>
            <w:tcMar>
              <w:top w:type="dxa" w:w="70"/>
              <w:left w:type="dxa" w:w="110"/>
              <w:bottom w:type="dxa" w:w="70"/>
              <w:right w:type="dxa" w:w="110"/>
            </w:tcMar>
          </w:tcPr>
          <w:p>
            <w:pPr>
              <w:spacing w:after="40" w:before="40" w:line="240"/>
              <w:jc w:val="left"/>
            </w:pPr>
            <w:r>
              <w:rPr>
                <w:b/>
                <w:bCs/>
                <w:color w:val="FFFFFF"/>
                <w:sz w:val="18"/>
                <w:szCs w:val="18"/>
              </w:rPr>
              <w:t>2. Toda tabla nueva de inquilino nace aislada</w:t>
            </w:r>
          </w:p>
        </w:tc>
        <w:tc>
          <w:tcPr>
            <w:tcW w:type="dxa" w:w="2600"/>
            <w:shd w:fill="13496B" w:color="auto" w:val="clear"/>
            <w:tcMar>
              <w:top w:type="dxa" w:w="70"/>
              <w:left w:type="dxa" w:w="110"/>
              <w:bottom w:type="dxa" w:w="70"/>
              <w:right w:type="dxa" w:w="110"/>
            </w:tcMar>
          </w:tcPr>
          <w:p>
            <w:pPr>
              <w:spacing w:after="40" w:before="40" w:line="240"/>
              <w:jc w:val="left"/>
            </w:pPr>
            <w:r>
              <w:rPr>
                <w:b/>
                <w:bCs/>
                <w:color w:val="FFFFFF"/>
                <w:sz w:val="18"/>
                <w:szCs w:val="18"/>
              </w:rPr>
              <w:t>Columna tenant_id, FORCE ROW LEVEL SECURITY y política de aislamiento desde la primera migración que la crea. app.fn_aplicar_rls la deja lista; no hay tabla «que después le ponemos RLS».</w:t>
            </w:r>
          </w:p>
        </w:tc>
        <w:tc>
          <w:tcPr>
            <w:tcW w:type="dxa" w:w="5520"/>
            <w:shd w:fill="13496B" w:color="auto" w:val="clear"/>
            <w:tcMar>
              <w:top w:type="dxa" w:w="70"/>
              <w:left w:type="dxa" w:w="110"/>
              <w:bottom w:type="dxa" w:w="70"/>
              <w:right w:type="dxa" w:w="110"/>
            </w:tcMar>
          </w:tcPr>
          <w:p>
            <w:pPr>
              <w:spacing w:after="40" w:before="40" w:line="240"/>
              <w:jc w:val="left"/>
            </w:pPr>
            <w:r>
              <w:rPr>
                <w:b/>
                <w:bCs/>
                <w:color w:val="FFFFFF"/>
                <w:sz w:val="18"/>
                <w:szCs w:val="18"/>
              </w:rPr>
              <w:t>app.fn_verificar_rls() devuelve cero filas, y la prueba de dos empresas del hito de la fase 0 se repite al cerrar cada fase nueva</w:t>
            </w:r>
          </w:p>
        </w:tc>
      </w:tr>
      <w:tr>
        <w:trPr>
          <w:cantSplit/>
          <w:tblHeader/>
        </w:trPr>
        <w:tc>
          <w:tcPr>
            <w:tcW w:type="dxa" w:w="900"/>
            <w:shd w:fill="13496B" w:color="auto" w:val="clear"/>
            <w:tcMar>
              <w:top w:type="dxa" w:w="70"/>
              <w:left w:type="dxa" w:w="110"/>
              <w:bottom w:type="dxa" w:w="70"/>
              <w:right w:type="dxa" w:w="110"/>
            </w:tcMar>
          </w:tcPr>
          <w:p>
            <w:pPr>
              <w:spacing w:after="40" w:before="40" w:line="240"/>
              <w:jc w:val="left"/>
            </w:pPr>
            <w:r>
              <w:rPr>
                <w:b/>
                <w:bCs/>
                <w:color w:val="FFFFFF"/>
                <w:sz w:val="18"/>
                <w:szCs w:val="18"/>
              </w:rPr>
              <w:t>3. La línea base no se toca</w:t>
            </w:r>
          </w:p>
        </w:tc>
        <w:tc>
          <w:tcPr>
            <w:tcW w:type="dxa" w:w="2600"/>
            <w:shd w:fill="13496B" w:color="auto" w:val="clear"/>
            <w:tcMar>
              <w:top w:type="dxa" w:w="70"/>
              <w:left w:type="dxa" w:w="110"/>
              <w:bottom w:type="dxa" w:w="70"/>
              <w:right w:type="dxa" w:w="110"/>
            </w:tcMar>
          </w:tcPr>
          <w:p>
            <w:pPr>
              <w:spacing w:after="40" w:before="40" w:line="240"/>
              <w:jc w:val="left"/>
            </w:pPr>
            <w:r>
              <w:rPr>
                <w:b/>
                <w:bCs/>
                <w:color w:val="FFFFFF"/>
                <w:sz w:val="18"/>
                <w:szCs w:val="18"/>
              </w:rPr>
              <w:t>Todo lo que llega después —avance, compras, contratos, actas— lee el presupuesto aprobado y escribe en sus propias tablas. Ninguna función nueva modifica presupuesto_item ni las versiones guardadas.</w:t>
            </w:r>
          </w:p>
        </w:tc>
        <w:tc>
          <w:tcPr>
            <w:tcW w:type="dxa" w:w="5520"/>
            <w:shd w:fill="13496B" w:color="auto" w:val="clear"/>
            <w:tcMar>
              <w:top w:type="dxa" w:w="70"/>
              <w:left w:type="dxa" w:w="110"/>
              <w:bottom w:type="dxa" w:w="70"/>
              <w:right w:type="dxa" w:w="110"/>
            </w:tcMar>
          </w:tcPr>
          <w:p>
            <w:pPr>
              <w:spacing w:after="40" w:before="40" w:line="240"/>
              <w:jc w:val="left"/>
            </w:pPr>
            <w:r>
              <w:rPr>
                <w:b/>
                <w:bCs/>
                <w:color w:val="FFFFFF"/>
                <w:sz w:val="18"/>
                <w:szCs w:val="18"/>
              </w:rPr>
              <w:t>Un presupuesto Activo de antes de la migración conserva su total al céntimo después de ella</w:t>
            </w:r>
          </w:p>
        </w:tc>
      </w:tr>
      <w:tr>
        <w:trPr>
          <w:cantSplit/>
          <w:tblHeader/>
        </w:trPr>
        <w:tc>
          <w:tcPr>
            <w:tcW w:type="dxa" w:w="900"/>
            <w:shd w:fill="13496B" w:color="auto" w:val="clear"/>
            <w:tcMar>
              <w:top w:type="dxa" w:w="70"/>
              <w:left w:type="dxa" w:w="110"/>
              <w:bottom w:type="dxa" w:w="70"/>
              <w:right w:type="dxa" w:w="110"/>
            </w:tcMar>
          </w:tcPr>
          <w:p>
            <w:pPr>
              <w:spacing w:after="40" w:before="40" w:line="240"/>
              <w:jc w:val="left"/>
            </w:pPr>
            <w:r>
              <w:rPr>
                <w:b/>
                <w:bCs/>
                <w:color w:val="FFFFFF"/>
                <w:sz w:val="18"/>
                <w:szCs w:val="18"/>
              </w:rPr>
              <w:t>4. Los cálculos siguen en la base</w:t>
            </w:r>
          </w:p>
        </w:tc>
        <w:tc>
          <w:tcPr>
            <w:tcW w:type="dxa" w:w="2600"/>
            <w:shd w:fill="13496B" w:color="auto" w:val="clear"/>
            <w:tcMar>
              <w:top w:type="dxa" w:w="70"/>
              <w:left w:type="dxa" w:w="110"/>
              <w:bottom w:type="dxa" w:w="70"/>
              <w:right w:type="dxa" w:w="110"/>
            </w:tcMar>
          </w:tcPr>
          <w:p>
            <w:pPr>
              <w:spacing w:after="40" w:before="40" w:line="240"/>
              <w:jc w:val="left"/>
            </w:pPr>
            <w:r>
              <w:rPr>
                <w:b/>
                <w:bCs/>
                <w:color w:val="FFFFFF"/>
                <w:sz w:val="18"/>
                <w:szCs w:val="18"/>
              </w:rPr>
              <w:t>Valor ganado, consumos, saldos de contrato y amortizaciones se calculan con funciones y columnas generadas, igual que el AIU y el IVA. La aplicación muestra; no recalcula por su cuenta.</w:t>
            </w:r>
          </w:p>
        </w:tc>
        <w:tc>
          <w:tcPr>
            <w:tcW w:type="dxa" w:w="5520"/>
            <w:shd w:fill="13496B" w:color="auto" w:val="clear"/>
            <w:tcMar>
              <w:top w:type="dxa" w:w="70"/>
              <w:left w:type="dxa" w:w="110"/>
              <w:bottom w:type="dxa" w:w="70"/>
              <w:right w:type="dxa" w:w="110"/>
            </w:tcMar>
          </w:tcPr>
          <w:p>
            <w:pPr>
              <w:spacing w:after="40" w:before="40" w:line="240"/>
              <w:jc w:val="left"/>
            </w:pPr>
            <w:r>
              <w:rPr>
                <w:b/>
                <w:bCs/>
                <w:color w:val="FFFFFF"/>
                <w:sz w:val="18"/>
                <w:szCs w:val="18"/>
              </w:rPr>
              <w:t>El mismo número sale por SQL directo y por la pantalla, sin que nadie tenga que reimplementar la fórmula</w:t>
            </w:r>
          </w:p>
        </w:tc>
      </w:tr>
      <w:tr>
        <w:trPr>
          <w:cantSplit/>
          <w:tblHeader/>
        </w:trPr>
        <w:tc>
          <w:tcPr>
            <w:tcW w:type="dxa" w:w="900"/>
            <w:shd w:fill="13496B" w:color="auto" w:val="clear"/>
            <w:tcMar>
              <w:top w:type="dxa" w:w="70"/>
              <w:left w:type="dxa" w:w="110"/>
              <w:bottom w:type="dxa" w:w="70"/>
              <w:right w:type="dxa" w:w="110"/>
            </w:tcMar>
          </w:tcPr>
          <w:p>
            <w:pPr>
              <w:spacing w:after="40" w:before="40" w:line="240"/>
              <w:jc w:val="left"/>
            </w:pPr>
            <w:r>
              <w:rPr>
                <w:b/>
                <w:bCs/>
                <w:color w:val="FFFFFF"/>
                <w:sz w:val="18"/>
                <w:szCs w:val="18"/>
              </w:rPr>
              <w:t>5. Nada de columnas preparadas por adelantado</w:t>
            </w:r>
          </w:p>
        </w:tc>
        <w:tc>
          <w:tcPr>
            <w:tcW w:type="dxa" w:w="2600"/>
            <w:shd w:fill="13496B" w:color="auto" w:val="clear"/>
            <w:tcMar>
              <w:top w:type="dxa" w:w="70"/>
              <w:left w:type="dxa" w:w="110"/>
              <w:bottom w:type="dxa" w:w="70"/>
              <w:right w:type="dxa" w:w="110"/>
            </w:tcMar>
          </w:tcPr>
          <w:p>
            <w:pPr>
              <w:spacing w:after="40" w:before="40" w:line="240"/>
              <w:jc w:val="left"/>
            </w:pPr>
            <w:r>
              <w:rPr>
                <w:b/>
                <w:bCs/>
                <w:color w:val="FFFFFF"/>
                <w:sz w:val="18"/>
                <w:szCs w:val="18"/>
              </w:rPr>
              <w:t>No se reservan tablas ni columnas para módulos que todavía no están diseñados: es la razón por la que el avance salió limpio del MVP (D-43). Cada fase trae su propio esquema cuando ya sabe qué necesita.</w:t>
            </w:r>
          </w:p>
        </w:tc>
        <w:tc>
          <w:tcPr>
            <w:tcW w:type="dxa" w:w="5520"/>
            <w:shd w:fill="13496B" w:color="auto" w:val="clear"/>
            <w:tcMar>
              <w:top w:type="dxa" w:w="70"/>
              <w:left w:type="dxa" w:w="110"/>
              <w:bottom w:type="dxa" w:w="70"/>
              <w:right w:type="dxa" w:w="110"/>
            </w:tcMar>
          </w:tcPr>
          <w:p>
            <w:pPr>
              <w:spacing w:after="40" w:before="40" w:line="240"/>
              <w:jc w:val="left"/>
            </w:pPr>
            <w:r>
              <w:rPr>
                <w:b/>
                <w:bCs/>
                <w:color w:val="FFFFFF"/>
                <w:sz w:val="18"/>
                <w:szCs w:val="18"/>
              </w:rPr>
              <w:t>Una migración que solo agrega columnas vacías «para más adelante» se rechaza en revisión</w:t>
            </w:r>
          </w:p>
        </w:tc>
      </w:tr>
      <w:tr>
        <w:trPr>
          <w:cantSplit/>
          <w:tblHeader/>
        </w:trPr>
        <w:tc>
          <w:tcPr>
            <w:tcW w:type="dxa" w:w="900"/>
            <w:shd w:fill="13496B" w:color="auto" w:val="clear"/>
            <w:tcMar>
              <w:top w:type="dxa" w:w="70"/>
              <w:left w:type="dxa" w:w="110"/>
              <w:bottom w:type="dxa" w:w="70"/>
              <w:right w:type="dxa" w:w="110"/>
            </w:tcMar>
          </w:tcPr>
          <w:p>
            <w:pPr>
              <w:spacing w:after="40" w:before="40" w:line="240"/>
              <w:jc w:val="left"/>
            </w:pPr>
            <w:r>
              <w:rPr>
                <w:b/>
                <w:bCs/>
                <w:color w:val="FFFFFF"/>
                <w:sz w:val="18"/>
                <w:szCs w:val="18"/>
              </w:rPr>
              <w:t>6. Los eventos se agregan, nunca se renombran</w:t>
            </w:r>
          </w:p>
        </w:tc>
        <w:tc>
          <w:tcPr>
            <w:tcW w:type="dxa" w:w="2600"/>
            <w:shd w:fill="13496B" w:color="auto" w:val="clear"/>
            <w:tcMar>
              <w:top w:type="dxa" w:w="70"/>
              <w:left w:type="dxa" w:w="110"/>
              <w:bottom w:type="dxa" w:w="70"/>
              <w:right w:type="dxa" w:w="110"/>
            </w:tcMar>
          </w:tcPr>
          <w:p>
            <w:pPr>
              <w:spacing w:after="40" w:before="40" w:line="240"/>
              <w:jc w:val="left"/>
            </w:pPr>
            <w:r>
              <w:rPr>
                <w:b/>
                <w:bCs/>
                <w:color w:val="FFFFFF"/>
                <w:sz w:val="18"/>
                <w:szCs w:val="18"/>
              </w:rPr>
              <w:t>El historial es append-only y sus tipos de evento son un contrato con los datos ya escritos. Una fase nueva agrega tipos; jamás renombra ni reutiliza uno viejo.</w:t>
            </w:r>
          </w:p>
        </w:tc>
        <w:tc>
          <w:tcPr>
            <w:tcW w:type="dxa" w:w="5520"/>
            <w:shd w:fill="13496B" w:color="auto" w:val="clear"/>
            <w:tcMar>
              <w:top w:type="dxa" w:w="70"/>
              <w:left w:type="dxa" w:w="110"/>
              <w:bottom w:type="dxa" w:w="70"/>
              <w:right w:type="dxa" w:w="110"/>
            </w:tcMar>
          </w:tcPr>
          <w:p>
            <w:pPr>
              <w:spacing w:after="40" w:before="40" w:line="240"/>
              <w:jc w:val="left"/>
            </w:pPr>
            <w:r>
              <w:rPr>
                <w:b/>
                <w:bCs/>
                <w:color w:val="FFFFFF"/>
                <w:sz w:val="18"/>
                <w:szCs w:val="18"/>
              </w:rPr>
              <w:t>Los eventos escritos antes de la migración siguen leyéndose y filtrándose igual después</w:t>
            </w:r>
          </w:p>
        </w:tc>
      </w:tr>
    </w:tbl>
    <w:p>
      <w:pPr>
        <w:pStyle w:val="Heading1"/>
        <w:pBdr>
          <w:bottom w:val="single" w:color="13496B" w:sz="10" w:space="6"/>
        </w:pBdr>
        <w:spacing w:after="180" w:before="420"/>
      </w:pPr>
      <w:r>
        <w:rPr>
          <w:b/>
          <w:bCs/>
          <w:color w:val="13496B"/>
          <w:sz w:val="30"/>
          <w:szCs w:val="30"/>
        </w:rPr>
        <w:t>Fase 2 del producto — Control de obra</w:t>
      </w:r>
    </w:p>
    <w:p>
      <w:pPr>
        <w:spacing w:after="120" w:before="0" w:line="276"/>
        <w:jc w:val="both"/>
      </w:pPr>
      <w:r>
        <w:rPr>
          <w:sz w:val="20"/>
          <w:szCs w:val="20"/>
        </w:rPr>
        <w:t>Es la fase grande, la que convierte el presupuestador en un sistema de gestión de obra, y la que describe el documento Flujo de Control de Proyectos. No se entrega de una vez: se parte en seis bloques que van en este orden, y cada uno sirve para algo por sí solo aunque el siguiente no exista todavía.</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900"/>
        <w:gridCol w:w="2600"/>
        <w:gridCol w:w="5520"/>
      </w:tblGrid>
      <w:tr>
        <w:trPr>
          <w:cantSplit/>
          <w:tblHeader/>
        </w:trPr>
        <w:tc>
          <w:tcPr>
            <w:tcW w:type="dxa" w:w="900"/>
            <w:shd w:fill="13496B" w:color="auto" w:val="clear"/>
            <w:tcMar>
              <w:top w:type="dxa" w:w="70"/>
              <w:left w:type="dxa" w:w="110"/>
              <w:bottom w:type="dxa" w:w="70"/>
              <w:right w:type="dxa" w:w="110"/>
            </w:tcMar>
          </w:tcPr>
          <w:p>
            <w:pPr>
              <w:spacing w:after="40" w:before="40" w:line="240"/>
              <w:jc w:val="left"/>
            </w:pPr>
            <w:r>
              <w:rPr>
                <w:b/>
                <w:bCs/>
                <w:color w:val="FFFFFF"/>
                <w:sz w:val="18"/>
                <w:szCs w:val="18"/>
              </w:rPr>
              <w:t>Bloque</w:t>
            </w:r>
          </w:p>
        </w:tc>
        <w:tc>
          <w:tcPr>
            <w:tcW w:type="dxa" w:w="2600"/>
            <w:shd w:fill="13496B" w:color="auto" w:val="clear"/>
            <w:tcMar>
              <w:top w:type="dxa" w:w="70"/>
              <w:left w:type="dxa" w:w="110"/>
              <w:bottom w:type="dxa" w:w="70"/>
              <w:right w:type="dxa" w:w="110"/>
            </w:tcMar>
          </w:tcPr>
          <w:p>
            <w:pPr>
              <w:spacing w:after="40" w:before="40" w:line="240"/>
              <w:jc w:val="left"/>
            </w:pPr>
            <w:r>
              <w:rPr>
                <w:b/>
                <w:bCs/>
                <w:color w:val="FFFFFF"/>
                <w:sz w:val="18"/>
                <w:szCs w:val="18"/>
              </w:rPr>
              <w:t>Qué entra</w:t>
            </w:r>
          </w:p>
        </w:tc>
        <w:tc>
          <w:tcPr>
            <w:tcW w:type="dxa" w:w="5520"/>
            <w:shd w:fill="13496B" w:color="auto" w:val="clear"/>
            <w:tcMar>
              <w:top w:type="dxa" w:w="70"/>
              <w:left w:type="dxa" w:w="110"/>
              <w:bottom w:type="dxa" w:w="70"/>
              <w:right w:type="dxa" w:w="110"/>
            </w:tcMar>
          </w:tcPr>
          <w:p>
            <w:pPr>
              <w:spacing w:after="40" w:before="40" w:line="240"/>
              <w:jc w:val="left"/>
            </w:pPr>
            <w:r>
              <w:rPr>
                <w:b/>
                <w:bCs/>
                <w:color w:val="FFFFFF"/>
                <w:sz w:val="18"/>
                <w:szCs w:val="18"/>
              </w:rPr>
              <w:t>Hito que lo cierra</w:t>
            </w:r>
          </w:p>
        </w:tc>
      </w:tr>
      <w:tr>
        <w:trPr>
          <w:cantSplit/>
          <w:tblHeader/>
        </w:trPr>
        <w:tc>
          <w:tcPr>
            <w:tcW w:type="dxa" w:w="900"/>
            <w:shd w:fill="13496B" w:color="auto" w:val="clear"/>
            <w:tcMar>
              <w:top w:type="dxa" w:w="70"/>
              <w:left w:type="dxa" w:w="110"/>
              <w:bottom w:type="dxa" w:w="70"/>
              <w:right w:type="dxa" w:w="110"/>
            </w:tcMar>
          </w:tcPr>
          <w:p>
            <w:pPr>
              <w:spacing w:after="40" w:before="40" w:line="240"/>
              <w:jc w:val="left"/>
            </w:pPr>
            <w:r>
              <w:rPr>
                <w:b/>
                <w:bCs/>
                <w:color w:val="FFFFFF"/>
                <w:sz w:val="18"/>
                <w:szCs w:val="18"/>
              </w:rPr>
              <w:t>2.1 Terceros y accesos</w:t>
            </w:r>
          </w:p>
        </w:tc>
        <w:tc>
          <w:tcPr>
            <w:tcW w:type="dxa" w:w="2600"/>
            <w:shd w:fill="13496B" w:color="auto" w:val="clear"/>
            <w:tcMar>
              <w:top w:type="dxa" w:w="70"/>
              <w:left w:type="dxa" w:w="110"/>
              <w:bottom w:type="dxa" w:w="70"/>
              <w:right w:type="dxa" w:w="110"/>
            </w:tcMar>
          </w:tcPr>
          <w:p>
            <w:pPr>
              <w:spacing w:after="40" w:before="40" w:line="240"/>
              <w:jc w:val="left"/>
            </w:pPr>
            <w:r>
              <w:rPr>
                <w:b/>
                <w:bCs/>
                <w:color w:val="FFFFFF"/>
                <w:sz w:val="18"/>
                <w:szCs w:val="18"/>
              </w:rPr>
              <w:t>Proveedores, contratistas y clientes como entidades propias del inquilino. Rol Lector y permisos por proyecto: el cliente o el socio ve un proyecto y nada más.</w:t>
            </w:r>
          </w:p>
        </w:tc>
        <w:tc>
          <w:tcPr>
            <w:tcW w:type="dxa" w:w="5520"/>
            <w:shd w:fill="13496B" w:color="auto" w:val="clear"/>
            <w:tcMar>
              <w:top w:type="dxa" w:w="70"/>
              <w:left w:type="dxa" w:w="110"/>
              <w:bottom w:type="dxa" w:w="70"/>
              <w:right w:type="dxa" w:w="110"/>
            </w:tcMar>
          </w:tcPr>
          <w:p>
            <w:pPr>
              <w:spacing w:after="40" w:before="40" w:line="240"/>
              <w:jc w:val="left"/>
            </w:pPr>
            <w:r>
              <w:rPr>
                <w:b/>
                <w:bCs/>
                <w:color w:val="FFFFFF"/>
                <w:sz w:val="18"/>
                <w:szCs w:val="18"/>
              </w:rPr>
              <w:t>Un Lector entra, ve el proyecto que le asignaron y no encuentra ninguna puerta al resto del sistema</w:t>
            </w:r>
          </w:p>
        </w:tc>
      </w:tr>
      <w:tr>
        <w:trPr>
          <w:cantSplit/>
          <w:tblHeader/>
        </w:trPr>
        <w:tc>
          <w:tcPr>
            <w:tcW w:type="dxa" w:w="900"/>
            <w:shd w:fill="13496B" w:color="auto" w:val="clear"/>
            <w:tcMar>
              <w:top w:type="dxa" w:w="70"/>
              <w:left w:type="dxa" w:w="110"/>
              <w:bottom w:type="dxa" w:w="70"/>
              <w:right w:type="dxa" w:w="110"/>
            </w:tcMar>
          </w:tcPr>
          <w:p>
            <w:pPr>
              <w:spacing w:after="40" w:before="40" w:line="240"/>
              <w:jc w:val="left"/>
            </w:pPr>
            <w:r>
              <w:rPr>
                <w:b/>
                <w:bCs/>
                <w:color w:val="FFFFFF"/>
                <w:sz w:val="18"/>
                <w:szCs w:val="18"/>
              </w:rPr>
              <w:t>2.2 Compras</w:t>
            </w:r>
          </w:p>
        </w:tc>
        <w:tc>
          <w:tcPr>
            <w:tcW w:type="dxa" w:w="2600"/>
            <w:shd w:fill="13496B" w:color="auto" w:val="clear"/>
            <w:tcMar>
              <w:top w:type="dxa" w:w="70"/>
              <w:left w:type="dxa" w:w="110"/>
              <w:bottom w:type="dxa" w:w="70"/>
              <w:right w:type="dxa" w:w="110"/>
            </w:tcMar>
          </w:tcPr>
          <w:p>
            <w:pPr>
              <w:spacing w:after="40" w:before="40" w:line="240"/>
              <w:jc w:val="left"/>
            </w:pPr>
            <w:r>
              <w:rPr>
                <w:b/>
                <w:bCs/>
                <w:color w:val="FFFFFF"/>
                <w:sz w:val="18"/>
                <w:szCs w:val="18"/>
              </w:rPr>
              <w:t>Solicitud, orden de compra contra un proveedor, y recepción parcial o total. La orden nace de los recursos del catálogo, que ya existen desde la fase 1 del MVP.</w:t>
            </w:r>
          </w:p>
        </w:tc>
        <w:tc>
          <w:tcPr>
            <w:tcW w:type="dxa" w:w="5520"/>
            <w:shd w:fill="13496B" w:color="auto" w:val="clear"/>
            <w:tcMar>
              <w:top w:type="dxa" w:w="70"/>
              <w:left w:type="dxa" w:w="110"/>
              <w:bottom w:type="dxa" w:w="70"/>
              <w:right w:type="dxa" w:w="110"/>
            </w:tcMar>
          </w:tcPr>
          <w:p>
            <w:pPr>
              <w:spacing w:after="40" w:before="40" w:line="240"/>
              <w:jc w:val="left"/>
            </w:pPr>
            <w:r>
              <w:rPr>
                <w:b/>
                <w:bCs/>
                <w:color w:val="FFFFFF"/>
                <w:sz w:val="18"/>
                <w:szCs w:val="18"/>
              </w:rPr>
              <w:t>Una orden de compra recibida a medias deja saldo pendiente correcto y su evento en el historial</w:t>
            </w:r>
          </w:p>
        </w:tc>
      </w:tr>
      <w:tr>
        <w:trPr>
          <w:cantSplit/>
          <w:tblHeader/>
        </w:trPr>
        <w:tc>
          <w:tcPr>
            <w:tcW w:type="dxa" w:w="900"/>
            <w:shd w:fill="13496B" w:color="auto" w:val="clear"/>
            <w:tcMar>
              <w:top w:type="dxa" w:w="70"/>
              <w:left w:type="dxa" w:w="110"/>
              <w:bottom w:type="dxa" w:w="70"/>
              <w:right w:type="dxa" w:w="110"/>
            </w:tcMar>
          </w:tcPr>
          <w:p>
            <w:pPr>
              <w:spacing w:after="40" w:before="40" w:line="240"/>
              <w:jc w:val="left"/>
            </w:pPr>
            <w:r>
              <w:rPr>
                <w:b/>
                <w:bCs/>
                <w:color w:val="FFFFFF"/>
                <w:sz w:val="18"/>
                <w:szCs w:val="18"/>
              </w:rPr>
              <w:t>2.3 Inventario de obra</w:t>
            </w:r>
          </w:p>
        </w:tc>
        <w:tc>
          <w:tcPr>
            <w:tcW w:type="dxa" w:w="2600"/>
            <w:shd w:fill="13496B" w:color="auto" w:val="clear"/>
            <w:tcMar>
              <w:top w:type="dxa" w:w="70"/>
              <w:left w:type="dxa" w:w="110"/>
              <w:bottom w:type="dxa" w:w="70"/>
              <w:right w:type="dxa" w:w="110"/>
            </w:tcMar>
          </w:tcPr>
          <w:p>
            <w:pPr>
              <w:spacing w:after="40" w:before="40" w:line="240"/>
              <w:jc w:val="left"/>
            </w:pPr>
            <w:r>
              <w:rPr>
                <w:b/>
                <w:bCs/>
                <w:color w:val="FFFFFF"/>
                <w:sz w:val="18"/>
                <w:szCs w:val="18"/>
              </w:rPr>
              <w:t>Entradas por recepción de compra, existencias por proyecto y por bodega, y el costo promedio ponderado del material en sitio.</w:t>
            </w:r>
          </w:p>
        </w:tc>
        <w:tc>
          <w:tcPr>
            <w:tcW w:type="dxa" w:w="5520"/>
            <w:shd w:fill="13496B" w:color="auto" w:val="clear"/>
            <w:tcMar>
              <w:top w:type="dxa" w:w="70"/>
              <w:left w:type="dxa" w:w="110"/>
              <w:bottom w:type="dxa" w:w="70"/>
              <w:right w:type="dxa" w:w="110"/>
            </w:tcMar>
          </w:tcPr>
          <w:p>
            <w:pPr>
              <w:spacing w:after="40" w:before="40" w:line="240"/>
              <w:jc w:val="left"/>
            </w:pPr>
            <w:r>
              <w:rPr>
                <w:b/>
                <w:bCs/>
                <w:color w:val="FFFFFF"/>
                <w:sz w:val="18"/>
                <w:szCs w:val="18"/>
              </w:rPr>
              <w:t>El material recibido en dos compras a precios distintos arroja un promedio ponderado que cuadra a mano</w:t>
            </w:r>
          </w:p>
        </w:tc>
      </w:tr>
      <w:tr>
        <w:trPr>
          <w:cantSplit/>
          <w:tblHeader/>
        </w:trPr>
        <w:tc>
          <w:tcPr>
            <w:tcW w:type="dxa" w:w="900"/>
            <w:shd w:fill="13496B" w:color="auto" w:val="clear"/>
            <w:tcMar>
              <w:top w:type="dxa" w:w="70"/>
              <w:left w:type="dxa" w:w="110"/>
              <w:bottom w:type="dxa" w:w="70"/>
              <w:right w:type="dxa" w:w="110"/>
            </w:tcMar>
          </w:tcPr>
          <w:p>
            <w:pPr>
              <w:spacing w:after="40" w:before="40" w:line="240"/>
              <w:jc w:val="left"/>
            </w:pPr>
            <w:r>
              <w:rPr>
                <w:b/>
                <w:bCs/>
                <w:color w:val="FFFFFF"/>
                <w:sz w:val="18"/>
                <w:szCs w:val="18"/>
              </w:rPr>
              <w:t>2.4 Vales de salida y consumo</w:t>
            </w:r>
          </w:p>
        </w:tc>
        <w:tc>
          <w:tcPr>
            <w:tcW w:type="dxa" w:w="2600"/>
            <w:shd w:fill="13496B" w:color="auto" w:val="clear"/>
            <w:tcMar>
              <w:top w:type="dxa" w:w="70"/>
              <w:left w:type="dxa" w:w="110"/>
              <w:bottom w:type="dxa" w:w="70"/>
              <w:right w:type="dxa" w:w="110"/>
            </w:tcMar>
          </w:tcPr>
          <w:p>
            <w:pPr>
              <w:spacing w:after="40" w:before="40" w:line="240"/>
              <w:jc w:val="left"/>
            </w:pPr>
            <w:r>
              <w:rPr>
                <w:b/>
                <w:bCs/>
                <w:color w:val="FFFFFF"/>
                <w:sz w:val="18"/>
                <w:szCs w:val="18"/>
              </w:rPr>
              <w:t>La salida de almacén contra una actividad del presupuesto: quién la pidió, para qué ítem, cuánto. Es el hecho que el MVP no tenía y sin el cual el avance es una opinión.</w:t>
            </w:r>
          </w:p>
        </w:tc>
        <w:tc>
          <w:tcPr>
            <w:tcW w:type="dxa" w:w="5520"/>
            <w:shd w:fill="13496B" w:color="auto" w:val="clear"/>
            <w:tcMar>
              <w:top w:type="dxa" w:w="70"/>
              <w:left w:type="dxa" w:w="110"/>
              <w:bottom w:type="dxa" w:w="70"/>
              <w:right w:type="dxa" w:w="110"/>
            </w:tcMar>
          </w:tcPr>
          <w:p>
            <w:pPr>
              <w:spacing w:after="40" w:before="40" w:line="240"/>
              <w:jc w:val="left"/>
            </w:pPr>
            <w:r>
              <w:rPr>
                <w:b/>
                <w:bCs/>
                <w:color w:val="FFFFFF"/>
                <w:sz w:val="18"/>
                <w:szCs w:val="18"/>
              </w:rPr>
              <w:t>Un vale descuenta existencia, carga consumo a la actividad y no se puede emitir contra un proyecto que no está Activo</w:t>
            </w:r>
          </w:p>
        </w:tc>
      </w:tr>
      <w:tr>
        <w:trPr>
          <w:cantSplit/>
          <w:tblHeader/>
        </w:trPr>
        <w:tc>
          <w:tcPr>
            <w:tcW w:type="dxa" w:w="900"/>
            <w:shd w:fill="13496B" w:color="auto" w:val="clear"/>
            <w:tcMar>
              <w:top w:type="dxa" w:w="70"/>
              <w:left w:type="dxa" w:w="110"/>
              <w:bottom w:type="dxa" w:w="70"/>
              <w:right w:type="dxa" w:w="110"/>
            </w:tcMar>
          </w:tcPr>
          <w:p>
            <w:pPr>
              <w:spacing w:after="40" w:before="40" w:line="240"/>
              <w:jc w:val="left"/>
            </w:pPr>
            <w:r>
              <w:rPr>
                <w:b/>
                <w:bCs/>
                <w:color w:val="FFFFFF"/>
                <w:sz w:val="18"/>
                <w:szCs w:val="18"/>
              </w:rPr>
              <w:t>2.5 Avance físico y cortes</w:t>
            </w:r>
          </w:p>
        </w:tc>
        <w:tc>
          <w:tcPr>
            <w:tcW w:type="dxa" w:w="2600"/>
            <w:shd w:fill="13496B" w:color="auto" w:val="clear"/>
            <w:tcMar>
              <w:top w:type="dxa" w:w="70"/>
              <w:left w:type="dxa" w:w="110"/>
              <w:bottom w:type="dxa" w:w="70"/>
              <w:right w:type="dxa" w:w="110"/>
            </w:tcMar>
          </w:tcPr>
          <w:p>
            <w:pPr>
              <w:spacing w:after="40" w:before="40" w:line="240"/>
              <w:jc w:val="left"/>
            </w:pPr>
            <w:r>
              <w:rPr>
                <w:b/>
                <w:bCs/>
                <w:color w:val="FFFFFF"/>
                <w:sz w:val="18"/>
                <w:szCs w:val="18"/>
              </w:rPr>
              <w:t>Aquí vuelve el avance, ahora medido por consumo ponderado de recursos y no digitado a mano, con su fecha de corte —distinta de la fecha en que se digita— y con las mediciones manuales como excepción justificada, no como norma. Vuelven con él las decisiones D-12 y D-23 y las reglas RN-12, RN-13 y RN-19, que quedaron reservadas con su número.</w:t>
            </w:r>
          </w:p>
        </w:tc>
        <w:tc>
          <w:tcPr>
            <w:tcW w:type="dxa" w:w="5520"/>
            <w:shd w:fill="13496B" w:color="auto" w:val="clear"/>
            <w:tcMar>
              <w:top w:type="dxa" w:w="70"/>
              <w:left w:type="dxa" w:w="110"/>
              <w:bottom w:type="dxa" w:w="70"/>
              <w:right w:type="dxa" w:w="110"/>
            </w:tcMar>
          </w:tcPr>
          <w:p>
            <w:pPr>
              <w:spacing w:after="40" w:before="40" w:line="240"/>
              <w:jc w:val="left"/>
            </w:pPr>
            <w:r>
              <w:rPr>
                <w:b/>
                <w:bCs/>
                <w:color w:val="FFFFFF"/>
                <w:sz w:val="18"/>
                <w:szCs w:val="18"/>
              </w:rPr>
              <w:t>El avance de un ítem sale de los vales emitidos y coincide con el corte quincenal firmado en obra</w:t>
            </w:r>
          </w:p>
        </w:tc>
      </w:tr>
      <w:tr>
        <w:trPr>
          <w:cantSplit/>
          <w:tblHeader/>
        </w:trPr>
        <w:tc>
          <w:tcPr>
            <w:tcW w:type="dxa" w:w="900"/>
            <w:shd w:fill="13496B" w:color="auto" w:val="clear"/>
            <w:tcMar>
              <w:top w:type="dxa" w:w="70"/>
              <w:left w:type="dxa" w:w="110"/>
              <w:bottom w:type="dxa" w:w="70"/>
              <w:right w:type="dxa" w:w="110"/>
            </w:tcMar>
          </w:tcPr>
          <w:p>
            <w:pPr>
              <w:spacing w:after="40" w:before="40" w:line="240"/>
              <w:jc w:val="left"/>
            </w:pPr>
            <w:r>
              <w:rPr>
                <w:b/>
                <w:bCs/>
                <w:color w:val="FFFFFF"/>
                <w:sz w:val="18"/>
                <w:szCs w:val="18"/>
              </w:rPr>
              <w:t>2.6 Contratos y otrosíes</w:t>
            </w:r>
          </w:p>
        </w:tc>
        <w:tc>
          <w:tcPr>
            <w:tcW w:type="dxa" w:w="2600"/>
            <w:shd w:fill="13496B" w:color="auto" w:val="clear"/>
            <w:tcMar>
              <w:top w:type="dxa" w:w="70"/>
              <w:left w:type="dxa" w:w="110"/>
              <w:bottom w:type="dxa" w:w="70"/>
              <w:right w:type="dxa" w:w="110"/>
            </w:tcMar>
          </w:tcPr>
          <w:p>
            <w:pPr>
              <w:spacing w:after="40" w:before="40" w:line="240"/>
              <w:jc w:val="left"/>
            </w:pPr>
            <w:r>
              <w:rPr>
                <w:b/>
                <w:bCs/>
                <w:color w:val="FFFFFF"/>
                <w:sz w:val="18"/>
                <w:szCs w:val="18"/>
              </w:rPr>
              <w:t>Contratos con subcontratistas, anticipos y su amortización, actas de corte, retenciones, y las órdenes de cambio con su flujo de aprobación —que es lo que hoy resuelve, a las bravas, la reapertura justificada.</w:t>
            </w:r>
          </w:p>
        </w:tc>
        <w:tc>
          <w:tcPr>
            <w:tcW w:type="dxa" w:w="5520"/>
            <w:shd w:fill="13496B" w:color="auto" w:val="clear"/>
            <w:tcMar>
              <w:top w:type="dxa" w:w="70"/>
              <w:left w:type="dxa" w:w="110"/>
              <w:bottom w:type="dxa" w:w="70"/>
              <w:right w:type="dxa" w:w="110"/>
            </w:tcMar>
          </w:tcPr>
          <w:p>
            <w:pPr>
              <w:spacing w:after="40" w:before="40" w:line="240"/>
              <w:jc w:val="left"/>
            </w:pPr>
            <w:r>
              <w:rPr>
                <w:b/>
                <w:bCs/>
                <w:color w:val="FFFFFF"/>
                <w:sz w:val="18"/>
                <w:szCs w:val="18"/>
              </w:rPr>
              <w:t>Un contrato con anticipo del 30% amortiza correctamente en tres cortes y su saldo llega a cero</w:t>
            </w:r>
          </w:p>
        </w:tc>
      </w:tr>
    </w:tbl>
    <w:p>
      <w:pPr>
        <w:spacing w:after="120" w:before="0" w:line="276"/>
        <w:jc w:val="both"/>
      </w:pPr>
      <w:r>
        <w:rPr>
          <w:sz w:val="20"/>
          <w:szCs w:val="20"/>
        </w:rPr>
        <w:t>El APU de proyecto entra con el bloque 2.5: el análisis que se ejecutó, comparado contra el que se ofertó. Es lo que permite responder la única pregunta que importa al cerrar una obra —dónde se perdió la plata— y solo tiene sentido cuando ya hay consumos reales que comparar.</w:t>
      </w:r>
    </w:p>
    <w:p>
      <w:pPr>
        <w:pStyle w:val="Heading1"/>
        <w:pBdr>
          <w:bottom w:val="single" w:color="13496B" w:sz="10" w:space="6"/>
        </w:pBdr>
        <w:spacing w:after="180" w:before="420"/>
      </w:pPr>
      <w:r>
        <w:rPr>
          <w:b/>
          <w:bCs/>
          <w:color w:val="13496B"/>
          <w:sz w:val="30"/>
          <w:szCs w:val="30"/>
        </w:rPr>
        <w:t>Fase 3 del producto — Reportes e inteligencia de negocio</w:t>
      </w:r>
    </w:p>
    <w:p>
      <w:pPr>
        <w:spacing w:after="120" w:before="0" w:line="276"/>
        <w:jc w:val="both"/>
      </w:pPr>
      <w:r>
        <w:rPr>
          <w:sz w:val="20"/>
          <w:szCs w:val="20"/>
        </w:rPr>
        <w:t>Con los datos de la fase 2 dentro, los reportes dejan de ser gráficas y pasan a ser decisiones. Entra el valor ganado —CPI, SPI, curva S—, la comparación presupuestado contra ejecutado por capítulo y por recurso, los tableros por obra y por empresa, y un generador de consultas para el usuario que quiere su propio corte. El documento Módulo Reportes BI describe el destino; lo que este plan fija es que no se empieza antes, porque un tablero alimentado por cifras digitadas a mano es exactamente el problema que D-43 vino a evitar.</w:t>
      </w:r>
    </w:p>
    <w:p>
      <w:pPr>
        <w:pStyle w:val="Heading1"/>
        <w:pBdr>
          <w:bottom w:val="single" w:color="13496B" w:sz="10" w:space="6"/>
        </w:pBdr>
        <w:spacing w:after="180" w:before="420"/>
      </w:pPr>
      <w:r>
        <w:rPr>
          <w:b/>
          <w:bCs/>
          <w:color w:val="13496B"/>
          <w:sz w:val="30"/>
          <w:szCs w:val="30"/>
        </w:rPr>
        <w:t>Fase 4 del producto — Productividad, comercial y expansión</w:t>
      </w:r>
    </w:p>
    <w:p>
      <w:pPr>
        <w:spacing w:after="120" w:before="0" w:line="276"/>
        <w:jc w:val="both"/>
      </w:pPr>
      <w:r>
        <w:rPr>
          <w:sz w:val="20"/>
          <w:szCs w:val="20"/>
        </w:rPr>
        <w:t>Son mejoras que no dependen unas de otras y pueden entrar sueltas, en el orden que pida el mercado:</w:t>
      </w:r>
    </w:p>
    <w:p>
      <w:pPr>
        <w:pStyle w:val="ListParagraph"/>
        <w:numPr>
          <w:ilvl w:val="0"/>
          <w:numId w:val="2"/>
        </w:numPr>
        <w:spacing w:after="90" w:line="276"/>
        <w:jc w:val="both"/>
      </w:pPr>
      <w:r>
        <w:rPr>
          <w:sz w:val="20"/>
          <w:szCs w:val="20"/>
        </w:rPr>
        <w:t>Importación masiva de recursos y APU desde Excel, y plantillas de capítulos base reutilizables entre proyectos.</w:t>
      </w:r>
    </w:p>
    <w:p>
      <w:pPr>
        <w:pStyle w:val="ListParagraph"/>
        <w:numPr>
          <w:ilvl w:val="0"/>
          <w:numId w:val="2"/>
        </w:numPr>
        <w:spacing w:after="90" w:line="276"/>
        <w:jc w:val="both"/>
      </w:pPr>
      <w:r>
        <w:rPr>
          <w:sz w:val="20"/>
          <w:szCs w:val="20"/>
        </w:rPr>
        <w:t>Paleta de colores corporativa en los PDF, más allá del logo y el NIT que ya lleva el MVP.</w:t>
      </w:r>
    </w:p>
    <w:p>
      <w:pPr>
        <w:pStyle w:val="ListParagraph"/>
        <w:numPr>
          <w:ilvl w:val="0"/>
          <w:numId w:val="2"/>
        </w:numPr>
        <w:spacing w:after="90" w:line="276"/>
        <w:jc w:val="both"/>
      </w:pPr>
      <w:r>
        <w:rPr>
          <w:sz w:val="20"/>
          <w:szCs w:val="20"/>
        </w:rPr>
        <w:t>Pasarela de pagos y cobro recurrente. El esquema ya la espera: las tablas de pago llevan pasarela, referencia e idempotencia desde el MVP (D-40), así que es trabajo de aplicación, no de migración.</w:t>
      </w:r>
    </w:p>
    <w:p>
      <w:pPr>
        <w:pStyle w:val="ListParagraph"/>
        <w:numPr>
          <w:ilvl w:val="0"/>
          <w:numId w:val="2"/>
        </w:numPr>
        <w:spacing w:after="90" w:line="276"/>
        <w:jc w:val="both"/>
      </w:pPr>
      <w:r>
        <w:rPr>
          <w:sz w:val="20"/>
          <w:szCs w:val="20"/>
        </w:rPr>
        <w:t>Multimoneda y otras divisas en el catálogo, cuando aparezca el primer cliente fuera de Colombia. El MVP solo trae el peso colombiano.</w:t>
      </w:r>
    </w:p>
    <w:p>
      <w:pPr>
        <w:pStyle w:val="ListParagraph"/>
        <w:numPr>
          <w:ilvl w:val="0"/>
          <w:numId w:val="2"/>
        </w:numPr>
        <w:spacing w:after="90" w:line="276"/>
        <w:jc w:val="both"/>
      </w:pPr>
      <w:r>
        <w:rPr>
          <w:sz w:val="20"/>
          <w:szCs w:val="20"/>
        </w:rPr>
        <w:t>Actualización de presupuestos ya activos ante un cambio de precios, con su propio flujo de aprobación. Hoy el camino es reabrir y justificar, y es deliberado.</w:t>
      </w:r>
    </w:p>
    <w:p>
      <w:pPr>
        <w:spacing w:after="120" w:before="0" w:line="276"/>
        <w:jc w:val="both"/>
      </w:pPr>
      <w:r>
        <w:rPr>
          <w:sz w:val="20"/>
          <w:szCs w:val="20"/>
        </w:rPr>
        <w:t>Quedan fuera del producto de forma permanente, y conviene decirlo aquí para que nadie vuelva a proponerlas: facturación electrónica del constructor a su cliente final e integraciones contables.</w:t>
      </w:r>
    </w:p>
    <w:p>
      <w:pPr>
        <w:spacing w:after="120" w:before="0" w:line="276"/>
        <w:jc w:val="both"/>
      </w:pPr>
      <w:r>
        <w:rPr>
          <w:sz w:val="20"/>
          <w:szCs w:val="20"/>
        </w:rPr>
        <w:t>Nota del 14 de octubre de 2026: el cronograma de obra salió de esa lista. Con el MVP terminado, la programación de obra entra al producto como el primer módulo después de los cimientos (migraciones y plazos, módulo 0), y le siguen terceros y mesa de ayuda, y compras, inventario y vales. El esquema ya no se edita: cambia por migraciones numeradas (D-77). Los requisitos, las reglas y el orden están en el documento 07; la justificación de cada módulo, en el «Roadmap después del MVP».</w:t>
      </w:r>
    </w:p>
    <w:p>
      <w:pPr>
        <w:spacing w:after="120" w:before="0" w:line="276"/>
        <w:jc w:val="center"/>
      </w:pPr>
      <w:r>
        <w:rPr>
          <w:i/>
          <w:iCs/>
          <w:color w:val="7A8896"/>
          <w:sz w:val="20"/>
          <w:szCs w:val="20"/>
        </w:rPr>
        <w:t xml:space="preserve">— Fin del documento —</w:t>
      </w:r>
    </w:p>
    <w:sectPr>
      <w:headerReference w:type="default" r:id="rId7"/>
      <w:headerReference w:type="first" r:id="rId8"/>
      <w:footerReference w:type="default" r:id="rId9"/>
      <w:footerReference w:type="first" r:id="rId10"/>
      <w:headerReference w:type="even" r:id="rId12"/>
      <w:footerReference w:type="even" r:id="rId13"/>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7A3"/>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DAE0" w:sz="4" w:space="4"/>
      </w:pBdr>
      <w:jc w:val="right"/>
    </w:pPr>
    <w:r>
      <w:rPr>
        <w:color w:val="8A97A3"/>
        <w:sz w:val="15"/>
        <w:szCs w:val="15"/>
      </w:rPr>
      <w:t>CONSTRUSOFT · Plan de desarrollo por fases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por fases</dc:title>
  <dc:creator>Juan Sebastián Lopera Ayala</dc:creator>
  <cp:lastModifiedBy>Un-named</cp:lastModifiedBy>
  <cp:revision>1</cp:revision>
  <dcterms:created xsi:type="dcterms:W3CDTF">2026-09-15T05:09:29.059Z</dcterms:created>
  <dcterms:modified xsi:type="dcterms:W3CDTF">2026-09-15T05:09:29.059Z</dcterms:modified>
</cp:coreProperties>
</file>

<file path=docProps/custom.xml><?xml version="1.0" encoding="utf-8"?>
<Properties xmlns="http://schemas.openxmlformats.org/officeDocument/2006/custom-properties" xmlns:vt="http://schemas.openxmlformats.org/officeDocument/2006/docPropsVTypes"/>
</file>