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color w:val="7A8896"/>
          <w:spacing w:val="60"/>
          <w:sz w:val="17"/>
          <w:szCs w:val="17"/>
        </w:rPr>
        <w:t xml:space="preserve">PAQUETE DE DESARROLLO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3496B"/>
          <w:sz w:val="44"/>
          <w:szCs w:val="44"/>
        </w:rPr>
        <w:t xml:space="preserve">Alcance después del MVP</w:t>
      </w:r>
    </w:p>
    <w:p>
      <w:pPr>
        <w:pBdr>
          <w:bottom w:val="single" w:color="13496B" w:sz="12" w:space="10"/>
        </w:pBdr>
        <w:spacing w:after="700"/>
      </w:pPr>
      <w:r>
        <w:rPr>
          <w:rFonts w:ascii="Calibri" w:cs="Calibri" w:eastAsia="Calibri" w:hAnsi="Calibri"/>
          <w:color w:val="3C4A57"/>
          <w:sz w:val="24"/>
          <w:szCs w:val="24"/>
        </w:rPr>
        <w:t xml:space="preserve">Cómo crece el sistema sin romper lo que funciona: reglas, orden de módulos y el módulo 0</w:t>
      </w:r>
    </w:p>
    <w:tbl>
      <w:tblPr>
        <w:tblW w:type="dxa" w:w="9360"/>
        <w:tblBorders>
          <w:top w:val="single" w:color="D4DAE0" w:sz="2"/>
          <w:left w:val="none" w:color="FFFFFF" w:sz="0"/>
          <w:bottom w:val="single" w:color="D4DAE0" w:sz="2"/>
          <w:right w:val="none" w:color="FFFFFF" w:sz="0"/>
          <w:insideH w:val="single" w:color="E4E8EC" w:sz="2"/>
          <w:insideV w:val="none" w:color="FFFFFF" w:sz="0"/>
        </w:tblBorders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Documento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07 de 07</w:t>
            </w:r>
          </w:p>
        </w:tc>
      </w:tr>
      <w:tr>
        <w:trPr>
          <w:cantSplit/>
        </w:trPr>
        <w:tc>
          <w:tcPr>
            <w:tcW w:type="dxa" w:w="26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Fecha</w:t>
            </w:r>
          </w:p>
        </w:tc>
        <w:tc>
          <w:tcPr>
            <w:tcW w:type="dxa" w:w="676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14 de octubre de 2026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Completa a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El 01 (requisitos del MVP), el 03 (alcance) y el 05 (esquema), sin reemplazarlos</w:t>
            </w:r>
          </w:p>
        </w:tc>
      </w:tr>
      <w:tr>
        <w:trPr>
          <w:cantSplit/>
        </w:trPr>
        <w:tc>
          <w:tcPr>
            <w:tcW w:type="dxa" w:w="26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Estado</w:t>
            </w:r>
          </w:p>
        </w:tc>
        <w:tc>
          <w:tcPr>
            <w:tcW w:type="dxa" w:w="676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Módulo 0 construido y probado; pendiente de integrar en la API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3496B"/>
          <w:sz w:val="30"/>
          <w:szCs w:val="30"/>
        </w:rPr>
        <w:t xml:space="preserve">1. Para qué es este documento</w:t>
      </w:r>
    </w:p>
    <w:p>
      <w:pPr>
        <w:spacing w:after="140" w:line="288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El MVP está terminado: los requisitos del 01, el esquema del 05 y las decisiones del 04 describen un sistema que funciona y que tiene pruebas que lo sostienen. Desde aquí el sistema crece por módulos. Este documento fija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cómo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crece —las reglas que cada módulo nuevo tiene que cumplir—,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en qué orden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y define los requisitos y reglas de negocio del primero, el módulo 0.</w:t>
      </w:r>
    </w:p>
    <w:p>
      <w:pPr>
        <w:spacing w:after="140" w:line="288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Los documentos anteriores no se reescriben. El 01 sigue siendo el contrato del MVP; lo que cambia de él se anota aquí y se señala allá con una nota corta. La justificación de cada módulo, su problema, sus datos y sus tablas está en el «Roadmap después del MVP» (PDF del 13 de octubre); este documento recoge lo que de eso ya se decidió.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3496B"/>
          <w:sz w:val="30"/>
          <w:szCs w:val="30"/>
        </w:rPr>
        <w:t xml:space="preserve">2. Reglas para crecer</w:t>
      </w:r>
    </w:p>
    <w:p>
      <w:pPr>
        <w:spacing w:after="140" w:line="288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Son las mismas con que se construyó el MVP, escritas para que ningún módulo nuevo las salte: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Nada se rompe.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Un módulo entra solo si todas las baterías de pruebas anteriores siguen pasando sobre el esquema con el módulo aplicado.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Cada regla nueva trae su prueba, y la prueba demuestra que puede fallar.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Se rompe la regla a propósito (prueba de mutación) y la batería tiene que detectarlo.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El aislamiento entre empresas no se negocia.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Toda tabla nueva con datos de una empresa lleva tenant, RLS forzada y queda en la verificación final (fn_verificar_rls). Toda función nueva queda en fn_verificar_funciones.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Los cambios al esquema viven en migraciones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(D-77). El 05 queda congelado como estado inicial; nada se edita a mano en una base que ya tiene datos.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Se mide antes y después.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Un cambio que toca una operación frecuente se mide sobre un presupuesto grande; si empeora, no entra.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Nada preparado por adelantado.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Una tabla o un campo entra con el módulo que lo usa, no antes. Por eso adjuntos, aprobaciones y notificaciones, que el roadmap ponía en el módulo 0, se construyen con compras, que es el primero que los necesita.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Precisión.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Dinero y cantidades siguen en numeric, nunca en coma flotante; los enteros viajan como texto entre cliente y servidor.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3496B"/>
          <w:sz w:val="30"/>
          <w:szCs w:val="30"/>
        </w:rPr>
        <w:t xml:space="preserve">3. Decisiones de alcance</w:t>
      </w:r>
    </w:p>
    <w:tbl>
      <w:tblPr>
        <w:tblW w:type="dxa" w:w="9360"/>
        <w:tblBorders>
          <w:top w:val="single" w:color="E4E8EC" w:sz="2"/>
          <w:left w:val="none" w:color="FFFFFF" w:sz="0"/>
          <w:bottom w:val="single" w:color="E4E8EC" w:sz="2"/>
          <w:right w:val="none" w:color="FFFFFF" w:sz="0"/>
          <w:insideH w:val="single" w:color="E4E8EC" w:sz="2"/>
          <w:insideV w:val="none" w:color="FFFFFF" w:sz="0"/>
        </w:tblBorders>
      </w:tblPr>
      <w:tblGrid>
        <w:gridCol w:w="700"/>
        <w:gridCol w:w="4060"/>
        <w:gridCol w:w="1500"/>
        <w:gridCol w:w="3100"/>
      </w:tblGrid>
      <w:tr>
        <w:trPr>
          <w:tblHeader/>
        </w:trPr>
        <w:tc>
          <w:tcPr>
            <w:tcW w:type="dxa" w:w="700"/>
            <w:shd w:fill="1349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  <w:tc>
          <w:tcPr>
            <w:tcW w:type="dxa" w:w="4060"/>
            <w:shd w:fill="1349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  <w:tc>
          <w:tcPr>
            <w:tcW w:type="dxa" w:w="1500"/>
            <w:shd w:fill="1349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3100"/>
            <w:shd w:fill="1349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Nota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A</w:t>
            </w:r>
          </w:p>
        </w:tc>
        <w:tc>
          <w:tcPr>
            <w:tcW w:type="dxa" w:w="40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La programación de obra entra al producto. El 03 la excluía del MVP; ya no es una exclusión permanente.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8"/>
                <w:szCs w:val="18"/>
              </w:rPr>
              <w:t xml:space="preserve">Aprobada</w:t>
            </w: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(13 oct)</w:t>
            </w:r>
          </w:p>
        </w:tc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Sale del 03 como exclusión; entra como módulo 1.</w:t>
            </w:r>
          </w:p>
        </w:tc>
      </w:tr>
      <w:tr>
        <w:trPr>
          <w:cantSplit/>
        </w:trPr>
        <w:tc>
          <w:tcPr>
            <w:tcW w:type="dxa" w:w="7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B</w:t>
            </w:r>
          </w:p>
        </w:tc>
        <w:tc>
          <w:tcPr>
            <w:tcW w:type="dxa" w:w="406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Terceros (proveedores y subcontratistas) como catálogo de la empresa.</w:t>
            </w:r>
          </w:p>
        </w:tc>
        <w:tc>
          <w:tcPr>
            <w:tcW w:type="dxa" w:w="15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Pendiente</w:t>
            </w:r>
          </w:p>
        </w:tc>
        <w:tc>
          <w:tcPr>
            <w:tcW w:type="dxa" w:w="31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Lo necesitan compras y contratos.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C</w:t>
            </w:r>
          </w:p>
        </w:tc>
        <w:tc>
          <w:tcPr>
            <w:tcW w:type="dxa" w:w="40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Inventario por obra, sin bodega central en la primera versión.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Pendiente</w:t>
            </w:r>
          </w:p>
        </w:tc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Bodega central solo si un cliente la pide.</w:t>
            </w:r>
          </w:p>
        </w:tc>
      </w:tr>
      <w:tr>
        <w:trPr>
          <w:cantSplit/>
        </w:trPr>
        <w:tc>
          <w:tcPr>
            <w:tcW w:type="dxa" w:w="7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D</w:t>
            </w:r>
          </w:p>
        </w:tc>
        <w:tc>
          <w:tcPr>
            <w:tcW w:type="dxa" w:w="406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Los cortes de obra se miden contra el presupuesto vigente, no contra una línea base aparte.</w:t>
            </w:r>
          </w:p>
        </w:tc>
        <w:tc>
          <w:tcPr>
            <w:tcW w:type="dxa" w:w="15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Pendiente</w:t>
            </w:r>
          </w:p>
        </w:tc>
        <w:tc>
          <w:tcPr>
            <w:tcW w:type="dxa" w:w="31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Define el control de proyectos.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E</w:t>
            </w:r>
          </w:p>
        </w:tc>
        <w:tc>
          <w:tcPr>
            <w:tcW w:type="dxa" w:w="40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Reportes BI sobre vistas de la propia base antes que un motor aparte.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Pendiente</w:t>
            </w:r>
          </w:p>
        </w:tc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Se revisa al medir volumen real.</w:t>
            </w:r>
          </w:p>
        </w:tc>
      </w:tr>
      <w:tr>
        <w:trPr>
          <w:cantSplit/>
        </w:trPr>
        <w:tc>
          <w:tcPr>
            <w:tcW w:type="dxa" w:w="7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F</w:t>
            </w:r>
          </w:p>
        </w:tc>
        <w:tc>
          <w:tcPr>
            <w:tcW w:type="dxa" w:w="406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Precios por plan para los módulos nuevos.</w:t>
            </w:r>
          </w:p>
        </w:tc>
        <w:tc>
          <w:tcPr>
            <w:tcW w:type="dxa" w:w="15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Pendiente</w:t>
            </w:r>
          </w:p>
        </w:tc>
        <w:tc>
          <w:tcPr>
            <w:tcW w:type="dxa" w:w="31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Decisión comercial, no técnica.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3496B"/>
          <w:sz w:val="30"/>
          <w:szCs w:val="30"/>
        </w:rPr>
        <w:t xml:space="preserve">4. Orden de los módulos</w:t>
      </w:r>
    </w:p>
    <w:tbl>
      <w:tblPr>
        <w:tblW w:type="dxa" w:w="9360"/>
        <w:tblBorders>
          <w:top w:val="single" w:color="E4E8EC" w:sz="2"/>
          <w:left w:val="none" w:color="FFFFFF" w:sz="0"/>
          <w:bottom w:val="single" w:color="E4E8EC" w:sz="2"/>
          <w:right w:val="none" w:color="FFFFFF" w:sz="0"/>
          <w:insideH w:val="single" w:color="E4E8EC" w:sz="2"/>
          <w:insideV w:val="none" w:color="FFFFFF" w:sz="0"/>
        </w:tblBorders>
      </w:tblPr>
      <w:tblGrid>
        <w:gridCol w:w="1100"/>
        <w:gridCol w:w="3100"/>
        <w:gridCol w:w="5160"/>
      </w:tblGrid>
      <w:tr>
        <w:trPr>
          <w:tblHeader/>
        </w:trPr>
        <w:tc>
          <w:tcPr>
            <w:tcW w:type="dxa" w:w="1100"/>
            <w:shd w:fill="1349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Orden</w:t>
            </w:r>
          </w:p>
        </w:tc>
        <w:tc>
          <w:tcPr>
            <w:tcW w:type="dxa" w:w="3100"/>
            <w:shd w:fill="1349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Módulo</w:t>
            </w:r>
          </w:p>
        </w:tc>
        <w:tc>
          <w:tcPr>
            <w:tcW w:type="dxa" w:w="5160"/>
            <w:shd w:fill="1349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Por qué en este lugar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0</w:t>
            </w:r>
          </w:p>
        </w:tc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Cimientos: migraciones y plazos</w:t>
            </w:r>
          </w:p>
        </w:tc>
        <w:tc>
          <w:tcPr>
            <w:tcW w:type="dxa" w:w="5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Sin migraciones no se puede cambiar el esquema de una base con clientes. Los plazos dejan de estar escritos en el código.</w:t>
            </w:r>
          </w:p>
        </w:tc>
      </w:tr>
      <w:tr>
        <w:trPr>
          <w:cantSplit/>
        </w:trPr>
        <w:tc>
          <w:tcPr>
            <w:tcW w:type="dxa" w:w="11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1</w:t>
            </w:r>
          </w:p>
        </w:tc>
        <w:tc>
          <w:tcPr>
            <w:tcW w:type="dxa" w:w="31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Programación de obra</w:t>
            </w:r>
          </w:p>
        </w:tc>
        <w:tc>
          <w:tcPr>
            <w:tcW w:type="dxa" w:w="516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Solo necesita lo que ya existe: la EDT del presupuesto y el calendario de días hábiles. Da valor inmediato.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2</w:t>
            </w:r>
          </w:p>
        </w:tc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Terceros y mesa de ayuda</w:t>
            </w:r>
          </w:p>
        </w:tc>
        <w:tc>
          <w:tcPr>
            <w:tcW w:type="dxa" w:w="5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Base de compras y contratos; la mesa ordena el soporte antes de que crezca el número de empresas.</w:t>
            </w:r>
          </w:p>
        </w:tc>
      </w:tr>
      <w:tr>
        <w:trPr>
          <w:cantSplit/>
        </w:trPr>
        <w:tc>
          <w:tcPr>
            <w:tcW w:type="dxa" w:w="11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3</w:t>
            </w:r>
          </w:p>
        </w:tc>
        <w:tc>
          <w:tcPr>
            <w:tcW w:type="dxa" w:w="31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Compras, inventario y vales</w:t>
            </w:r>
          </w:p>
        </w:tc>
        <w:tc>
          <w:tcPr>
            <w:tcW w:type="dxa" w:w="516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Necesita terceros. Trae consigo adjuntos, aprobaciones y notificaciones.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4</w:t>
            </w:r>
          </w:p>
        </w:tc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Control de proyectos y reportes</w:t>
            </w:r>
          </w:p>
        </w:tc>
        <w:tc>
          <w:tcPr>
            <w:tcW w:type="dxa" w:w="5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Necesita programación y compras para tener contra qué comparar.</w:t>
            </w:r>
          </w:p>
        </w:tc>
      </w:tr>
    </w:tbl>
    <w:p>
      <w:pPr>
        <w:spacing w:after="120"/>
      </w:pPr>
    </w:p>
    <w:p>
      <w:pPr>
        <w:spacing w:after="140" w:line="288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El detalle de cada módulo —tablas, campos, dependencias— está en el roadmap. Este documento crece con un capítulo por módulo a medida que cada uno se construye.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3496B"/>
          <w:sz w:val="30"/>
          <w:szCs w:val="30"/>
        </w:rPr>
        <w:t xml:space="preserve">5. Módulo 0: cimientos</w:t>
      </w:r>
    </w:p>
    <w:p>
      <w:pPr>
        <w:spacing w:after="140" w:line="288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Tres cosas que no se ven en la pantalla del usuario y que hacen posible todo lo demás: una forma segura de cambiar el esquema, los plazos del ciclo de suscripción como datos y no como código, y una EDT que se recalcula por rama y no completa.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3496B"/>
          <w:sz w:val="23"/>
          <w:szCs w:val="23"/>
        </w:rPr>
        <w:t xml:space="preserve">5.1 Requisitos no funcionales</w:t>
      </w:r>
    </w:p>
    <w:tbl>
      <w:tblPr>
        <w:tblW w:type="dxa" w:w="9360"/>
        <w:tblBorders>
          <w:top w:val="single" w:color="E4E8EC" w:sz="2"/>
          <w:left w:val="none" w:color="FFFFFF" w:sz="0"/>
          <w:bottom w:val="single" w:color="E4E8EC" w:sz="2"/>
          <w:right w:val="none" w:color="FFFFFF" w:sz="0"/>
          <w:insideH w:val="single" w:color="E4E8EC" w:sz="2"/>
          <w:insideV w:val="none" w:color="FFFFFF" w:sz="0"/>
        </w:tblBorders>
      </w:tblPr>
      <w:tblGrid>
        <w:gridCol w:w="1700"/>
        <w:gridCol w:w="7660"/>
      </w:tblGrid>
      <w:tr>
        <w:trPr>
          <w:cantSplit/>
        </w:trPr>
        <w:tc>
          <w:tcPr>
            <w:tcW w:type="dxa" w:w="17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3496B"/>
                <w:sz w:val="18"/>
                <w:szCs w:val="18"/>
              </w:rPr>
              <w:t xml:space="preserve">RNF-27</w:t>
            </w:r>
          </w:p>
        </w:tc>
        <w:tc>
          <w:tcPr>
            <w:tcW w:type="dxa" w:w="766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8"/>
                <w:szCs w:val="18"/>
              </w:rPr>
              <w:t xml:space="preserve">Cambios al esquema por migraciones numeradas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7A8896"/>
                <w:sz w:val="18"/>
                <w:szCs w:val="18"/>
              </w:rPr>
              <w:t xml:space="preserve">Qué</w:t>
            </w:r>
          </w:p>
        </w:tc>
        <w:tc>
          <w:tcPr>
            <w:tcW w:type="dxa" w:w="76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Todo cambio al esquema después del 05 se escribe como una migración numerada con su reverso. Cada una corre en una sola transacción, en orden estricto, solo con superusuario y bajo un candado que impide dos a la vez. La base registra qué migraciones tiene, cuándo y quién las aplicó, y la huella sha256 del archivo. Al terminar, la migración verifica que todas las tablas sigan con RLS y todas las funciones con su dueño y permisos; si no, se deshace entera.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7A8896"/>
                <w:sz w:val="18"/>
                <w:szCs w:val="18"/>
              </w:rPr>
              <w:t xml:space="preserve">Se acepta si</w:t>
            </w:r>
          </w:p>
        </w:tc>
        <w:tc>
          <w:tcPr>
            <w:tcW w:type="dxa" w:w="76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Una migración fuera de orden, repetida o aplicada sin superusuario se rechaza; revertir solo deshace la última y nunca la 0; aplicar y revertir todas deja las baterías en verde en ambos sentidos.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E4E8EC" w:sz="2"/>
          <w:left w:val="none" w:color="FFFFFF" w:sz="0"/>
          <w:bottom w:val="single" w:color="E4E8EC" w:sz="2"/>
          <w:right w:val="none" w:color="FFFFFF" w:sz="0"/>
          <w:insideH w:val="single" w:color="E4E8EC" w:sz="2"/>
          <w:insideV w:val="none" w:color="FFFFFF" w:sz="0"/>
        </w:tblBorders>
      </w:tblPr>
      <w:tblGrid>
        <w:gridCol w:w="1700"/>
        <w:gridCol w:w="7660"/>
      </w:tblGrid>
      <w:tr>
        <w:trPr>
          <w:cantSplit/>
        </w:trPr>
        <w:tc>
          <w:tcPr>
            <w:tcW w:type="dxa" w:w="17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3496B"/>
                <w:sz w:val="18"/>
                <w:szCs w:val="18"/>
              </w:rPr>
              <w:t xml:space="preserve">RNF-28</w:t>
            </w:r>
          </w:p>
        </w:tc>
        <w:tc>
          <w:tcPr>
            <w:tcW w:type="dxa" w:w="766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8"/>
                <w:szCs w:val="18"/>
              </w:rPr>
              <w:t xml:space="preserve">Edición de la EDT sin recalcular todo el presupuesto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7A8896"/>
                <w:sz w:val="18"/>
                <w:szCs w:val="18"/>
              </w:rPr>
              <w:t xml:space="preserve">Qué</w:t>
            </w:r>
          </w:p>
        </w:tc>
        <w:tc>
          <w:tcPr>
            <w:tcW w:type="dxa" w:w="76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Editar una actividad, agregarla o borrarla renumera solo la rama afectada. Cambiar la cantidad o el nombre no renumera nada. Solo mover o crear capítulos recalcula el presupuesto entero.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7A8896"/>
                <w:sz w:val="18"/>
                <w:szCs w:val="18"/>
              </w:rPr>
              <w:t xml:space="preserve">Se acepta si</w:t>
            </w:r>
          </w:p>
        </w:tc>
        <w:tc>
          <w:tcPr>
            <w:tcW w:type="dxa" w:w="76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Sobre un presupuesto de 1.500 actividades: editar cantidad en menos de 10 ms, agregar o borrar una actividad en menos de 15 ms; y tras cualquier operación los códigos son idénticos a los de un recálculo completo.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3496B"/>
          <w:sz w:val="23"/>
          <w:szCs w:val="23"/>
        </w:rPr>
        <w:t xml:space="preserve">5.2 Requisitos funcionales</w:t>
      </w:r>
    </w:p>
    <w:tbl>
      <w:tblPr>
        <w:tblW w:type="dxa" w:w="9360"/>
        <w:tblBorders>
          <w:top w:val="single" w:color="E4E8EC" w:sz="2"/>
          <w:left w:val="none" w:color="FFFFFF" w:sz="0"/>
          <w:bottom w:val="single" w:color="E4E8EC" w:sz="2"/>
          <w:right w:val="none" w:color="FFFFFF" w:sz="0"/>
          <w:insideH w:val="single" w:color="E4E8EC" w:sz="2"/>
          <w:insideV w:val="none" w:color="FFFFFF" w:sz="0"/>
        </w:tblBorders>
      </w:tblPr>
      <w:tblGrid>
        <w:gridCol w:w="1700"/>
        <w:gridCol w:w="7660"/>
      </w:tblGrid>
      <w:tr>
        <w:trPr>
          <w:cantSplit/>
        </w:trPr>
        <w:tc>
          <w:tcPr>
            <w:tcW w:type="dxa" w:w="17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3496B"/>
                <w:sz w:val="18"/>
                <w:szCs w:val="18"/>
              </w:rPr>
              <w:t xml:space="preserve">RF-SAD-16</w:t>
            </w:r>
          </w:p>
        </w:tc>
        <w:tc>
          <w:tcPr>
            <w:tcW w:type="dxa" w:w="766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8"/>
                <w:szCs w:val="18"/>
              </w:rPr>
              <w:t xml:space="preserve">Ver los plazos del ciclo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7A8896"/>
                <w:sz w:val="18"/>
                <w:szCs w:val="18"/>
              </w:rPr>
              <w:t xml:space="preserve">Qué</w:t>
            </w:r>
          </w:p>
        </w:tc>
        <w:tc>
          <w:tcPr>
            <w:tcW w:type="dxa" w:w="76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El panel de superadmin tiene una pantalla «Plazos» con los cinco plazos del ciclo de suscripción: valor de hoy, desde cuándo rige, cambio programado si lo hay, límites y si el plazo está escrito en los términos. Debajo, el historial de cambios con motivo, autor y fecha.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7A8896"/>
                <w:sz w:val="18"/>
                <w:szCs w:val="18"/>
              </w:rPr>
              <w:t xml:space="preserve">Se acepta si</w:t>
            </w:r>
          </w:p>
        </w:tc>
        <w:tc>
          <w:tcPr>
            <w:tcW w:type="dxa" w:w="76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Solo el superadmin la ve; el rol de la aplicación no puede leer el historial.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E4E8EC" w:sz="2"/>
          <w:left w:val="none" w:color="FFFFFF" w:sz="0"/>
          <w:bottom w:val="single" w:color="E4E8EC" w:sz="2"/>
          <w:right w:val="none" w:color="FFFFFF" w:sz="0"/>
          <w:insideH w:val="single" w:color="E4E8EC" w:sz="2"/>
          <w:insideV w:val="none" w:color="FFFFFF" w:sz="0"/>
        </w:tblBorders>
      </w:tblPr>
      <w:tblGrid>
        <w:gridCol w:w="1700"/>
        <w:gridCol w:w="7660"/>
      </w:tblGrid>
      <w:tr>
        <w:trPr>
          <w:cantSplit/>
        </w:trPr>
        <w:tc>
          <w:tcPr>
            <w:tcW w:type="dxa" w:w="17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3496B"/>
                <w:sz w:val="18"/>
                <w:szCs w:val="18"/>
              </w:rPr>
              <w:t xml:space="preserve">RF-SAD-17</w:t>
            </w:r>
          </w:p>
        </w:tc>
        <w:tc>
          <w:tcPr>
            <w:tcW w:type="dxa" w:w="766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8"/>
                <w:szCs w:val="18"/>
              </w:rPr>
              <w:t xml:space="preserve">Cambiar un plazo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7A8896"/>
                <w:sz w:val="18"/>
                <w:szCs w:val="18"/>
              </w:rPr>
              <w:t xml:space="preserve">Qué</w:t>
            </w:r>
          </w:p>
        </w:tc>
        <w:tc>
          <w:tcPr>
            <w:tcW w:type="dxa" w:w="76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El superadmin elige el valor nuevo, la fecha desde la que rige (hoy o después) y escribe un motivo. El cambio queda en la bitácora del panel.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7A8896"/>
                <w:sz w:val="18"/>
                <w:szCs w:val="18"/>
              </w:rPr>
              <w:t xml:space="preserve">Se acepta si</w:t>
            </w:r>
          </w:p>
        </w:tc>
        <w:tc>
          <w:tcPr>
            <w:tcW w:type="dxa" w:w="76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Se rechaza, con el error en su campo: un valor fuera de los límites, igual al vigente, una fecha anterior a hoy o anterior a otro cambio ya programado, y un motivo vacío.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E4E8EC" w:sz="2"/>
          <w:left w:val="none" w:color="FFFFFF" w:sz="0"/>
          <w:bottom w:val="single" w:color="E4E8EC" w:sz="2"/>
          <w:right w:val="none" w:color="FFFFFF" w:sz="0"/>
          <w:insideH w:val="single" w:color="E4E8EC" w:sz="2"/>
          <w:insideV w:val="none" w:color="FFFFFF" w:sz="0"/>
        </w:tblBorders>
      </w:tblPr>
      <w:tblGrid>
        <w:gridCol w:w="1700"/>
        <w:gridCol w:w="7660"/>
      </w:tblGrid>
      <w:tr>
        <w:trPr>
          <w:cantSplit/>
        </w:trPr>
        <w:tc>
          <w:tcPr>
            <w:tcW w:type="dxa" w:w="17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3496B"/>
                <w:sz w:val="18"/>
                <w:szCs w:val="18"/>
              </w:rPr>
              <w:t xml:space="preserve">RF-SAD-18</w:t>
            </w:r>
          </w:p>
        </w:tc>
        <w:tc>
          <w:tcPr>
            <w:tcW w:type="dxa" w:w="766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8"/>
                <w:szCs w:val="18"/>
              </w:rPr>
              <w:t xml:space="preserve">Anular un cambio programado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7A8896"/>
                <w:sz w:val="18"/>
                <w:szCs w:val="18"/>
              </w:rPr>
              <w:t xml:space="preserve">Qué</w:t>
            </w:r>
          </w:p>
        </w:tc>
        <w:tc>
          <w:tcPr>
            <w:tcW w:type="dxa" w:w="76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Un cambio que todavía no rige se puede anular con un motivo. El plazo sigue con el valor de antes.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7A8896"/>
                <w:sz w:val="18"/>
                <w:szCs w:val="18"/>
              </w:rPr>
              <w:t xml:space="preserve">Se acepta si</w:t>
            </w:r>
          </w:p>
        </w:tc>
        <w:tc>
          <w:tcPr>
            <w:tcW w:type="dxa" w:w="76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Un cambio que ya rige no se anula: se corrige con otro cambio. La anulación queda en la bitácora.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E4E8EC" w:sz="2"/>
          <w:left w:val="none" w:color="FFFFFF" w:sz="0"/>
          <w:bottom w:val="single" w:color="E4E8EC" w:sz="2"/>
          <w:right w:val="none" w:color="FFFFFF" w:sz="0"/>
          <w:insideH w:val="single" w:color="E4E8EC" w:sz="2"/>
          <w:insideV w:val="none" w:color="FFFFFF" w:sz="0"/>
        </w:tblBorders>
      </w:tblPr>
      <w:tblGrid>
        <w:gridCol w:w="1700"/>
        <w:gridCol w:w="7660"/>
      </w:tblGrid>
      <w:tr>
        <w:trPr>
          <w:cantSplit/>
        </w:trPr>
        <w:tc>
          <w:tcPr>
            <w:tcW w:type="dxa" w:w="17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3496B"/>
                <w:sz w:val="18"/>
                <w:szCs w:val="18"/>
              </w:rPr>
              <w:t xml:space="preserve">RF-CFG-26</w:t>
            </w:r>
          </w:p>
        </w:tc>
        <w:tc>
          <w:tcPr>
            <w:tcW w:type="dxa" w:w="766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8"/>
                <w:szCs w:val="18"/>
              </w:rPr>
              <w:t xml:space="preserve">La empresa ve sus plazos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7A8896"/>
                <w:sz w:val="18"/>
                <w:szCs w:val="18"/>
              </w:rPr>
              <w:t xml:space="preserve">Qué</w:t>
            </w:r>
          </w:p>
        </w:tc>
        <w:tc>
          <w:tcPr>
            <w:tcW w:type="dxa" w:w="76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La pestaña Suscripción de Configuración explica los plazos con los valores vigentes hoy, no con números fijos en el texto.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7A8896"/>
                <w:sz w:val="18"/>
                <w:szCs w:val="18"/>
              </w:rPr>
              <w:t xml:space="preserve">Se acepta si</w:t>
            </w:r>
          </w:p>
        </w:tc>
        <w:tc>
          <w:tcPr>
            <w:tcW w:type="dxa" w:w="76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Si el superadmin cambia un plazo, el texto que ve la empresa cambia el día en que rige, sin desplegar la aplicación.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3496B"/>
          <w:sz w:val="23"/>
          <w:szCs w:val="23"/>
        </w:rPr>
        <w:t xml:space="preserve">5.3 Reglas de negocio</w:t>
      </w:r>
    </w:p>
    <w:tbl>
      <w:tblPr>
        <w:tblW w:type="dxa" w:w="9360"/>
        <w:tblBorders>
          <w:top w:val="single" w:color="E4E8EC" w:sz="2"/>
          <w:left w:val="none" w:color="FFFFFF" w:sz="0"/>
          <w:bottom w:val="single" w:color="E4E8EC" w:sz="2"/>
          <w:right w:val="none" w:color="FFFFFF" w:sz="0"/>
          <w:insideH w:val="single" w:color="E4E8EC" w:sz="2"/>
          <w:insideV w:val="none" w:color="FFFFFF" w:sz="0"/>
        </w:tblBorders>
      </w:tblPr>
      <w:tblGrid>
        <w:gridCol w:w="1100"/>
        <w:gridCol w:w="8260"/>
      </w:tblGrid>
      <w:tr>
        <w:trPr>
          <w:tblHeader/>
        </w:trPr>
        <w:tc>
          <w:tcPr>
            <w:tcW w:type="dxa" w:w="1100"/>
            <w:shd w:fill="1349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8260"/>
            <w:shd w:fill="1349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Regla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RN-21</w:t>
            </w:r>
          </w:p>
        </w:tc>
        <w:tc>
          <w:tcPr>
            <w:tcW w:type="dxa" w:w="82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8"/>
                <w:szCs w:val="18"/>
              </w:rPr>
              <w:t xml:space="preserve">Cada plazo se cuenta con el valor vigente el día desde el que se cuenta.</w:t>
            </w: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La gracia para pagar, desde el vencimiento; el plazo tras un rechazo, desde el rechazo; la suspensión, desde el día en que se suspendió; la solo lectura, desde el fin de la prueba; la reactivación, desde la fecha en que termina lo pagado. Un plazo que ya corre conserva el valor con que empezó.</w:t>
            </w:r>
          </w:p>
        </w:tc>
      </w:tr>
      <w:tr>
        <w:trPr>
          <w:cantSplit/>
        </w:trPr>
        <w:tc>
          <w:tcPr>
            <w:tcW w:type="dxa" w:w="11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RN-22</w:t>
            </w:r>
          </w:p>
        </w:tc>
        <w:tc>
          <w:tcPr>
            <w:tcW w:type="dxa" w:w="826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8"/>
                <w:szCs w:val="18"/>
              </w:rPr>
              <w:t xml:space="preserve">Un plazo nunca rige hacia atrás y su historia no se borra.</w:t>
            </w: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Un cambio rige desde hoy o desde una fecha futura. Los valores que ya rigieron no se editan ni se eliminan; solo un cambio futuro se puede anular antes de que rija.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RN-23</w:t>
            </w:r>
          </w:p>
        </w:tc>
        <w:tc>
          <w:tcPr>
            <w:tcW w:type="dxa" w:w="82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8"/>
                <w:szCs w:val="18"/>
              </w:rPr>
              <w:t xml:space="preserve">Cada plazo tiene límites.</w:t>
            </w: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Fuera de ellos, la base rechaza el cambio (tabla de la sección 5.4).</w:t>
            </w:r>
          </w:p>
        </w:tc>
      </w:tr>
      <w:tr>
        <w:trPr>
          <w:cantSplit/>
        </w:trPr>
        <w:tc>
          <w:tcPr>
            <w:tcW w:type="dxa" w:w="11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RN-24</w:t>
            </w:r>
          </w:p>
        </w:tc>
        <w:tc>
          <w:tcPr>
            <w:tcW w:type="dxa" w:w="826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8"/>
                <w:szCs w:val="18"/>
              </w:rPr>
              <w:t xml:space="preserve">Un plazo escrito en los términos no se cambia sin términos nuevos.</w:t>
            </w: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Hoy es el de reactivación. Antes de cambiarlo se publica una versión nueva de los términos con el valor nuevo; la pantalla lo advierte.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none" w:color="FFFFFF" w:sz="0"/>
          <w:left w:val="single" w:color="B07A22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BF5E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07A22"/>
                <w:sz w:val="17"/>
                <w:szCs w:val="17"/>
              </w:rPr>
              <w:t xml:space="preserve">POR QUÉ ESTA REGLA Y NO OTRA</w:t>
            </w:r>
          </w:p>
          <w:p>
            <w:pPr>
              <w:spacing w:after="80" w:line="276"/>
            </w:pPr>
            <w:r>
              <w:rPr>
                <w:rFonts w:ascii="Calibri" w:cs="Calibri" w:eastAsia="Calibri" w:hAnsi="Calibri"/>
                <w:color w:val="1F2933"/>
                <w:sz w:val="20"/>
                <w:szCs w:val="20"/>
              </w:rPr>
              <w:t xml:space="preserve">Si un cambio alcanzara a los plazos que ya corren, acortar la suspensión de 60 a 30 días eliminaría de un día para otro a una empresa que estaba en el día 40 y a la que se le dijo que tenía hasta el 60. Con RN-21 eso no puede pasar: la promesa que se le hizo a cada empresa es la que se cumple.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3496B"/>
          <w:sz w:val="23"/>
          <w:szCs w:val="23"/>
        </w:rPr>
        <w:t xml:space="preserve">5.4 Los plazos</w:t>
      </w:r>
    </w:p>
    <w:p>
      <w:pPr>
        <w:spacing w:after="140" w:line="288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Los valores iniciales son los que fijó la D-74 y que el 01 escribe en su texto. Desde la D-78 son el punto de partida, no un número fijo.</w:t>
      </w:r>
    </w:p>
    <w:tbl>
      <w:tblPr>
        <w:tblW w:type="dxa" w:w="9360"/>
        <w:tblBorders>
          <w:top w:val="single" w:color="E4E8EC" w:sz="2"/>
          <w:left w:val="none" w:color="FFFFFF" w:sz="0"/>
          <w:bottom w:val="single" w:color="E4E8EC" w:sz="2"/>
          <w:right w:val="none" w:color="FFFFFF" w:sz="0"/>
          <w:insideH w:val="single" w:color="E4E8EC" w:sz="2"/>
          <w:insideV w:val="none" w:color="FFFFFF" w:sz="0"/>
        </w:tblBorders>
      </w:tblPr>
      <w:tblGrid>
        <w:gridCol w:w="2500"/>
        <w:gridCol w:w="1300"/>
        <w:gridCol w:w="1700"/>
        <w:gridCol w:w="1300"/>
        <w:gridCol w:w="2560"/>
      </w:tblGrid>
      <w:tr>
        <w:trPr>
          <w:tblHeader/>
        </w:trPr>
        <w:tc>
          <w:tcPr>
            <w:tcW w:type="dxa" w:w="2500"/>
            <w:shd w:fill="1349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Plazo</w:t>
            </w:r>
          </w:p>
        </w:tc>
        <w:tc>
          <w:tcPr>
            <w:tcW w:type="dxa" w:w="1300"/>
            <w:shd w:fill="1349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Inicial</w:t>
            </w:r>
          </w:p>
        </w:tc>
        <w:tc>
          <w:tcPr>
            <w:tcW w:type="dxa" w:w="1700"/>
            <w:shd w:fill="1349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Unidad</w:t>
            </w:r>
          </w:p>
        </w:tc>
        <w:tc>
          <w:tcPr>
            <w:tcW w:type="dxa" w:w="1300"/>
            <w:shd w:fill="1349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Límites</w:t>
            </w:r>
          </w:p>
        </w:tc>
        <w:tc>
          <w:tcPr>
            <w:tcW w:type="dxa" w:w="2560"/>
            <w:shd w:fill="1349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 cuenta desde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Gracia para pagar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Días hábiles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0 a 15</w:t>
            </w:r>
          </w:p>
        </w:tc>
        <w:tc>
          <w:tcPr>
            <w:tcW w:type="dxa" w:w="2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El vencimiento del periodo</w:t>
            </w:r>
          </w:p>
        </w:tc>
      </w:tr>
      <w:tr>
        <w:trPr>
          <w:cantSplit/>
        </w:trPr>
        <w:tc>
          <w:tcPr>
            <w:tcW w:type="dxa" w:w="25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Plazo tras un rechazo</w:t>
            </w:r>
          </w:p>
        </w:tc>
        <w:tc>
          <w:tcPr>
            <w:tcW w:type="dxa" w:w="13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Días hábiles</w:t>
            </w:r>
          </w:p>
        </w:tc>
        <w:tc>
          <w:tcPr>
            <w:tcW w:type="dxa" w:w="13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1 a 15</w:t>
            </w:r>
          </w:p>
        </w:tc>
        <w:tc>
          <w:tcPr>
            <w:tcW w:type="dxa" w:w="256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El día del rechazo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Suspensión antes de eliminar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60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Días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30 a 365</w:t>
            </w:r>
          </w:p>
        </w:tc>
        <w:tc>
          <w:tcPr>
            <w:tcW w:type="dxa" w:w="2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El día en que se suspendió</w:t>
            </w:r>
          </w:p>
        </w:tc>
      </w:tr>
      <w:tr>
        <w:trPr>
          <w:cantSplit/>
        </w:trPr>
        <w:tc>
          <w:tcPr>
            <w:tcW w:type="dxa" w:w="25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Solo lectura tras la prueba</w:t>
            </w:r>
          </w:p>
        </w:tc>
        <w:tc>
          <w:tcPr>
            <w:tcW w:type="dxa" w:w="13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10</w:t>
            </w:r>
          </w:p>
        </w:tc>
        <w:tc>
          <w:tcPr>
            <w:tcW w:type="dxa" w:w="17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Días</w:t>
            </w:r>
          </w:p>
        </w:tc>
        <w:tc>
          <w:tcPr>
            <w:tcW w:type="dxa" w:w="13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1 a 60</w:t>
            </w:r>
          </w:p>
        </w:tc>
        <w:tc>
          <w:tcPr>
            <w:tcW w:type="dxa" w:w="256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El fin de la prueba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Reactivar una cancelada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10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Días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5 a 90</w:t>
            </w:r>
          </w:p>
        </w:tc>
        <w:tc>
          <w:tcPr>
            <w:tcW w:type="dxa" w:w="2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El fin de lo pagado (está en los términos)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3496B"/>
          <w:sz w:val="23"/>
          <w:szCs w:val="23"/>
        </w:rPr>
        <w:t xml:space="preserve">5.5 Decisiones técnicas</w:t>
      </w:r>
    </w:p>
    <w:tbl>
      <w:tblPr>
        <w:tblW w:type="dxa" w:w="9360"/>
        <w:tblBorders>
          <w:top w:val="single" w:color="E4E8EC" w:sz="2"/>
          <w:left w:val="none" w:color="FFFFFF" w:sz="0"/>
          <w:bottom w:val="single" w:color="E4E8EC" w:sz="2"/>
          <w:right w:val="none" w:color="FFFFFF" w:sz="0"/>
          <w:insideH w:val="single" w:color="E4E8EC" w:sz="2"/>
          <w:insideV w:val="none" w:color="FFFFFF" w:sz="0"/>
        </w:tblBorders>
      </w:tblPr>
      <w:tblGrid>
        <w:gridCol w:w="1000"/>
        <w:gridCol w:w="3700"/>
        <w:gridCol w:w="4660"/>
      </w:tblGrid>
      <w:tr>
        <w:trPr>
          <w:tblHeader/>
        </w:trPr>
        <w:tc>
          <w:tcPr>
            <w:tcW w:type="dxa" w:w="1000"/>
            <w:shd w:fill="1349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  <w:tc>
          <w:tcPr>
            <w:tcW w:type="dxa" w:w="3700"/>
            <w:shd w:fill="1349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  <w:tc>
          <w:tcPr>
            <w:tcW w:type="dxa" w:w="4660"/>
            <w:shd w:fill="1349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Razón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D-77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Migraciones numeradas en docs/migraciones, cada una con su reverso; registro en plataforma.migracion; el 05 congelado como migración 0.</w:t>
            </w:r>
          </w:p>
        </w:tc>
        <w:tc>
          <w:tcPr>
            <w:tcW w:type="dxa" w:w="46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Cambiar el esquema de una base con clientes sin perder datos ni dejarla a medias. La huella sha256 detecta un archivo editado después de aplicado.</w:t>
            </w:r>
          </w:p>
        </w:tc>
      </w:tr>
      <w:tr>
        <w:trPr>
          <w:cantSplit/>
        </w:trPr>
        <w:tc>
          <w:tcPr>
            <w:tcW w:type="dxa" w:w="10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D-78</w:t>
            </w:r>
          </w:p>
        </w:tc>
        <w:tc>
          <w:tcPr>
            <w:tcW w:type="dxa" w:w="37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Plazos en plataforma.parametro y parametro_valor (solo se agrega); la función del ciclo lee el valor vigente en la fecha desde la que se cuenta cada plazo.</w:t>
            </w:r>
          </w:p>
        </w:tc>
        <w:tc>
          <w:tcPr>
            <w:tcW w:type="dxa" w:w="466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Cambiar un plazo sin desplegar y sin romper promesas hechas. Cuesta 10 µs más por evaluación del ciclo (de 42 a 52 µs).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D-79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La renumeración de la EDT distingue: cambio de actividad → solo su rama; cambio estructural de capítulos → todo; cambio sin efecto en el orden → nada.</w:t>
            </w:r>
          </w:p>
        </w:tc>
        <w:tc>
          <w:tcPr>
            <w:tcW w:type="dxa" w:w="46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Los disparadores recalculaban el presupuesto entero por cada edición; en 1.500 actividades eso eran 30 ms por tecla.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3496B"/>
          <w:sz w:val="23"/>
          <w:szCs w:val="23"/>
        </w:rPr>
        <w:t xml:space="preserve">5.6 Cómo se probó</w:t>
      </w:r>
    </w:p>
    <w:tbl>
      <w:tblPr>
        <w:tblW w:type="dxa" w:w="9360"/>
        <w:tblBorders>
          <w:top w:val="single" w:color="E4E8EC" w:sz="2"/>
          <w:left w:val="none" w:color="FFFFFF" w:sz="0"/>
          <w:bottom w:val="single" w:color="E4E8EC" w:sz="2"/>
          <w:right w:val="none" w:color="FFFFFF" w:sz="0"/>
          <w:insideH w:val="single" w:color="E4E8EC" w:sz="2"/>
          <w:insideV w:val="none" w:color="FFFFFF" w:sz="0"/>
        </w:tblBorders>
      </w:tblPr>
      <w:tblGrid>
        <w:gridCol w:w="2300"/>
        <w:gridCol w:w="1100"/>
        <w:gridCol w:w="5960"/>
      </w:tblGrid>
      <w:tr>
        <w:trPr>
          <w:tblHeader/>
        </w:trPr>
        <w:tc>
          <w:tcPr>
            <w:tcW w:type="dxa" w:w="2300"/>
            <w:shd w:fill="1349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Batería</w:t>
            </w:r>
          </w:p>
        </w:tc>
        <w:tc>
          <w:tcPr>
            <w:tcW w:type="dxa" w:w="1100"/>
            <w:shd w:fill="1349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Casos</w:t>
            </w:r>
          </w:p>
        </w:tc>
        <w:tc>
          <w:tcPr>
            <w:tcW w:type="dxa" w:w="5960"/>
            <w:shd w:fill="1349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demuestra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prueba-d78.sql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51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Mecánica de migraciones, límites, historia que no se borra, los cinco plazos contados desde su fecha con cambios antes y después, purga, permisos del panel y del rol de la aplicación. Mutación (contar todo con el valor de hoy): 6 casos fallan.</w:t>
            </w:r>
          </w:p>
        </w:tc>
      </w:tr>
      <w:tr>
        <w:trPr>
          <w:cantSplit/>
        </w:trPr>
        <w:tc>
          <w:tcPr>
            <w:tcW w:type="dxa" w:w="23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prueba-d79.sql</w:t>
            </w:r>
          </w:p>
        </w:tc>
        <w:tc>
          <w:tcPr>
            <w:tcW w:type="dxa" w:w="11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11</w:t>
            </w:r>
          </w:p>
        </w:tc>
        <w:tc>
          <w:tcPr>
            <w:tcW w:type="dxa" w:w="596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Qué renumera cada operación, códigos esperados y 300 operaciones al azar comparadas contra un recálculo completo. Mutación (sin desplazar por capítulos hijos): 4 casos fallan.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Las 9 anteriores</w:t>
            </w:r>
          </w:p>
        </w:tc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Todas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Pasan sobre el 05 con las migraciones 0001 y 0002, y otra vez tras revertirlas y volver a aplicarlas.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E4E8EC" w:sz="2"/>
          <w:left w:val="none" w:color="FFFFFF" w:sz="0"/>
          <w:bottom w:val="single" w:color="E4E8EC" w:sz="2"/>
          <w:right w:val="none" w:color="FFFFFF" w:sz="0"/>
          <w:insideH w:val="single" w:color="E4E8EC" w:sz="2"/>
          <w:insideV w:val="none" w:color="FFFFFF" w:sz="0"/>
        </w:tblBorders>
      </w:tblPr>
      <w:tblGrid>
        <w:gridCol w:w="3360"/>
        <w:gridCol w:w="2000"/>
        <w:gridCol w:w="2000"/>
        <w:gridCol w:w="2000"/>
      </w:tblGrid>
      <w:tr>
        <w:trPr>
          <w:tblHeader/>
        </w:trPr>
        <w:tc>
          <w:tcPr>
            <w:tcW w:type="dxa" w:w="3360"/>
            <w:shd w:fill="1349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Operación (1.500 actividades)</w:t>
            </w:r>
          </w:p>
        </w:tc>
        <w:tc>
          <w:tcPr>
            <w:tcW w:type="dxa" w:w="2000"/>
            <w:shd w:fill="1349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Antes</w:t>
            </w:r>
          </w:p>
        </w:tc>
        <w:tc>
          <w:tcPr>
            <w:tcW w:type="dxa" w:w="2000"/>
            <w:shd w:fill="1349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Después</w:t>
            </w:r>
          </w:p>
        </w:tc>
        <w:tc>
          <w:tcPr>
            <w:tcW w:type="dxa" w:w="2000"/>
            <w:shd w:fill="13496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Mejora</w:t>
            </w:r>
          </w:p>
        </w:tc>
      </w:tr>
      <w:tr>
        <w:trPr>
          <w:cantSplit/>
        </w:trPr>
        <w:tc>
          <w:tcPr>
            <w:tcW w:type="dxa" w:w="3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Editar cantidad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31,8 ms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4,4 ms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7×</w:t>
            </w:r>
          </w:p>
        </w:tc>
      </w:tr>
      <w:tr>
        <w:trPr>
          <w:cantSplit/>
        </w:trPr>
        <w:tc>
          <w:tcPr>
            <w:tcW w:type="dxa" w:w="336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Agregar actividad</w:t>
            </w:r>
          </w:p>
        </w:tc>
        <w:tc>
          <w:tcPr>
            <w:tcW w:type="dxa" w:w="20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32,6 ms</w:t>
            </w:r>
          </w:p>
        </w:tc>
        <w:tc>
          <w:tcPr>
            <w:tcW w:type="dxa" w:w="20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10,8 ms</w:t>
            </w:r>
          </w:p>
        </w:tc>
        <w:tc>
          <w:tcPr>
            <w:tcW w:type="dxa" w:w="20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3×</w:t>
            </w:r>
          </w:p>
        </w:tc>
      </w:tr>
      <w:tr>
        <w:trPr>
          <w:cantSplit/>
        </w:trPr>
        <w:tc>
          <w:tcPr>
            <w:tcW w:type="dxa" w:w="3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Borrar actividad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31,0 ms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8,3 ms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3,7×</w:t>
            </w:r>
          </w:p>
        </w:tc>
      </w:tr>
      <w:tr>
        <w:trPr>
          <w:cantSplit/>
        </w:trPr>
        <w:tc>
          <w:tcPr>
            <w:tcW w:type="dxa" w:w="336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Renombrar capítulo</w:t>
            </w:r>
          </w:p>
        </w:tc>
        <w:tc>
          <w:tcPr>
            <w:tcW w:type="dxa" w:w="20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14,7 ms</w:t>
            </w:r>
          </w:p>
        </w:tc>
        <w:tc>
          <w:tcPr>
            <w:tcW w:type="dxa" w:w="20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0,7 ms</w:t>
            </w:r>
          </w:p>
        </w:tc>
        <w:tc>
          <w:tcPr>
            <w:tcW w:type="dxa" w:w="2000"/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21×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3496B"/>
          <w:sz w:val="23"/>
          <w:szCs w:val="23"/>
        </w:rPr>
        <w:t xml:space="preserve">5.7 Lo que falta para cerrarlo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La API: el comando de migración, los tres endpoints del panel y los plazos en el detalle de suscripción (CONTRATO §18).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Una última recarga de la base de desarrollo con el 05 y las migraciones; desde ahí, la base solo cambia por migraciones.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Publicar la versión de los términos que ya tiene escrito el plazo de reactivación.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A889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7A8896"/>
        <w:sz w:val="16"/>
        <w:szCs w:val="16"/>
      </w:rPr>
      <w:t xml:space="preserve">CONSTRUSOFT · Alcance después del MVP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3496B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3496B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2026-10-14T06:07:22.216Z</dcterms:created>
  <dcterms:modified xsi:type="dcterms:W3CDTF">2026-10-14T06:07:22.216Z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