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revisiones del 22 de septiembre y del 1 de octubre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sin borrado es una decisión de negocio deliberada: el cliente que deja de pagar conserva su base de datos de recursos y APU, que es justamente el activo que le costó construir y el que lo hace volver.</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alguna vez y después deja de pagar conserva sus datos indefinidamente: pierde el acceso, no la información. Esa es la regla de arriba y no cambia.</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conservando los datos.</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no está vigente, la empresa queda en SOLO LECTURA: el usuario abre Recursos, APU y Presupuestos, los consulta y los exporta, y cualquier acción que escriba se rechaza; la pantalla de suscripción vencida es donde están los datos para pagar. Hasta el 30 de septiembre de 2026 este requisito decía que no podía abrir nada. El cambio es decisión del dueño y su motivo es que los datos son del cliente: una empresa a la que se le pasó la renovación tiene que poder sacar sus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con la opción de eliminar los datos del tenant a partir de los 10 días de vencida la prueba. La eliminación es siempre una acción manual del superadministrador, nunca un proceso automático.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alguna vez y después deja de pagar conserva sus datos indefinidamente. Pierde el acceso, no la información. Esa es la decisión comercial de la sección 8: el catálogo de rec</w:t>
            </w:r>
            <w:r w:rsidRPr="008A38B8">
              <w:rPr>
                <w:sz w:val="19"/>
                <w:lang w:val="es-CO"/>
              </w:rPr>
              <w:t>ursos y APU es el activo que hace volver al cliente.</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Las casillas y las columnas, en la rebanada 6.1, que es donde vive el registro: el esquema ya tiene acepto_terminos_en y version_terminos. Los textos, antes del primer cliente real</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