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suscripción no está vigente —prueba agotada sin pago, o mensualidad vencida—, el usuario inicia sesión y la empresa pasa a SOLO LECTURA. Abre Recursos, APU y Presupuestos, los consulta y los exporta; cualquier acción que escriba se rechaza, y la pantalla de suscripción vencida es donde están los datos para pagar. Hasta el 30 de septiembre de 2026 esta guía decía que el menú no se mostraba y que no abría nada; la decisión del dueño, de esa fecha, cambió el bloqueo por la solo lectura, porque los datos son del cliente y una empresa a la que se le pasó la renovación tiene que poder sacar sus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1.2 Vigas de amarre». La fila de cada capítulo y subcapítulo lleva además un botón para agregar una actividad ahí mismo, con un icono distinto del de agregar subcapítulo. Así, el ítem 1.1.1 se agrega dentro del subcapítulo 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