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BC88" w14:textId="08EE79E2" w:rsidR="00BA0886" w:rsidRDefault="00BA0886">
      <w:pPr>
        <w:rPr>
          <w:sz w:val="28"/>
          <w:szCs w:val="28"/>
        </w:rPr>
      </w:pPr>
      <w:r w:rsidRPr="00BA0886">
        <w:rPr>
          <w:sz w:val="28"/>
          <w:szCs w:val="28"/>
        </w:rPr>
        <w:t>Summary of generated comprehensive analysis</w:t>
      </w:r>
      <w:r>
        <w:rPr>
          <w:sz w:val="28"/>
          <w:szCs w:val="28"/>
        </w:rPr>
        <w:t xml:space="preserve"> (</w:t>
      </w:r>
      <w:r w:rsidRPr="00BA0886">
        <w:rPr>
          <w:color w:val="0F4761" w:themeColor="accent1" w:themeShade="BF"/>
          <w:sz w:val="28"/>
          <w:szCs w:val="28"/>
        </w:rPr>
        <w:t>BPX_Analysis_Notes.md</w:t>
      </w:r>
      <w:r>
        <w:rPr>
          <w:sz w:val="28"/>
          <w:szCs w:val="28"/>
        </w:rPr>
        <w:t>)</w:t>
      </w:r>
    </w:p>
    <w:p w14:paraId="33A6F601" w14:textId="77777777" w:rsidR="00BA0886" w:rsidRDefault="00BA0886">
      <w:pPr>
        <w:rPr>
          <w:sz w:val="28"/>
          <w:szCs w:val="28"/>
        </w:rPr>
      </w:pPr>
    </w:p>
    <w:p w14:paraId="3EB689D3" w14:textId="77777777" w:rsidR="00BA0886" w:rsidRPr="00BA0886" w:rsidRDefault="00BA0886" w:rsidP="00BA0886">
      <w:pPr>
        <w:rPr>
          <w:b/>
          <w:bCs/>
          <w:color w:val="0F4761" w:themeColor="accent1" w:themeShade="BF"/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What Was Analysed</w:t>
      </w:r>
    </w:p>
    <w:p w14:paraId="21491774" w14:textId="77777777" w:rsidR="00BA0886" w:rsidRDefault="00BA0886" w:rsidP="00BA0886">
      <w:pPr>
        <w:ind w:left="720"/>
        <w:rPr>
          <w:sz w:val="20"/>
          <w:szCs w:val="20"/>
        </w:rPr>
      </w:pPr>
      <w:r w:rsidRPr="00BA0886">
        <w:rPr>
          <w:sz w:val="20"/>
          <w:szCs w:val="20"/>
        </w:rPr>
        <w:t xml:space="preserve">Repository Purpose &amp; Structure: BPX is a </w:t>
      </w:r>
      <w:proofErr w:type="spellStart"/>
      <w:r w:rsidRPr="00BA0886">
        <w:rPr>
          <w:sz w:val="20"/>
          <w:szCs w:val="20"/>
        </w:rPr>
        <w:t>Pydantic</w:t>
      </w:r>
      <w:proofErr w:type="spellEnd"/>
      <w:r w:rsidRPr="00BA0886">
        <w:rPr>
          <w:sz w:val="20"/>
          <w:szCs w:val="20"/>
        </w:rPr>
        <w:t>-based implementation of the Battery</w:t>
      </w:r>
      <w:r>
        <w:rPr>
          <w:sz w:val="20"/>
          <w:szCs w:val="20"/>
        </w:rPr>
        <w:t xml:space="preserve"> </w:t>
      </w:r>
      <w:r w:rsidRPr="00BA0886">
        <w:rPr>
          <w:sz w:val="20"/>
          <w:szCs w:val="20"/>
        </w:rPr>
        <w:t xml:space="preserve">Parameter </w:t>
      </w:r>
      <w:proofErr w:type="spellStart"/>
      <w:r w:rsidRPr="00BA0886">
        <w:rPr>
          <w:sz w:val="20"/>
          <w:szCs w:val="20"/>
        </w:rPr>
        <w:t>eXchange</w:t>
      </w:r>
      <w:proofErr w:type="spellEnd"/>
      <w:r w:rsidRPr="00BA0886">
        <w:rPr>
          <w:sz w:val="20"/>
          <w:szCs w:val="20"/>
        </w:rPr>
        <w:t xml:space="preserve"> format for physics-based lithium-ion battery models. </w:t>
      </w:r>
    </w:p>
    <w:p w14:paraId="7BD247FA" w14:textId="36EC4613" w:rsidR="00BA0886" w:rsidRPr="00BA0886" w:rsidRDefault="00BA0886" w:rsidP="00BA0886">
      <w:pPr>
        <w:ind w:left="720"/>
        <w:rPr>
          <w:sz w:val="20"/>
          <w:szCs w:val="20"/>
        </w:rPr>
      </w:pPr>
      <w:r w:rsidRPr="00BA0886">
        <w:rPr>
          <w:sz w:val="20"/>
          <w:szCs w:val="20"/>
        </w:rPr>
        <w:t xml:space="preserve">Organized into </w:t>
      </w:r>
      <w:proofErr w:type="spellStart"/>
      <w:r w:rsidRPr="00BA0886">
        <w:rPr>
          <w:sz w:val="20"/>
          <w:szCs w:val="20"/>
        </w:rPr>
        <w:t>bpx</w:t>
      </w:r>
      <w:proofErr w:type="spellEnd"/>
      <w:r w:rsidRPr="00BA0886">
        <w:rPr>
          <w:sz w:val="20"/>
          <w:szCs w:val="20"/>
        </w:rPr>
        <w:t>/ (code), docs/ (documentation), examples/ (sample files), and tests/ (test suite).</w:t>
      </w:r>
    </w:p>
    <w:p w14:paraId="2F123D9D" w14:textId="77777777" w:rsidR="00BA0886" w:rsidRDefault="00BA0886" w:rsidP="00BA0886">
      <w:pPr>
        <w:rPr>
          <w:sz w:val="20"/>
          <w:szCs w:val="20"/>
        </w:rPr>
      </w:pPr>
    </w:p>
    <w:p w14:paraId="65EE7B30" w14:textId="4FB66481" w:rsidR="00BA0886" w:rsidRPr="00BA0886" w:rsidRDefault="00BA0886" w:rsidP="00BA0886">
      <w:pPr>
        <w:rPr>
          <w:b/>
          <w:bCs/>
          <w:color w:val="0F4761" w:themeColor="accent1" w:themeShade="BF"/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Core Architecture:</w:t>
      </w:r>
    </w:p>
    <w:p w14:paraId="08F8D029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 xml:space="preserve">schema.py: Defines complete hierarchical data model with 20+ </w:t>
      </w:r>
      <w:proofErr w:type="spellStart"/>
      <w:r w:rsidRPr="00BA0886">
        <w:rPr>
          <w:sz w:val="20"/>
          <w:szCs w:val="20"/>
        </w:rPr>
        <w:t>Pydantic</w:t>
      </w:r>
      <w:proofErr w:type="spellEnd"/>
      <w:r w:rsidRPr="00BA0886">
        <w:rPr>
          <w:sz w:val="20"/>
          <w:szCs w:val="20"/>
        </w:rPr>
        <w:t xml:space="preserve"> classes</w:t>
      </w:r>
    </w:p>
    <w:p w14:paraId="4C5661B4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parsers.py: Three entry points for loading files, objects, or strings</w:t>
      </w:r>
    </w:p>
    <w:p w14:paraId="28EF01B2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validators.py, utilities.py: Validation and calculation helpers</w:t>
      </w:r>
    </w:p>
    <w:p w14:paraId="7420D231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function.py, interpolated_table.py: Support for parameterized data types</w:t>
      </w:r>
    </w:p>
    <w:p w14:paraId="2A2C9B69" w14:textId="77777777" w:rsid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expression_parser.py: Mathematical expression validator</w:t>
      </w:r>
    </w:p>
    <w:p w14:paraId="4A0C2A0F" w14:textId="77777777" w:rsidR="00BA0886" w:rsidRPr="00BA0886" w:rsidRDefault="00BA0886" w:rsidP="00BA0886">
      <w:pPr>
        <w:rPr>
          <w:sz w:val="20"/>
          <w:szCs w:val="20"/>
        </w:rPr>
      </w:pPr>
    </w:p>
    <w:p w14:paraId="0C52DD7F" w14:textId="77777777" w:rsidR="00BA0886" w:rsidRPr="00BA0886" w:rsidRDefault="00BA0886" w:rsidP="00BA0886">
      <w:pPr>
        <w:rPr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Data Model Hierarchy:</w:t>
      </w:r>
      <w:r w:rsidRPr="00BA0886">
        <w:rPr>
          <w:color w:val="0F4761" w:themeColor="accent1" w:themeShade="BF"/>
          <w:sz w:val="20"/>
          <w:szCs w:val="20"/>
        </w:rPr>
        <w:t xml:space="preserve"> </w:t>
      </w:r>
      <w:r w:rsidRPr="00BA0886">
        <w:rPr>
          <w:sz w:val="20"/>
          <w:szCs w:val="20"/>
        </w:rPr>
        <w:t>BPX root contains Header (metadata), Parameterisation (model parameters), State (operating conditions), and Validation (experimental data). Parameterisation branches into Cell, Electrolyte, Negative/Positive Electrodes, Separator, User-defined.</w:t>
      </w:r>
    </w:p>
    <w:p w14:paraId="6207F626" w14:textId="77777777" w:rsidR="00BA0886" w:rsidRPr="00BA0886" w:rsidRDefault="00BA0886" w:rsidP="00BA0886">
      <w:pPr>
        <w:rPr>
          <w:sz w:val="20"/>
          <w:szCs w:val="20"/>
        </w:rPr>
      </w:pPr>
    </w:p>
    <w:p w14:paraId="667B05AA" w14:textId="77777777" w:rsidR="00BA0886" w:rsidRPr="00BA0886" w:rsidRDefault="00BA0886" w:rsidP="00BA0886">
      <w:pPr>
        <w:rPr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Validation Pipeline:</w:t>
      </w:r>
      <w:r w:rsidRPr="00BA0886">
        <w:rPr>
          <w:sz w:val="20"/>
          <w:szCs w:val="20"/>
        </w:rPr>
        <w:t xml:space="preserve"> 7-layer cascade from Header validation → type dispatch → component validation → field-level parsing → stoichiometry checks → state validation → presence checks.</w:t>
      </w:r>
    </w:p>
    <w:p w14:paraId="18954040" w14:textId="77777777" w:rsidR="00BA0886" w:rsidRPr="00BA0886" w:rsidRDefault="00BA0886" w:rsidP="00BA0886">
      <w:pPr>
        <w:rPr>
          <w:sz w:val="20"/>
          <w:szCs w:val="20"/>
        </w:rPr>
      </w:pPr>
    </w:p>
    <w:p w14:paraId="30CE8389" w14:textId="77777777" w:rsidR="00BA0886" w:rsidRPr="00BA0886" w:rsidRDefault="00BA0886" w:rsidP="00BA0886">
      <w:pPr>
        <w:rPr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Electrode Variants:</w:t>
      </w:r>
      <w:r w:rsidRPr="00BA0886">
        <w:rPr>
          <w:color w:val="0F4761" w:themeColor="accent1" w:themeShade="BF"/>
          <w:sz w:val="20"/>
          <w:szCs w:val="20"/>
        </w:rPr>
        <w:t xml:space="preserve"> </w:t>
      </w:r>
      <w:r w:rsidRPr="00BA0886">
        <w:rPr>
          <w:sz w:val="20"/>
          <w:szCs w:val="20"/>
        </w:rPr>
        <w:t>Single/blended materials × Full model/SPM mode = 4 electrode types. Model type in Header determines which Parameterisation subclass is instantiated.</w:t>
      </w:r>
    </w:p>
    <w:p w14:paraId="7D98DFA7" w14:textId="77777777" w:rsidR="00BA0886" w:rsidRPr="00BA0886" w:rsidRDefault="00BA0886" w:rsidP="00BA0886">
      <w:pPr>
        <w:rPr>
          <w:sz w:val="20"/>
          <w:szCs w:val="20"/>
        </w:rPr>
      </w:pPr>
    </w:p>
    <w:p w14:paraId="6CC91568" w14:textId="77777777" w:rsidR="00BA0886" w:rsidRPr="00BA0886" w:rsidRDefault="00BA0886" w:rsidP="00BA0886">
      <w:pPr>
        <w:rPr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Parameter Representation:</w:t>
      </w:r>
      <w:r w:rsidRPr="00BA0886">
        <w:rPr>
          <w:color w:val="0F4761" w:themeColor="accent1" w:themeShade="BF"/>
          <w:sz w:val="20"/>
          <w:szCs w:val="20"/>
        </w:rPr>
        <w:t xml:space="preserve"> </w:t>
      </w:r>
      <w:r w:rsidRPr="00BA0886">
        <w:rPr>
          <w:sz w:val="20"/>
          <w:szCs w:val="20"/>
        </w:rPr>
        <w:t xml:space="preserve">Three types via </w:t>
      </w:r>
      <w:proofErr w:type="spellStart"/>
      <w:r w:rsidRPr="00BA0886">
        <w:rPr>
          <w:sz w:val="20"/>
          <w:szCs w:val="20"/>
        </w:rPr>
        <w:t>FloatFunctionTable</w:t>
      </w:r>
      <w:proofErr w:type="spellEnd"/>
      <w:r w:rsidRPr="00BA0886">
        <w:rPr>
          <w:sz w:val="20"/>
          <w:szCs w:val="20"/>
        </w:rPr>
        <w:t xml:space="preserve"> union: scalar values, Function expressions (math strings), </w:t>
      </w:r>
      <w:proofErr w:type="spellStart"/>
      <w:r w:rsidRPr="00BA0886">
        <w:rPr>
          <w:sz w:val="20"/>
          <w:szCs w:val="20"/>
        </w:rPr>
        <w:t>InterpolatedTable</w:t>
      </w:r>
      <w:proofErr w:type="spellEnd"/>
      <w:r w:rsidRPr="00BA0886">
        <w:rPr>
          <w:sz w:val="20"/>
          <w:szCs w:val="20"/>
        </w:rPr>
        <w:t xml:space="preserve"> objects (x/y lists).</w:t>
      </w:r>
    </w:p>
    <w:p w14:paraId="79472DD7" w14:textId="77777777" w:rsidR="00BA0886" w:rsidRPr="00BA0886" w:rsidRDefault="00BA0886" w:rsidP="00BA0886">
      <w:pPr>
        <w:rPr>
          <w:sz w:val="20"/>
          <w:szCs w:val="20"/>
        </w:rPr>
      </w:pPr>
    </w:p>
    <w:p w14:paraId="3AB68312" w14:textId="77777777" w:rsidR="00BA0886" w:rsidRPr="00BA0886" w:rsidRDefault="00BA0886" w:rsidP="00BA0886">
      <w:pPr>
        <w:rPr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File Structure:</w:t>
      </w:r>
      <w:r w:rsidRPr="00BA0886">
        <w:rPr>
          <w:color w:val="0F4761" w:themeColor="accent1" w:themeShade="BF"/>
          <w:sz w:val="20"/>
          <w:szCs w:val="20"/>
        </w:rPr>
        <w:t xml:space="preserve"> </w:t>
      </w:r>
      <w:r w:rsidRPr="00BA0886">
        <w:rPr>
          <w:sz w:val="20"/>
          <w:szCs w:val="20"/>
        </w:rPr>
        <w:t>Consistent JSON layout across examples with Header, Parameterisation, State, Validation sections.</w:t>
      </w:r>
    </w:p>
    <w:p w14:paraId="06CF2E06" w14:textId="77777777" w:rsidR="00BA0886" w:rsidRPr="00BA0886" w:rsidRDefault="00BA0886" w:rsidP="00BA0886">
      <w:pPr>
        <w:rPr>
          <w:sz w:val="20"/>
          <w:szCs w:val="20"/>
        </w:rPr>
      </w:pPr>
    </w:p>
    <w:p w14:paraId="55253F8B" w14:textId="77777777" w:rsidR="00BA0886" w:rsidRPr="00BA0886" w:rsidRDefault="00BA0886" w:rsidP="00BA0886">
      <w:pPr>
        <w:rPr>
          <w:b/>
          <w:bCs/>
          <w:color w:val="0F4761" w:themeColor="accent1" w:themeShade="BF"/>
          <w:sz w:val="20"/>
          <w:szCs w:val="20"/>
        </w:rPr>
      </w:pPr>
      <w:r w:rsidRPr="00BA0886">
        <w:rPr>
          <w:b/>
          <w:bCs/>
          <w:color w:val="0F4761" w:themeColor="accent1" w:themeShade="BF"/>
          <w:sz w:val="20"/>
          <w:szCs w:val="20"/>
        </w:rPr>
        <w:t>What Remains Unclear</w:t>
      </w:r>
    </w:p>
    <w:p w14:paraId="1103AD83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User-defined nesting depth and constraints</w:t>
      </w:r>
    </w:p>
    <w:p w14:paraId="55243149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Complete set of supported math functions beyond exp/tanh/cosh</w:t>
      </w:r>
    </w:p>
    <w:p w14:paraId="6883AE49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lastRenderedPageBreak/>
        <w:t>Interpolation method (linear/spline/other)</w:t>
      </w:r>
    </w:p>
    <w:p w14:paraId="1EC20E86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Exact forbidden full-model parameters for SPM</w:t>
      </w:r>
    </w:p>
    <w:p w14:paraId="15B3E2A7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Function variable context (how x resolves depending on parameter type)</w:t>
      </w:r>
    </w:p>
    <w:p w14:paraId="310AEE72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Blended material naming rules (arbitrary vs reserved names)</w:t>
      </w:r>
    </w:p>
    <w:p w14:paraId="0B6A53B9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Partial model validation constraints and field interdependencies</w:t>
      </w:r>
    </w:p>
    <w:p w14:paraId="091A9E8D" w14:textId="77777777" w:rsidR="00BA0886" w:rsidRP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Experiment array requirements (length matching, optional fields)</w:t>
      </w:r>
    </w:p>
    <w:p w14:paraId="54CAE929" w14:textId="5D413F7E" w:rsidR="00BA0886" w:rsidRDefault="00BA0886" w:rsidP="00BA0886">
      <w:pPr>
        <w:ind w:firstLine="720"/>
        <w:rPr>
          <w:sz w:val="20"/>
          <w:szCs w:val="20"/>
        </w:rPr>
      </w:pPr>
      <w:r w:rsidRPr="00BA0886">
        <w:rPr>
          <w:sz w:val="20"/>
          <w:szCs w:val="20"/>
        </w:rPr>
        <w:t>Extra field handling at BPX root level</w:t>
      </w:r>
    </w:p>
    <w:p w14:paraId="7A769E30" w14:textId="77777777" w:rsidR="000A611E" w:rsidRDefault="000A611E" w:rsidP="00BA0886">
      <w:pPr>
        <w:ind w:firstLine="720"/>
        <w:rPr>
          <w:sz w:val="20"/>
          <w:szCs w:val="20"/>
        </w:rPr>
      </w:pPr>
    </w:p>
    <w:p w14:paraId="0D1619EB" w14:textId="77777777" w:rsidR="000A611E" w:rsidRPr="00BA0886" w:rsidRDefault="000A611E" w:rsidP="00BA0886">
      <w:pPr>
        <w:ind w:firstLine="720"/>
        <w:rPr>
          <w:sz w:val="20"/>
          <w:szCs w:val="20"/>
        </w:rPr>
      </w:pPr>
    </w:p>
    <w:sectPr w:rsidR="000A611E" w:rsidRPr="00BA0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0B"/>
    <w:rsid w:val="000A611E"/>
    <w:rsid w:val="002A330E"/>
    <w:rsid w:val="002B1394"/>
    <w:rsid w:val="00BA0886"/>
    <w:rsid w:val="00C83B00"/>
    <w:rsid w:val="00E9300B"/>
    <w:rsid w:val="00EA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B0E2"/>
  <w15:chartTrackingRefBased/>
  <w15:docId w15:val="{2E24DCBE-DE82-4BC1-A86C-9558D7768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West, Isabella M</dc:creator>
  <cp:keywords/>
  <dc:description/>
  <cp:lastModifiedBy>West, Isabella M</cp:lastModifiedBy>
  <cp:revision>4</cp:revision>
  <dcterms:created xsi:type="dcterms:W3CDTF">2026-06-16T15:30:00Z</dcterms:created>
  <dcterms:modified xsi:type="dcterms:W3CDTF">2026-06-16T15:40:00Z</dcterms:modified>
</cp:coreProperties>
</file>