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A09AC" w14:textId="77777777" w:rsidR="00372C2B" w:rsidRPr="00691D17" w:rsidRDefault="00372C2B" w:rsidP="00975CA7">
      <w:pPr>
        <w:spacing w:line="480" w:lineRule="auto"/>
        <w:contextualSpacing/>
        <w:rPr>
          <w:rFonts w:cstheme="minorHAnsi"/>
        </w:rPr>
      </w:pPr>
    </w:p>
    <w:p w14:paraId="0FBF0F47" w14:textId="77777777" w:rsidR="00372C2B" w:rsidRPr="00691D17" w:rsidRDefault="00372C2B" w:rsidP="00975CA7">
      <w:pPr>
        <w:spacing w:line="480" w:lineRule="auto"/>
        <w:contextualSpacing/>
        <w:rPr>
          <w:rFonts w:cstheme="minorHAnsi"/>
        </w:rPr>
      </w:pPr>
    </w:p>
    <w:p w14:paraId="0923A19E" w14:textId="77777777" w:rsidR="00372C2B" w:rsidRPr="00691D17" w:rsidRDefault="00372C2B" w:rsidP="00975CA7">
      <w:pPr>
        <w:spacing w:line="480" w:lineRule="auto"/>
        <w:contextualSpacing/>
        <w:rPr>
          <w:rFonts w:cstheme="minorHAnsi"/>
        </w:rPr>
      </w:pPr>
    </w:p>
    <w:p w14:paraId="767EB76D" w14:textId="4367F4CB" w:rsidR="00372C2B" w:rsidRDefault="00372C2B" w:rsidP="00975CA7">
      <w:pPr>
        <w:spacing w:line="480" w:lineRule="auto"/>
        <w:contextualSpacing/>
        <w:rPr>
          <w:rFonts w:cstheme="minorHAnsi"/>
        </w:rPr>
      </w:pPr>
    </w:p>
    <w:p w14:paraId="0626E7B7" w14:textId="1D941466" w:rsidR="00975CA7" w:rsidRDefault="00975CA7" w:rsidP="00975CA7">
      <w:pPr>
        <w:spacing w:line="480" w:lineRule="auto"/>
        <w:contextualSpacing/>
        <w:rPr>
          <w:rFonts w:cstheme="minorHAnsi"/>
        </w:rPr>
      </w:pPr>
    </w:p>
    <w:p w14:paraId="54DF5A61" w14:textId="77777777" w:rsidR="00975CA7" w:rsidRPr="00691D17" w:rsidRDefault="00975CA7" w:rsidP="00975CA7">
      <w:pPr>
        <w:spacing w:line="480" w:lineRule="auto"/>
        <w:contextualSpacing/>
        <w:rPr>
          <w:rFonts w:cstheme="minorHAnsi"/>
        </w:rPr>
      </w:pPr>
    </w:p>
    <w:p w14:paraId="6BD3FF34" w14:textId="77777777" w:rsidR="00372C2B" w:rsidRPr="00691D17" w:rsidRDefault="00372C2B" w:rsidP="00975CA7">
      <w:pPr>
        <w:spacing w:line="480" w:lineRule="auto"/>
        <w:contextualSpacing/>
        <w:rPr>
          <w:rFonts w:cstheme="minorHAnsi"/>
        </w:rPr>
      </w:pPr>
    </w:p>
    <w:p w14:paraId="5BA626DF" w14:textId="77777777" w:rsidR="00287AF8" w:rsidRPr="00691D17" w:rsidRDefault="00287AF8" w:rsidP="00975CA7">
      <w:pPr>
        <w:spacing w:line="480" w:lineRule="auto"/>
        <w:contextualSpacing/>
        <w:rPr>
          <w:rFonts w:cstheme="minorHAnsi"/>
        </w:rPr>
      </w:pPr>
    </w:p>
    <w:p w14:paraId="74DB2772" w14:textId="6DE0E9DF" w:rsidR="00372C2B" w:rsidRDefault="00372C2B" w:rsidP="00975CA7">
      <w:pPr>
        <w:spacing w:line="480" w:lineRule="auto"/>
        <w:contextualSpacing/>
        <w:jc w:val="center"/>
        <w:rPr>
          <w:rFonts w:cstheme="minorHAnsi"/>
          <w:b/>
          <w:bCs/>
        </w:rPr>
      </w:pPr>
      <w:r w:rsidRPr="00102F6B">
        <w:rPr>
          <w:rFonts w:cstheme="minorHAnsi"/>
          <w:b/>
          <w:bCs/>
        </w:rPr>
        <w:t xml:space="preserve">Childhood Obesity in the United States </w:t>
      </w:r>
      <w:r w:rsidR="00627BEA" w:rsidRPr="00102F6B">
        <w:rPr>
          <w:rFonts w:cstheme="minorHAnsi"/>
          <w:b/>
          <w:bCs/>
        </w:rPr>
        <w:t>1971-201</w:t>
      </w:r>
      <w:r w:rsidR="00287AF8" w:rsidRPr="00102F6B">
        <w:rPr>
          <w:rFonts w:cstheme="minorHAnsi"/>
          <w:b/>
          <w:bCs/>
        </w:rPr>
        <w:t>6</w:t>
      </w:r>
    </w:p>
    <w:p w14:paraId="687906D9" w14:textId="77777777" w:rsidR="00102F6B" w:rsidRPr="00102F6B" w:rsidRDefault="00102F6B" w:rsidP="00975CA7">
      <w:pPr>
        <w:spacing w:line="480" w:lineRule="auto"/>
        <w:contextualSpacing/>
        <w:jc w:val="center"/>
        <w:rPr>
          <w:rFonts w:cstheme="minorHAnsi"/>
          <w:b/>
          <w:bCs/>
        </w:rPr>
      </w:pPr>
    </w:p>
    <w:p w14:paraId="7906D2FB" w14:textId="07B20C96" w:rsidR="00372C2B" w:rsidRPr="00691D17" w:rsidRDefault="00372C2B" w:rsidP="00975CA7">
      <w:pPr>
        <w:spacing w:line="480" w:lineRule="auto"/>
        <w:contextualSpacing/>
        <w:jc w:val="center"/>
        <w:rPr>
          <w:rFonts w:cstheme="minorHAnsi"/>
        </w:rPr>
      </w:pPr>
      <w:r w:rsidRPr="00691D17">
        <w:rPr>
          <w:rFonts w:cstheme="minorHAnsi"/>
        </w:rPr>
        <w:t>Isabella T Oakes</w:t>
      </w:r>
    </w:p>
    <w:p w14:paraId="315E5628" w14:textId="77777777" w:rsidR="00102F6B" w:rsidRPr="00691D17" w:rsidRDefault="00102F6B" w:rsidP="00975CA7">
      <w:pPr>
        <w:spacing w:line="480" w:lineRule="auto"/>
        <w:contextualSpacing/>
        <w:jc w:val="center"/>
        <w:rPr>
          <w:rFonts w:cstheme="minorHAnsi"/>
        </w:rPr>
      </w:pPr>
      <w:proofErr w:type="spellStart"/>
      <w:r w:rsidRPr="00691D17">
        <w:rPr>
          <w:rFonts w:cstheme="minorHAnsi"/>
        </w:rPr>
        <w:t>Shiley</w:t>
      </w:r>
      <w:proofErr w:type="spellEnd"/>
      <w:r w:rsidRPr="00691D17">
        <w:rPr>
          <w:rFonts w:cstheme="minorHAnsi"/>
        </w:rPr>
        <w:t>-Marcos School of Engineering</w:t>
      </w:r>
    </w:p>
    <w:p w14:paraId="1412BFBF" w14:textId="00113117" w:rsidR="00372C2B" w:rsidRPr="00691D17" w:rsidRDefault="00372C2B" w:rsidP="00975CA7">
      <w:pPr>
        <w:spacing w:line="480" w:lineRule="auto"/>
        <w:contextualSpacing/>
        <w:jc w:val="center"/>
        <w:rPr>
          <w:rFonts w:cstheme="minorHAnsi"/>
        </w:rPr>
      </w:pPr>
      <w:r w:rsidRPr="00691D17">
        <w:rPr>
          <w:rFonts w:cstheme="minorHAnsi"/>
        </w:rPr>
        <w:t>University of San Diego</w:t>
      </w:r>
    </w:p>
    <w:p w14:paraId="10E1A103" w14:textId="77777777" w:rsidR="00372C2B" w:rsidRPr="00691D17" w:rsidRDefault="00372C2B" w:rsidP="00975CA7">
      <w:pPr>
        <w:spacing w:line="480" w:lineRule="auto"/>
        <w:contextualSpacing/>
        <w:rPr>
          <w:rFonts w:cstheme="minorHAnsi"/>
        </w:rPr>
      </w:pPr>
    </w:p>
    <w:p w14:paraId="5A043BA5" w14:textId="77777777" w:rsidR="00372C2B" w:rsidRPr="00691D17" w:rsidRDefault="00372C2B" w:rsidP="00975CA7">
      <w:pPr>
        <w:spacing w:line="480" w:lineRule="auto"/>
        <w:contextualSpacing/>
        <w:rPr>
          <w:rFonts w:cstheme="minorHAnsi"/>
        </w:rPr>
      </w:pPr>
    </w:p>
    <w:p w14:paraId="5D92E3AE" w14:textId="77777777" w:rsidR="00372C2B" w:rsidRPr="00691D17" w:rsidRDefault="00372C2B" w:rsidP="00975CA7">
      <w:pPr>
        <w:spacing w:line="480" w:lineRule="auto"/>
        <w:contextualSpacing/>
        <w:rPr>
          <w:rFonts w:cstheme="minorHAnsi"/>
        </w:rPr>
      </w:pPr>
    </w:p>
    <w:p w14:paraId="08E6FA65" w14:textId="77777777" w:rsidR="00372C2B" w:rsidRPr="00691D17" w:rsidRDefault="00372C2B" w:rsidP="00975CA7">
      <w:pPr>
        <w:spacing w:line="480" w:lineRule="auto"/>
        <w:contextualSpacing/>
        <w:rPr>
          <w:rFonts w:cstheme="minorHAnsi"/>
        </w:rPr>
      </w:pPr>
    </w:p>
    <w:p w14:paraId="204206E6" w14:textId="77777777" w:rsidR="00372C2B" w:rsidRPr="00691D17" w:rsidRDefault="00372C2B" w:rsidP="00975CA7">
      <w:pPr>
        <w:spacing w:line="480" w:lineRule="auto"/>
        <w:contextualSpacing/>
        <w:rPr>
          <w:rFonts w:cstheme="minorHAnsi"/>
        </w:rPr>
      </w:pPr>
    </w:p>
    <w:p w14:paraId="09C5C356" w14:textId="179B2677" w:rsidR="00372C2B" w:rsidRDefault="00372C2B" w:rsidP="00975CA7">
      <w:pPr>
        <w:spacing w:line="480" w:lineRule="auto"/>
        <w:contextualSpacing/>
        <w:rPr>
          <w:rFonts w:cstheme="minorHAnsi"/>
        </w:rPr>
      </w:pPr>
    </w:p>
    <w:p w14:paraId="361F53EF" w14:textId="6AE3D435" w:rsidR="00975CA7" w:rsidRDefault="00975CA7" w:rsidP="00975CA7">
      <w:pPr>
        <w:spacing w:line="480" w:lineRule="auto"/>
        <w:contextualSpacing/>
        <w:rPr>
          <w:rFonts w:cstheme="minorHAnsi"/>
        </w:rPr>
      </w:pPr>
    </w:p>
    <w:p w14:paraId="4150F408" w14:textId="77777777" w:rsidR="00975CA7" w:rsidRPr="00691D17" w:rsidRDefault="00975CA7" w:rsidP="00975CA7">
      <w:pPr>
        <w:spacing w:line="480" w:lineRule="auto"/>
        <w:contextualSpacing/>
        <w:rPr>
          <w:rFonts w:cstheme="minorHAnsi"/>
        </w:rPr>
      </w:pPr>
    </w:p>
    <w:p w14:paraId="6CE61BA1" w14:textId="21D877DA" w:rsidR="00372C2B" w:rsidRDefault="00372C2B" w:rsidP="00975CA7">
      <w:pPr>
        <w:spacing w:line="480" w:lineRule="auto"/>
        <w:contextualSpacing/>
        <w:rPr>
          <w:rFonts w:cstheme="minorHAnsi"/>
        </w:rPr>
      </w:pPr>
    </w:p>
    <w:p w14:paraId="087AA3A4" w14:textId="77777777" w:rsidR="00BF0BAD" w:rsidRPr="00691D17" w:rsidRDefault="00BF0BAD" w:rsidP="00975CA7">
      <w:pPr>
        <w:spacing w:line="480" w:lineRule="auto"/>
        <w:contextualSpacing/>
        <w:rPr>
          <w:rFonts w:cstheme="minorHAnsi"/>
        </w:rPr>
      </w:pPr>
    </w:p>
    <w:p w14:paraId="01184C53" w14:textId="77777777" w:rsidR="00372C2B" w:rsidRPr="00691D17" w:rsidRDefault="00372C2B" w:rsidP="00975CA7">
      <w:pPr>
        <w:spacing w:line="480" w:lineRule="auto"/>
        <w:contextualSpacing/>
        <w:rPr>
          <w:rFonts w:cstheme="minorHAnsi"/>
        </w:rPr>
      </w:pPr>
    </w:p>
    <w:p w14:paraId="30A51E46" w14:textId="1934601C" w:rsidR="00372C2B" w:rsidRPr="00975CA7" w:rsidRDefault="00372C2B" w:rsidP="00975CA7">
      <w:pPr>
        <w:spacing w:line="480" w:lineRule="auto"/>
        <w:contextualSpacing/>
        <w:jc w:val="center"/>
        <w:rPr>
          <w:rFonts w:cstheme="minorHAnsi"/>
          <w:b/>
          <w:bCs/>
        </w:rPr>
      </w:pPr>
      <w:r w:rsidRPr="00975CA7">
        <w:rPr>
          <w:rFonts w:cstheme="minorHAnsi"/>
          <w:b/>
          <w:bCs/>
        </w:rPr>
        <w:lastRenderedPageBreak/>
        <w:t>Abstract</w:t>
      </w:r>
    </w:p>
    <w:p w14:paraId="2351C86E" w14:textId="5EBD7799" w:rsidR="00F576CF" w:rsidRPr="00691D17" w:rsidRDefault="00F576CF" w:rsidP="00975CA7">
      <w:pPr>
        <w:spacing w:line="480" w:lineRule="auto"/>
        <w:contextualSpacing/>
        <w:rPr>
          <w:rFonts w:cstheme="minorHAnsi"/>
        </w:rPr>
      </w:pPr>
      <w:r w:rsidRPr="00691D17">
        <w:rPr>
          <w:rFonts w:cstheme="minorHAnsi"/>
        </w:rPr>
        <w:t xml:space="preserve">Childhood obesity has been a growing epidemic for the past </w:t>
      </w:r>
      <w:r w:rsidR="00102F6B">
        <w:rPr>
          <w:rFonts w:cstheme="minorHAnsi"/>
        </w:rPr>
        <w:t>five decades</w:t>
      </w:r>
      <w:r w:rsidR="00165B6F">
        <w:rPr>
          <w:rFonts w:cstheme="minorHAnsi"/>
        </w:rPr>
        <w:t>, bringing large amounts of concern for the physical and mental consequences of obesity in adolescence</w:t>
      </w:r>
      <w:r w:rsidRPr="00691D17">
        <w:rPr>
          <w:rFonts w:cstheme="minorHAnsi"/>
        </w:rPr>
        <w:t>.</w:t>
      </w:r>
      <w:r w:rsidR="00165B6F">
        <w:rPr>
          <w:rFonts w:cstheme="minorHAnsi"/>
        </w:rPr>
        <w:t xml:space="preserve"> </w:t>
      </w:r>
      <w:r w:rsidR="001357B4">
        <w:rPr>
          <w:rFonts w:cstheme="minorHAnsi"/>
        </w:rPr>
        <w:t>Several studies seek to understand the reasons for the rise of obesity rates, and why different minority groups have higher obesity rates than others.</w:t>
      </w:r>
      <w:r w:rsidRPr="00691D17">
        <w:rPr>
          <w:rFonts w:cstheme="minorHAnsi"/>
        </w:rPr>
        <w:t xml:space="preserve"> The data </w:t>
      </w:r>
      <w:r w:rsidR="001357B4">
        <w:rPr>
          <w:rFonts w:cstheme="minorHAnsi"/>
        </w:rPr>
        <w:t>set being investigated here</w:t>
      </w:r>
      <w:r w:rsidRPr="00691D17">
        <w:rPr>
          <w:rFonts w:cstheme="minorHAnsi"/>
        </w:rPr>
        <w:t xml:space="preserve"> involves the obesity rates in children </w:t>
      </w:r>
      <w:r w:rsidR="00287AF8" w:rsidRPr="00691D17">
        <w:rPr>
          <w:rFonts w:cstheme="minorHAnsi"/>
        </w:rPr>
        <w:t>starting in 1971</w:t>
      </w:r>
      <w:r w:rsidR="00165B6F">
        <w:rPr>
          <w:rFonts w:cstheme="minorHAnsi"/>
        </w:rPr>
        <w:t>,</w:t>
      </w:r>
      <w:r w:rsidR="00287AF8" w:rsidRPr="00691D17">
        <w:rPr>
          <w:rFonts w:cstheme="minorHAnsi"/>
        </w:rPr>
        <w:t xml:space="preserve"> with the most recent results being reported for 2016</w:t>
      </w:r>
      <w:r w:rsidRPr="00691D17">
        <w:rPr>
          <w:rFonts w:cstheme="minorHAnsi"/>
        </w:rPr>
        <w:t xml:space="preserve">, </w:t>
      </w:r>
      <w:r w:rsidR="00287AF8" w:rsidRPr="00691D17">
        <w:rPr>
          <w:rFonts w:cstheme="minorHAnsi"/>
        </w:rPr>
        <w:t>controlling for</w:t>
      </w:r>
      <w:r w:rsidRPr="00691D17">
        <w:rPr>
          <w:rFonts w:cstheme="minorHAnsi"/>
        </w:rPr>
        <w:t xml:space="preserve"> gender and race.</w:t>
      </w:r>
      <w:r w:rsidR="005E48A4">
        <w:rPr>
          <w:rFonts w:cstheme="minorHAnsi"/>
        </w:rPr>
        <w:t xml:space="preserve"> It was collected from the </w:t>
      </w:r>
      <w:r w:rsidR="005E48A4">
        <w:rPr>
          <w:rFonts w:cstheme="minorHAnsi"/>
          <w:i/>
          <w:iCs/>
        </w:rPr>
        <w:t>National Health and Nutrition Examination Survey</w:t>
      </w:r>
      <w:r w:rsidR="00165B6F">
        <w:rPr>
          <w:rFonts w:cstheme="minorHAnsi"/>
          <w:i/>
          <w:iCs/>
        </w:rPr>
        <w:t xml:space="preserve"> </w:t>
      </w:r>
      <w:r w:rsidR="00165B6F">
        <w:rPr>
          <w:rFonts w:cstheme="minorHAnsi"/>
        </w:rPr>
        <w:t xml:space="preserve">conducted by </w:t>
      </w:r>
      <w:r w:rsidR="00165B6F" w:rsidRPr="00691D17">
        <w:rPr>
          <w:rFonts w:cstheme="minorHAnsi"/>
        </w:rPr>
        <w:t>The National Center for Health Statistics</w:t>
      </w:r>
      <w:r w:rsidR="005E48A4">
        <w:rPr>
          <w:rFonts w:cstheme="minorHAnsi"/>
        </w:rPr>
        <w:t xml:space="preserve">. </w:t>
      </w:r>
      <w:r w:rsidRPr="00691D17">
        <w:rPr>
          <w:rFonts w:cstheme="minorHAnsi"/>
        </w:rPr>
        <w:t xml:space="preserve"> </w:t>
      </w:r>
      <w:r w:rsidR="00165B6F">
        <w:rPr>
          <w:rFonts w:cstheme="minorHAnsi"/>
        </w:rPr>
        <w:t>The surveys show that o</w:t>
      </w:r>
      <w:r w:rsidR="005E48A4">
        <w:rPr>
          <w:rFonts w:cstheme="minorHAnsi"/>
        </w:rPr>
        <w:t xml:space="preserve">ver the past 45 years, childhood obesity rates have </w:t>
      </w:r>
      <w:r w:rsidR="00592409">
        <w:rPr>
          <w:rFonts w:cstheme="minorHAnsi"/>
        </w:rPr>
        <w:t>tripled</w:t>
      </w:r>
      <w:r w:rsidR="00165B6F">
        <w:rPr>
          <w:rFonts w:cstheme="minorHAnsi"/>
        </w:rPr>
        <w:t xml:space="preserve">. Changes in dietary options, high levels of sugar, and less access to physical activity and sports all play a role in the health changes of American children. The obesity epidemic has hit Black and Hispanic children disproportionately, which highlights that change on a structural level needs to occur to help children of all races gain knowledge about healthy habits and have access to healthy food and </w:t>
      </w:r>
      <w:r w:rsidR="00102F6B">
        <w:rPr>
          <w:rFonts w:cstheme="minorHAnsi"/>
        </w:rPr>
        <w:t>a variety of easily available physical activity options. Examination of the data shows that the rise in obesity has been statistically significant and that it remains a growing problem.</w:t>
      </w:r>
    </w:p>
    <w:p w14:paraId="1EF42553" w14:textId="697844B0" w:rsidR="00F576CF" w:rsidRPr="00B40659" w:rsidRDefault="00B40659" w:rsidP="00975CA7">
      <w:pPr>
        <w:spacing w:line="480" w:lineRule="auto"/>
        <w:ind w:firstLine="720"/>
        <w:contextualSpacing/>
        <w:rPr>
          <w:rFonts w:cstheme="minorHAnsi"/>
        </w:rPr>
      </w:pPr>
      <w:r w:rsidRPr="00102F6B">
        <w:rPr>
          <w:rFonts w:cstheme="minorHAnsi"/>
          <w:i/>
          <w:iCs/>
        </w:rPr>
        <w:t>Keywords:</w:t>
      </w:r>
      <w:r>
        <w:rPr>
          <w:rFonts w:cstheme="minorHAnsi"/>
        </w:rPr>
        <w:t xml:space="preserve"> childhood obesity, racial disparities, </w:t>
      </w:r>
      <w:proofErr w:type="gramStart"/>
      <w:r>
        <w:rPr>
          <w:rFonts w:cstheme="minorHAnsi"/>
        </w:rPr>
        <w:t>schools</w:t>
      </w:r>
      <w:proofErr w:type="gramEnd"/>
      <w:r>
        <w:rPr>
          <w:rFonts w:cstheme="minorHAnsi"/>
        </w:rPr>
        <w:t xml:space="preserve"> and obesity</w:t>
      </w:r>
    </w:p>
    <w:p w14:paraId="5A51C9EE" w14:textId="77777777" w:rsidR="00F576CF" w:rsidRPr="00691D17" w:rsidRDefault="00F576CF" w:rsidP="00975CA7">
      <w:pPr>
        <w:spacing w:line="480" w:lineRule="auto"/>
        <w:contextualSpacing/>
        <w:rPr>
          <w:rFonts w:cstheme="minorHAnsi"/>
        </w:rPr>
      </w:pPr>
    </w:p>
    <w:p w14:paraId="22D8DC72" w14:textId="59AEBDA2" w:rsidR="00F576CF" w:rsidRDefault="00F576CF" w:rsidP="00975CA7">
      <w:pPr>
        <w:spacing w:line="480" w:lineRule="auto"/>
        <w:contextualSpacing/>
        <w:rPr>
          <w:rFonts w:cstheme="minorHAnsi"/>
        </w:rPr>
      </w:pPr>
    </w:p>
    <w:p w14:paraId="1FADCAD1" w14:textId="694A7B08" w:rsidR="00975CA7" w:rsidRDefault="00975CA7" w:rsidP="00975CA7">
      <w:pPr>
        <w:spacing w:line="480" w:lineRule="auto"/>
        <w:contextualSpacing/>
        <w:rPr>
          <w:rFonts w:cstheme="minorHAnsi"/>
        </w:rPr>
      </w:pPr>
    </w:p>
    <w:p w14:paraId="695ECA34" w14:textId="74802719" w:rsidR="00975CA7" w:rsidRDefault="00975CA7" w:rsidP="00975CA7">
      <w:pPr>
        <w:spacing w:line="480" w:lineRule="auto"/>
        <w:contextualSpacing/>
        <w:rPr>
          <w:rFonts w:cstheme="minorHAnsi"/>
        </w:rPr>
      </w:pPr>
    </w:p>
    <w:p w14:paraId="7368CDBC" w14:textId="16A9959E" w:rsidR="00975CA7" w:rsidRDefault="00975CA7" w:rsidP="00975CA7">
      <w:pPr>
        <w:spacing w:line="480" w:lineRule="auto"/>
        <w:contextualSpacing/>
        <w:rPr>
          <w:rFonts w:cstheme="minorHAnsi"/>
        </w:rPr>
      </w:pPr>
    </w:p>
    <w:p w14:paraId="02DD8CAB" w14:textId="77777777" w:rsidR="00975CA7" w:rsidRPr="00691D17" w:rsidRDefault="00975CA7" w:rsidP="00975CA7">
      <w:pPr>
        <w:spacing w:line="480" w:lineRule="auto"/>
        <w:contextualSpacing/>
        <w:rPr>
          <w:rFonts w:cstheme="minorHAnsi"/>
        </w:rPr>
      </w:pPr>
    </w:p>
    <w:p w14:paraId="7CDFAF4C" w14:textId="77777777" w:rsidR="00F576CF" w:rsidRPr="00691D17" w:rsidRDefault="00F576CF" w:rsidP="00975CA7">
      <w:pPr>
        <w:spacing w:line="480" w:lineRule="auto"/>
        <w:contextualSpacing/>
        <w:rPr>
          <w:rFonts w:cstheme="minorHAnsi"/>
        </w:rPr>
      </w:pPr>
    </w:p>
    <w:p w14:paraId="50D86EF7" w14:textId="77777777" w:rsidR="00F576CF" w:rsidRPr="00691D17" w:rsidRDefault="00F576CF" w:rsidP="00975CA7">
      <w:pPr>
        <w:spacing w:line="480" w:lineRule="auto"/>
        <w:contextualSpacing/>
        <w:rPr>
          <w:rFonts w:cstheme="minorHAnsi"/>
        </w:rPr>
      </w:pPr>
    </w:p>
    <w:p w14:paraId="1F1F0ADC" w14:textId="77777777" w:rsidR="00F576CF" w:rsidRPr="00691D17" w:rsidRDefault="00F576CF" w:rsidP="00975CA7">
      <w:pPr>
        <w:spacing w:line="480" w:lineRule="auto"/>
        <w:contextualSpacing/>
        <w:rPr>
          <w:rFonts w:cstheme="minorHAnsi"/>
        </w:rPr>
      </w:pPr>
    </w:p>
    <w:p w14:paraId="11465A32" w14:textId="41ACCD41" w:rsidR="00F576CF" w:rsidRPr="00691D17" w:rsidRDefault="00F576CF" w:rsidP="00975CA7">
      <w:pPr>
        <w:spacing w:line="480" w:lineRule="auto"/>
        <w:contextualSpacing/>
        <w:jc w:val="center"/>
        <w:rPr>
          <w:rFonts w:cstheme="minorHAnsi"/>
          <w:b/>
          <w:bCs/>
        </w:rPr>
      </w:pPr>
      <w:r w:rsidRPr="00691D17">
        <w:rPr>
          <w:rFonts w:cstheme="minorHAnsi"/>
          <w:b/>
          <w:bCs/>
        </w:rPr>
        <w:lastRenderedPageBreak/>
        <w:t xml:space="preserve">Childhood Obesity in the United States </w:t>
      </w:r>
      <w:r w:rsidR="004E0F8E" w:rsidRPr="00691D17">
        <w:rPr>
          <w:rFonts w:cstheme="minorHAnsi"/>
          <w:b/>
          <w:bCs/>
        </w:rPr>
        <w:t>1971-201</w:t>
      </w:r>
      <w:r w:rsidR="00287AF8" w:rsidRPr="00691D17">
        <w:rPr>
          <w:rFonts w:cstheme="minorHAnsi"/>
          <w:b/>
          <w:bCs/>
        </w:rPr>
        <w:t>6</w:t>
      </w:r>
    </w:p>
    <w:p w14:paraId="576703F1" w14:textId="303D79B9" w:rsidR="000F4B8B" w:rsidRPr="00691D17" w:rsidRDefault="00287AF8" w:rsidP="00975CA7">
      <w:pPr>
        <w:spacing w:line="480" w:lineRule="auto"/>
        <w:ind w:firstLine="720"/>
        <w:contextualSpacing/>
        <w:rPr>
          <w:rFonts w:cstheme="minorHAnsi"/>
        </w:rPr>
      </w:pPr>
      <w:r w:rsidRPr="00691D17">
        <w:rPr>
          <w:rFonts w:cstheme="minorHAnsi"/>
        </w:rPr>
        <w:t xml:space="preserve">Childhood obesity </w:t>
      </w:r>
      <w:r w:rsidR="00102F6B">
        <w:rPr>
          <w:rFonts w:cstheme="minorHAnsi"/>
        </w:rPr>
        <w:t>a</w:t>
      </w:r>
      <w:r w:rsidRPr="00691D17">
        <w:rPr>
          <w:rFonts w:cstheme="minorHAnsi"/>
        </w:rPr>
        <w:t xml:space="preserve">ffects roughly 19% of children today and results in both physical and mental health struggles (Weinstock, 2017). </w:t>
      </w:r>
      <w:r w:rsidR="00CF3E06" w:rsidRPr="00691D17">
        <w:rPr>
          <w:rFonts w:cstheme="minorHAnsi"/>
        </w:rPr>
        <w:t>The objective of examining data</w:t>
      </w:r>
      <w:r w:rsidR="00592409">
        <w:rPr>
          <w:rFonts w:cstheme="minorHAnsi"/>
        </w:rPr>
        <w:t xml:space="preserve"> of obesity rates</w:t>
      </w:r>
      <w:r w:rsidR="00CF3E06" w:rsidRPr="00691D17">
        <w:rPr>
          <w:rFonts w:cstheme="minorHAnsi"/>
        </w:rPr>
        <w:t xml:space="preserve"> is to analyze how the childhood obesity rate is a growing problem and examine how the rates of obesity are different based on sex and race. It is important to know how obesity rates are changing over time to determine if solutions are having an effect, or if the problem continues to grow. </w:t>
      </w:r>
      <w:r w:rsidR="00221064" w:rsidRPr="00691D17">
        <w:rPr>
          <w:rFonts w:cstheme="minorHAnsi"/>
        </w:rPr>
        <w:t xml:space="preserve">The data is intended to track the rates of obesity in children over time, looking at differences in </w:t>
      </w:r>
      <w:r w:rsidRPr="00691D17">
        <w:rPr>
          <w:rFonts w:cstheme="minorHAnsi"/>
        </w:rPr>
        <w:t>sex</w:t>
      </w:r>
      <w:r w:rsidR="00221064" w:rsidRPr="00691D17">
        <w:rPr>
          <w:rFonts w:cstheme="minorHAnsi"/>
        </w:rPr>
        <w:t xml:space="preserve"> as well as race. This </w:t>
      </w:r>
      <w:r w:rsidR="00CF3E06" w:rsidRPr="00691D17">
        <w:rPr>
          <w:rFonts w:cstheme="minorHAnsi"/>
        </w:rPr>
        <w:t xml:space="preserve">information </w:t>
      </w:r>
      <w:r w:rsidR="00221064" w:rsidRPr="00691D17">
        <w:rPr>
          <w:rFonts w:cstheme="minorHAnsi"/>
        </w:rPr>
        <w:t xml:space="preserve">can be used to see how obesity rates have changed over time and what </w:t>
      </w:r>
      <w:r w:rsidR="00592409">
        <w:rPr>
          <w:rFonts w:cstheme="minorHAnsi"/>
        </w:rPr>
        <w:t>sexes</w:t>
      </w:r>
      <w:r w:rsidR="00221064" w:rsidRPr="00691D17">
        <w:rPr>
          <w:rFonts w:cstheme="minorHAnsi"/>
        </w:rPr>
        <w:t xml:space="preserve"> and races are higher risk groups for </w:t>
      </w:r>
      <w:r w:rsidR="00135B4E" w:rsidRPr="00691D17">
        <w:rPr>
          <w:rFonts w:cstheme="minorHAnsi"/>
        </w:rPr>
        <w:t xml:space="preserve">obesity. Additionally, </w:t>
      </w:r>
      <w:r w:rsidR="00CF3E06" w:rsidRPr="00691D17">
        <w:rPr>
          <w:rFonts w:cstheme="minorHAnsi"/>
        </w:rPr>
        <w:t>it</w:t>
      </w:r>
      <w:r w:rsidR="00135B4E" w:rsidRPr="00691D17">
        <w:rPr>
          <w:rFonts w:cstheme="minorHAnsi"/>
        </w:rPr>
        <w:t xml:space="preserve"> can be</w:t>
      </w:r>
      <w:r w:rsidR="00F84A25" w:rsidRPr="00691D17">
        <w:rPr>
          <w:rFonts w:cstheme="minorHAnsi"/>
        </w:rPr>
        <w:t xml:space="preserve"> used to </w:t>
      </w:r>
      <w:r w:rsidR="008912E1" w:rsidRPr="00691D17">
        <w:rPr>
          <w:rFonts w:cstheme="minorHAnsi"/>
        </w:rPr>
        <w:t xml:space="preserve">support investigations into </w:t>
      </w:r>
      <w:r w:rsidR="00F84A25" w:rsidRPr="00691D17">
        <w:rPr>
          <w:rFonts w:cstheme="minorHAnsi"/>
        </w:rPr>
        <w:t xml:space="preserve">different </w:t>
      </w:r>
      <w:r w:rsidR="008912E1" w:rsidRPr="00691D17">
        <w:rPr>
          <w:rFonts w:cstheme="minorHAnsi"/>
        </w:rPr>
        <w:t xml:space="preserve">historical </w:t>
      </w:r>
      <w:r w:rsidR="00F84A25" w:rsidRPr="00691D17">
        <w:rPr>
          <w:rFonts w:cstheme="minorHAnsi"/>
        </w:rPr>
        <w:t>changes in children</w:t>
      </w:r>
      <w:r w:rsidR="00102F6B">
        <w:rPr>
          <w:rFonts w:cstheme="minorHAnsi"/>
        </w:rPr>
        <w:t>’s</w:t>
      </w:r>
      <w:r w:rsidR="00F84A25" w:rsidRPr="00691D17">
        <w:rPr>
          <w:rFonts w:cstheme="minorHAnsi"/>
        </w:rPr>
        <w:t xml:space="preserve"> environments</w:t>
      </w:r>
      <w:r w:rsidRPr="00691D17">
        <w:rPr>
          <w:rFonts w:cstheme="minorHAnsi"/>
        </w:rPr>
        <w:t xml:space="preserve">, </w:t>
      </w:r>
      <w:r w:rsidR="008912E1" w:rsidRPr="00691D17">
        <w:rPr>
          <w:rFonts w:cstheme="minorHAnsi"/>
        </w:rPr>
        <w:t>such as school environment changes</w:t>
      </w:r>
      <w:r w:rsidR="00592409">
        <w:rPr>
          <w:rFonts w:cstheme="minorHAnsi"/>
        </w:rPr>
        <w:t xml:space="preserve"> and how children spend their free time</w:t>
      </w:r>
      <w:r w:rsidRPr="00691D17">
        <w:rPr>
          <w:rFonts w:cstheme="minorHAnsi"/>
        </w:rPr>
        <w:t>,</w:t>
      </w:r>
      <w:r w:rsidR="00F84A25" w:rsidRPr="00691D17">
        <w:rPr>
          <w:rFonts w:cstheme="minorHAnsi"/>
        </w:rPr>
        <w:t xml:space="preserve"> </w:t>
      </w:r>
      <w:r w:rsidR="00102F6B">
        <w:rPr>
          <w:rFonts w:cstheme="minorHAnsi"/>
        </w:rPr>
        <w:t>which</w:t>
      </w:r>
      <w:r w:rsidR="00F84A25" w:rsidRPr="00691D17">
        <w:rPr>
          <w:rFonts w:cstheme="minorHAnsi"/>
        </w:rPr>
        <w:t xml:space="preserve"> may </w:t>
      </w:r>
      <w:r w:rsidR="003B6233" w:rsidRPr="00691D17">
        <w:rPr>
          <w:rFonts w:cstheme="minorHAnsi"/>
        </w:rPr>
        <w:t>result in weight differences</w:t>
      </w:r>
      <w:r w:rsidR="006A3521" w:rsidRPr="00691D17">
        <w:rPr>
          <w:rFonts w:cstheme="minorHAnsi"/>
        </w:rPr>
        <w:t xml:space="preserve">. </w:t>
      </w:r>
      <w:r w:rsidR="00CF3E06" w:rsidRPr="00691D17">
        <w:rPr>
          <w:rFonts w:cstheme="minorHAnsi"/>
        </w:rPr>
        <w:t xml:space="preserve">Childhood obesity can lead to a variety of negative physical and mental health struggles, which are likely to continue into adulthood, so it is vitally important to encourage healthy eating and movement programs </w:t>
      </w:r>
      <w:r w:rsidR="00592409">
        <w:rPr>
          <w:rFonts w:cstheme="minorHAnsi"/>
        </w:rPr>
        <w:t>for</w:t>
      </w:r>
      <w:r w:rsidR="00CF3E06" w:rsidRPr="00691D17">
        <w:rPr>
          <w:rFonts w:cstheme="minorHAnsi"/>
        </w:rPr>
        <w:t xml:space="preserve"> children (Weinstock, 2017).</w:t>
      </w:r>
    </w:p>
    <w:p w14:paraId="175E17F2" w14:textId="0EA0C176" w:rsidR="00592409" w:rsidRDefault="00592409" w:rsidP="00975CA7">
      <w:pPr>
        <w:spacing w:line="480" w:lineRule="auto"/>
        <w:ind w:firstLine="720"/>
        <w:contextualSpacing/>
        <w:rPr>
          <w:rFonts w:cstheme="minorHAnsi"/>
        </w:rPr>
      </w:pPr>
      <w:r w:rsidRPr="00691D17">
        <w:rPr>
          <w:rFonts w:cstheme="minorHAnsi"/>
        </w:rPr>
        <w:t>The</w:t>
      </w:r>
      <w:r>
        <w:rPr>
          <w:rFonts w:cstheme="minorHAnsi"/>
        </w:rPr>
        <w:t xml:space="preserve"> </w:t>
      </w:r>
      <w:r w:rsidRPr="00691D17">
        <w:rPr>
          <w:rFonts w:cstheme="minorHAnsi"/>
          <w:i/>
          <w:iCs/>
        </w:rPr>
        <w:t>National Health and Nutrition Examination</w:t>
      </w:r>
      <w:r w:rsidRPr="00691D17">
        <w:rPr>
          <w:rFonts w:cstheme="minorHAnsi"/>
        </w:rPr>
        <w:t xml:space="preserve"> surveys show the percentage of children who were obese in America from 1971</w:t>
      </w:r>
      <w:r w:rsidR="00102F6B">
        <w:rPr>
          <w:rFonts w:cstheme="minorHAnsi"/>
        </w:rPr>
        <w:t xml:space="preserve"> through </w:t>
      </w:r>
      <w:r w:rsidRPr="00691D17">
        <w:rPr>
          <w:rFonts w:cstheme="minorHAnsi"/>
        </w:rPr>
        <w:t xml:space="preserve">2016, taken from a sample of approximately </w:t>
      </w:r>
      <w:r w:rsidR="00D21E36">
        <w:rPr>
          <w:rFonts w:cstheme="minorHAnsi"/>
        </w:rPr>
        <w:t>5</w:t>
      </w:r>
      <w:r w:rsidR="005727AD">
        <w:rPr>
          <w:rFonts w:cstheme="minorHAnsi"/>
        </w:rPr>
        <w:t>,</w:t>
      </w:r>
      <w:r w:rsidRPr="00691D17">
        <w:rPr>
          <w:rFonts w:cstheme="minorHAnsi"/>
        </w:rPr>
        <w:t>000</w:t>
      </w:r>
      <w:r>
        <w:rPr>
          <w:rFonts w:cstheme="minorHAnsi"/>
        </w:rPr>
        <w:t xml:space="preserve"> completed</w:t>
      </w:r>
      <w:r w:rsidRPr="00691D17">
        <w:rPr>
          <w:rFonts w:cstheme="minorHAnsi"/>
        </w:rPr>
        <w:t xml:space="preserve"> </w:t>
      </w:r>
      <w:r w:rsidR="005727AD">
        <w:rPr>
          <w:rFonts w:cstheme="minorHAnsi"/>
        </w:rPr>
        <w:t>annua</w:t>
      </w:r>
      <w:r w:rsidRPr="00691D17">
        <w:rPr>
          <w:rFonts w:cstheme="minorHAnsi"/>
        </w:rPr>
        <w:t>l surveys</w:t>
      </w:r>
      <w:r>
        <w:rPr>
          <w:rFonts w:cstheme="minorHAnsi"/>
        </w:rPr>
        <w:t xml:space="preserve"> issued out randomly among the United States population</w:t>
      </w:r>
      <w:r w:rsidRPr="00691D17">
        <w:rPr>
          <w:rFonts w:cstheme="minorHAnsi"/>
        </w:rPr>
        <w:t>.</w:t>
      </w:r>
      <w:r>
        <w:rPr>
          <w:rFonts w:cstheme="minorHAnsi"/>
        </w:rPr>
        <w:t xml:space="preserve"> The surveys gather information about demographics of the survey group as well as health and nutrition information to help track health trends throughout the U</w:t>
      </w:r>
      <w:r w:rsidR="00102F6B">
        <w:rPr>
          <w:rFonts w:cstheme="minorHAnsi"/>
        </w:rPr>
        <w:t>nited States (US)</w:t>
      </w:r>
      <w:r>
        <w:rPr>
          <w:rFonts w:cstheme="minorHAnsi"/>
        </w:rPr>
        <w:t>.</w:t>
      </w:r>
      <w:r w:rsidRPr="00691D17">
        <w:rPr>
          <w:rFonts w:cstheme="minorHAnsi"/>
        </w:rPr>
        <w:t xml:space="preserve"> </w:t>
      </w:r>
      <w:r>
        <w:rPr>
          <w:rFonts w:cstheme="minorHAnsi"/>
        </w:rPr>
        <w:t>The survey has changed over time, gathering more relevant data as newer version</w:t>
      </w:r>
      <w:r w:rsidR="00252220">
        <w:rPr>
          <w:rFonts w:cstheme="minorHAnsi"/>
        </w:rPr>
        <w:t>s</w:t>
      </w:r>
      <w:r>
        <w:rPr>
          <w:rFonts w:cstheme="minorHAnsi"/>
        </w:rPr>
        <w:t xml:space="preserve"> of it have been created. In early stages of the survey, prior to 2011, they did not specifically track Asian as a racial option. There were also gaps from 1981-1987 and 1995-1998</w:t>
      </w:r>
      <w:r w:rsidR="005727AD">
        <w:rPr>
          <w:rFonts w:cstheme="minorHAnsi"/>
        </w:rPr>
        <w:t xml:space="preserve"> where surveys were not conducted, and the surveys went over longer periods of time </w:t>
      </w:r>
      <w:r w:rsidR="00252220">
        <w:rPr>
          <w:rFonts w:cstheme="minorHAnsi"/>
        </w:rPr>
        <w:t>from</w:t>
      </w:r>
      <w:r w:rsidR="005727AD">
        <w:rPr>
          <w:rFonts w:cstheme="minorHAnsi"/>
        </w:rPr>
        <w:t xml:space="preserve"> 1971-1974, 1976-1980, and 1988-1994. Starting in 1999, the survey methods became more standardized and consistent. The Division of Health and Nutrition Surveys within the</w:t>
      </w:r>
      <w:r w:rsidR="00252220">
        <w:rPr>
          <w:rFonts w:cstheme="minorHAnsi"/>
        </w:rPr>
        <w:t xml:space="preserve"> United States Center for Disease control</w:t>
      </w:r>
      <w:r w:rsidR="005727AD">
        <w:rPr>
          <w:rFonts w:cstheme="minorHAnsi"/>
        </w:rPr>
        <w:t xml:space="preserve"> </w:t>
      </w:r>
      <w:r w:rsidR="00252220">
        <w:rPr>
          <w:rFonts w:cstheme="minorHAnsi"/>
        </w:rPr>
        <w:t>(</w:t>
      </w:r>
      <w:r w:rsidR="005727AD">
        <w:rPr>
          <w:rFonts w:cstheme="minorHAnsi"/>
        </w:rPr>
        <w:t>CDC</w:t>
      </w:r>
      <w:r w:rsidR="00252220">
        <w:rPr>
          <w:rFonts w:cstheme="minorHAnsi"/>
        </w:rPr>
        <w:t>)</w:t>
      </w:r>
      <w:r w:rsidR="005727AD">
        <w:rPr>
          <w:rFonts w:cstheme="minorHAnsi"/>
        </w:rPr>
        <w:t xml:space="preserve"> conducts the surveys and combines interviews, physical examinations, </w:t>
      </w:r>
      <w:r w:rsidR="005727AD">
        <w:rPr>
          <w:rFonts w:cstheme="minorHAnsi"/>
        </w:rPr>
        <w:lastRenderedPageBreak/>
        <w:t>and laboratory test results into publicly available data</w:t>
      </w:r>
      <w:r w:rsidR="00B40659">
        <w:rPr>
          <w:rFonts w:cstheme="minorHAnsi"/>
        </w:rPr>
        <w:t xml:space="preserve"> (</w:t>
      </w:r>
      <w:r w:rsidR="00B40659" w:rsidRPr="00691D17">
        <w:rPr>
          <w:rFonts w:cstheme="minorHAnsi"/>
        </w:rPr>
        <w:t>The National Center for Health Statistics</w:t>
      </w:r>
      <w:r w:rsidR="00B40659">
        <w:rPr>
          <w:rFonts w:cstheme="minorHAnsi"/>
        </w:rPr>
        <w:t xml:space="preserve">, </w:t>
      </w:r>
      <w:r w:rsidR="00B40659" w:rsidRPr="00691D17">
        <w:rPr>
          <w:rFonts w:cstheme="minorHAnsi"/>
        </w:rPr>
        <w:t>1971-2018)</w:t>
      </w:r>
      <w:r w:rsidR="00D21E36">
        <w:rPr>
          <w:rFonts w:cstheme="minorHAnsi"/>
        </w:rPr>
        <w:t>. The specific data being examined is a subset of the total surveys, focusing on children age</w:t>
      </w:r>
      <w:r w:rsidR="00252220">
        <w:rPr>
          <w:rFonts w:cstheme="minorHAnsi"/>
        </w:rPr>
        <w:t>d</w:t>
      </w:r>
      <w:r w:rsidR="00D21E36">
        <w:rPr>
          <w:rFonts w:cstheme="minorHAnsi"/>
        </w:rPr>
        <w:t xml:space="preserve"> 2-19 and obesity rates.</w:t>
      </w:r>
    </w:p>
    <w:p w14:paraId="3D6A1BC1" w14:textId="482A84AA" w:rsidR="00221064" w:rsidRPr="00691D17" w:rsidRDefault="00221064" w:rsidP="00975CA7">
      <w:pPr>
        <w:spacing w:line="480" w:lineRule="auto"/>
        <w:ind w:firstLine="720"/>
        <w:contextualSpacing/>
        <w:rPr>
          <w:rFonts w:cstheme="minorHAnsi"/>
        </w:rPr>
      </w:pPr>
      <w:r w:rsidRPr="00691D17">
        <w:rPr>
          <w:rFonts w:cstheme="minorHAnsi"/>
          <w:i/>
          <w:iCs/>
        </w:rPr>
        <w:t>Obesity, High-Calorie Food Intake, and Academic Achievement Trends Among U.S. School Children</w:t>
      </w:r>
      <w:r w:rsidRPr="00691D17">
        <w:rPr>
          <w:rFonts w:cstheme="minorHAnsi"/>
        </w:rPr>
        <w:t xml:space="preserve"> examined data, </w:t>
      </w:r>
      <w:r w:rsidR="00592409">
        <w:rPr>
          <w:rFonts w:cstheme="minorHAnsi"/>
        </w:rPr>
        <w:t>focusing on</w:t>
      </w:r>
      <w:r w:rsidRPr="00691D17">
        <w:rPr>
          <w:rFonts w:cstheme="minorHAnsi"/>
        </w:rPr>
        <w:t xml:space="preserve"> the </w:t>
      </w:r>
      <w:r w:rsidRPr="00592409">
        <w:rPr>
          <w:rFonts w:cstheme="minorHAnsi"/>
          <w:i/>
          <w:iCs/>
        </w:rPr>
        <w:t>National Health and Nutrition Examination Survey</w:t>
      </w:r>
      <w:r w:rsidRPr="00691D17">
        <w:rPr>
          <w:rFonts w:cstheme="minorHAnsi"/>
        </w:rPr>
        <w:t xml:space="preserve"> from 1976-1980 and 2003-2006, to </w:t>
      </w:r>
      <w:r w:rsidR="006A1460" w:rsidRPr="00691D17">
        <w:rPr>
          <w:rFonts w:cstheme="minorHAnsi"/>
        </w:rPr>
        <w:t>determine</w:t>
      </w:r>
      <w:r w:rsidRPr="00691D17">
        <w:rPr>
          <w:rFonts w:cstheme="minorHAnsi"/>
        </w:rPr>
        <w:t xml:space="preserve"> how obesity rates have changed over time </w:t>
      </w:r>
      <w:r w:rsidR="00600E95" w:rsidRPr="00691D17">
        <w:rPr>
          <w:rFonts w:cstheme="minorHAnsi"/>
        </w:rPr>
        <w:t xml:space="preserve">for children. The article cites that obesity rates </w:t>
      </w:r>
      <w:r w:rsidR="00CF3E06" w:rsidRPr="00691D17">
        <w:rPr>
          <w:rFonts w:cstheme="minorHAnsi"/>
        </w:rPr>
        <w:t>nearly</w:t>
      </w:r>
      <w:r w:rsidR="00600E95" w:rsidRPr="00691D17">
        <w:rPr>
          <w:rFonts w:cstheme="minorHAnsi"/>
        </w:rPr>
        <w:t xml:space="preserve"> tripled according to the studies (Li</w:t>
      </w:r>
      <w:r w:rsidR="000B71CC" w:rsidRPr="00691D17">
        <w:rPr>
          <w:rFonts w:cstheme="minorHAnsi"/>
        </w:rPr>
        <w:t xml:space="preserve"> &amp;</w:t>
      </w:r>
      <w:r w:rsidR="00600E95" w:rsidRPr="00691D17">
        <w:rPr>
          <w:rFonts w:cstheme="minorHAnsi"/>
        </w:rPr>
        <w:t xml:space="preserve"> O’Connell</w:t>
      </w:r>
      <w:r w:rsidR="000B71CC" w:rsidRPr="00691D17">
        <w:rPr>
          <w:rFonts w:cstheme="minorHAnsi"/>
        </w:rPr>
        <w:t>, 2012</w:t>
      </w:r>
      <w:r w:rsidR="00600E95" w:rsidRPr="00691D17">
        <w:rPr>
          <w:rFonts w:cstheme="minorHAnsi"/>
        </w:rPr>
        <w:t xml:space="preserve">). The authors examine possible causes </w:t>
      </w:r>
      <w:r w:rsidR="000B71CC" w:rsidRPr="00691D17">
        <w:rPr>
          <w:rFonts w:cstheme="minorHAnsi"/>
        </w:rPr>
        <w:t>and</w:t>
      </w:r>
      <w:r w:rsidR="00600E95" w:rsidRPr="00691D17">
        <w:rPr>
          <w:rFonts w:cstheme="minorHAnsi"/>
        </w:rPr>
        <w:t xml:space="preserve"> the effects of childhood obesity on educational achievement. </w:t>
      </w:r>
      <w:r w:rsidR="00441810" w:rsidRPr="00691D17">
        <w:rPr>
          <w:rFonts w:cstheme="minorHAnsi"/>
        </w:rPr>
        <w:t xml:space="preserve">They established that children who frequently </w:t>
      </w:r>
      <w:r w:rsidR="007A08B7" w:rsidRPr="00691D17">
        <w:rPr>
          <w:rFonts w:cstheme="minorHAnsi"/>
        </w:rPr>
        <w:t xml:space="preserve">consumed fast food had lower mathematical and reading scores, but that soda consumption did not significantly affect academic achievement. Being overweight without other risk factors also did not negatively impact academic achievement. </w:t>
      </w:r>
      <w:r w:rsidR="000B71CC" w:rsidRPr="00691D17">
        <w:rPr>
          <w:rFonts w:cstheme="minorHAnsi"/>
        </w:rPr>
        <w:t>This study demonstrated that there is a significant difference in obesity rate and that some parts of diet have a correlation to academic performance.</w:t>
      </w:r>
    </w:p>
    <w:p w14:paraId="0C178931" w14:textId="16E4AF23" w:rsidR="00600E95" w:rsidRDefault="001C502B" w:rsidP="00975CA7">
      <w:pPr>
        <w:spacing w:line="480" w:lineRule="auto"/>
        <w:ind w:firstLine="720"/>
        <w:contextualSpacing/>
        <w:rPr>
          <w:rFonts w:cstheme="minorHAnsi"/>
        </w:rPr>
      </w:pPr>
      <w:r w:rsidRPr="00691D17">
        <w:rPr>
          <w:rFonts w:cstheme="minorHAnsi"/>
        </w:rPr>
        <w:t xml:space="preserve">One of the potential causes of obesity rates increasing for children </w:t>
      </w:r>
      <w:r w:rsidR="000B71CC" w:rsidRPr="00691D17">
        <w:rPr>
          <w:rFonts w:cstheme="minorHAnsi"/>
        </w:rPr>
        <w:t>was</w:t>
      </w:r>
      <w:r w:rsidRPr="00691D17">
        <w:rPr>
          <w:rFonts w:cstheme="minorHAnsi"/>
        </w:rPr>
        <w:t xml:space="preserve"> examined </w:t>
      </w:r>
      <w:r w:rsidR="00252220">
        <w:rPr>
          <w:rFonts w:cstheme="minorHAnsi"/>
        </w:rPr>
        <w:t>by</w:t>
      </w:r>
      <w:r w:rsidRPr="00691D17">
        <w:rPr>
          <w:rFonts w:cstheme="minorHAnsi"/>
        </w:rPr>
        <w:t xml:space="preserve"> </w:t>
      </w:r>
      <w:r w:rsidR="000B71CC" w:rsidRPr="00691D17">
        <w:rPr>
          <w:rFonts w:cstheme="minorHAnsi"/>
        </w:rPr>
        <w:t>Anderson and Butcher</w:t>
      </w:r>
      <w:r w:rsidR="002466CA">
        <w:rPr>
          <w:rFonts w:cstheme="minorHAnsi"/>
        </w:rPr>
        <w:t>.</w:t>
      </w:r>
      <w:r w:rsidR="00252220">
        <w:rPr>
          <w:rFonts w:cstheme="minorHAnsi"/>
        </w:rPr>
        <w:t xml:space="preserve"> </w:t>
      </w:r>
      <w:r w:rsidR="002466CA">
        <w:rPr>
          <w:rFonts w:cstheme="minorHAnsi"/>
        </w:rPr>
        <w:t>T</w:t>
      </w:r>
      <w:r w:rsidR="00252220">
        <w:rPr>
          <w:rFonts w:cstheme="minorHAnsi"/>
        </w:rPr>
        <w:t>hey</w:t>
      </w:r>
      <w:r w:rsidR="000B71CC" w:rsidRPr="00691D17">
        <w:rPr>
          <w:rFonts w:cstheme="minorHAnsi"/>
        </w:rPr>
        <w:t xml:space="preserve"> claim</w:t>
      </w:r>
      <w:r w:rsidR="00CF3E06" w:rsidRPr="00691D17">
        <w:rPr>
          <w:rFonts w:cstheme="minorHAnsi"/>
        </w:rPr>
        <w:t xml:space="preserve"> that</w:t>
      </w:r>
      <w:r w:rsidRPr="00691D17">
        <w:rPr>
          <w:rFonts w:cstheme="minorHAnsi"/>
        </w:rPr>
        <w:t xml:space="preserve"> “</w:t>
      </w:r>
      <w:r w:rsidR="00252220">
        <w:rPr>
          <w:rFonts w:cstheme="minorHAnsi"/>
        </w:rPr>
        <w:t>o</w:t>
      </w:r>
      <w:r w:rsidRPr="00691D17">
        <w:rPr>
          <w:rFonts w:cstheme="minorHAnsi"/>
        </w:rPr>
        <w:t xml:space="preserve">bservers have begun to question the role played by schools, pointing in particular to declines in physical education and increases </w:t>
      </w:r>
      <w:r w:rsidR="00B71719" w:rsidRPr="00691D17">
        <w:rPr>
          <w:rFonts w:cstheme="minorHAnsi"/>
        </w:rPr>
        <w:t>in</w:t>
      </w:r>
      <w:r w:rsidRPr="00691D17">
        <w:rPr>
          <w:rFonts w:cstheme="minorHAnsi"/>
        </w:rPr>
        <w:t xml:space="preserve"> the availability of soft drinks and snack foods</w:t>
      </w:r>
      <w:r w:rsidR="00CF3E06" w:rsidRPr="00691D17">
        <w:rPr>
          <w:rFonts w:cstheme="minorHAnsi"/>
        </w:rPr>
        <w:t>” (2006).</w:t>
      </w:r>
      <w:r w:rsidRPr="00691D17">
        <w:rPr>
          <w:rFonts w:cstheme="minorHAnsi"/>
        </w:rPr>
        <w:t xml:space="preserve"> The article goes on to look at the profitability of vending machines in schools,</w:t>
      </w:r>
      <w:r w:rsidR="00B71719" w:rsidRPr="00691D17">
        <w:rPr>
          <w:rFonts w:cstheme="minorHAnsi"/>
        </w:rPr>
        <w:t xml:space="preserve"> which leads to schools introducing more unhealthy snacks into the school environment. Additionally, </w:t>
      </w:r>
      <w:r w:rsidRPr="00691D17">
        <w:rPr>
          <w:rFonts w:cstheme="minorHAnsi"/>
        </w:rPr>
        <w:t>the increased pressure of schools to produce adequate test results</w:t>
      </w:r>
      <w:r w:rsidR="00B71719" w:rsidRPr="00691D17">
        <w:rPr>
          <w:rFonts w:cstheme="minorHAnsi"/>
        </w:rPr>
        <w:t xml:space="preserve"> may be</w:t>
      </w:r>
      <w:r w:rsidRPr="00691D17">
        <w:rPr>
          <w:rFonts w:cstheme="minorHAnsi"/>
        </w:rPr>
        <w:t xml:space="preserve"> causing electives to be cut in favor of focus on standardized tests. The study found that in schools that made junk food available, there is an increase in </w:t>
      </w:r>
      <w:r w:rsidR="00252220">
        <w:rPr>
          <w:rFonts w:cstheme="minorHAnsi"/>
        </w:rPr>
        <w:t>the body mass index (</w:t>
      </w:r>
      <w:r w:rsidRPr="00691D17">
        <w:rPr>
          <w:rFonts w:cstheme="minorHAnsi"/>
        </w:rPr>
        <w:t>BMI</w:t>
      </w:r>
      <w:r w:rsidR="00252220">
        <w:rPr>
          <w:rFonts w:cstheme="minorHAnsi"/>
        </w:rPr>
        <w:t>)</w:t>
      </w:r>
      <w:r w:rsidRPr="00691D17">
        <w:rPr>
          <w:rFonts w:cstheme="minorHAnsi"/>
        </w:rPr>
        <w:t xml:space="preserve"> for students</w:t>
      </w:r>
      <w:r w:rsidR="00441810" w:rsidRPr="00691D17">
        <w:rPr>
          <w:rFonts w:cstheme="minorHAnsi"/>
        </w:rPr>
        <w:t>, particularly if the student had an overweight parent</w:t>
      </w:r>
      <w:r w:rsidR="00B40659">
        <w:rPr>
          <w:rFonts w:cstheme="minorHAnsi"/>
        </w:rPr>
        <w:t xml:space="preserve"> (Anderson &amp; Butcher, 2006)</w:t>
      </w:r>
      <w:r w:rsidR="00441810" w:rsidRPr="00691D17">
        <w:rPr>
          <w:rFonts w:cstheme="minorHAnsi"/>
        </w:rPr>
        <w:t>.</w:t>
      </w:r>
      <w:r w:rsidR="00B71719" w:rsidRPr="00691D17">
        <w:rPr>
          <w:rFonts w:cstheme="minorHAnsi"/>
        </w:rPr>
        <w:t xml:space="preserve"> This research showed that schools do have a level of culpability for increasing the BMI of their students</w:t>
      </w:r>
      <w:r w:rsidR="002C4B39" w:rsidRPr="00691D17">
        <w:rPr>
          <w:rFonts w:cstheme="minorHAnsi"/>
        </w:rPr>
        <w:t xml:space="preserve"> by providing unhealthy food options and limiting elective choices, including physical education</w:t>
      </w:r>
      <w:r w:rsidR="00B71719" w:rsidRPr="00691D17">
        <w:rPr>
          <w:rFonts w:cstheme="minorHAnsi"/>
        </w:rPr>
        <w:t xml:space="preserve">. </w:t>
      </w:r>
    </w:p>
    <w:p w14:paraId="11B1C9AC" w14:textId="77777777" w:rsidR="00C7696B" w:rsidRDefault="00C7696B" w:rsidP="00975CA7">
      <w:pPr>
        <w:spacing w:line="480" w:lineRule="auto"/>
        <w:contextualSpacing/>
        <w:rPr>
          <w:rFonts w:cstheme="minorHAnsi"/>
        </w:rPr>
      </w:pPr>
      <w:r>
        <w:rPr>
          <w:rFonts w:cstheme="minorHAnsi"/>
          <w:b/>
          <w:bCs/>
        </w:rPr>
        <w:lastRenderedPageBreak/>
        <w:t>Limitations and strengths</w:t>
      </w:r>
    </w:p>
    <w:p w14:paraId="673259F4" w14:textId="4DEEF494" w:rsidR="00C7696B" w:rsidRPr="00691D17" w:rsidRDefault="00C7696B" w:rsidP="00975CA7">
      <w:pPr>
        <w:spacing w:line="480" w:lineRule="auto"/>
        <w:contextualSpacing/>
        <w:rPr>
          <w:rFonts w:cstheme="minorHAnsi"/>
        </w:rPr>
      </w:pPr>
      <w:r>
        <w:rPr>
          <w:rFonts w:cstheme="minorHAnsi"/>
        </w:rPr>
        <w:tab/>
        <w:t>The key limitation to the analysis is that this was not performed as a time-series analysis. The survey has also changed over time. The data prior to 1999 is less complete but is important in providing insight over time. The accuracy of the data must be considered, with new technologies and ability to record and save data existing on a more accurate and comprehensive scale in the more recent surveys. Information on race had fewer options prior to 2011, so the data is categorized differently before and after 2011, with some data potentially being excluded. There is also a factor of a sample size of around 5,000 children every two years, which compared to the larger population may not provide an accurate sample of different ethnicities and locations, which may affect results. The sample population is randomized and is a significant size but could still have skewed results depending on the sample size characteristics. The data of BMI and obesity rates based on BMI is standardized over the study, so it allows a strong comparison of data between the 1970’s and present day, which is valuable in demonstrating how the rates have changed. Having demographic data helps to highlight that the greatest contributors to childhood obesity are not variables such as sex, but variables such as race and changes once children enter school. This highlights areas where change needs to be made to make the most impact on children’s health.</w:t>
      </w:r>
    </w:p>
    <w:p w14:paraId="4F28E06F" w14:textId="4B9ED13F" w:rsidR="005B3920" w:rsidRDefault="005B3920" w:rsidP="00975CA7">
      <w:pPr>
        <w:spacing w:line="480" w:lineRule="auto"/>
        <w:contextualSpacing/>
        <w:jc w:val="center"/>
        <w:rPr>
          <w:rFonts w:cstheme="minorHAnsi"/>
          <w:b/>
          <w:bCs/>
        </w:rPr>
      </w:pPr>
      <w:r>
        <w:rPr>
          <w:rFonts w:cstheme="minorHAnsi"/>
          <w:b/>
          <w:bCs/>
        </w:rPr>
        <w:t>Metho</w:t>
      </w:r>
      <w:r w:rsidR="00975CA7">
        <w:rPr>
          <w:rFonts w:cstheme="minorHAnsi"/>
          <w:b/>
          <w:bCs/>
        </w:rPr>
        <w:t>d</w:t>
      </w:r>
    </w:p>
    <w:p w14:paraId="10D0CFB3" w14:textId="6BFCA1A4" w:rsidR="005B3920" w:rsidRDefault="00975CA7" w:rsidP="00975CA7">
      <w:pPr>
        <w:spacing w:line="480" w:lineRule="auto"/>
        <w:contextualSpacing/>
        <w:rPr>
          <w:rFonts w:cstheme="minorHAnsi"/>
          <w:b/>
          <w:bCs/>
        </w:rPr>
      </w:pPr>
      <w:r>
        <w:rPr>
          <w:rFonts w:cstheme="minorHAnsi"/>
          <w:b/>
          <w:bCs/>
        </w:rPr>
        <w:t>Procedure</w:t>
      </w:r>
    </w:p>
    <w:p w14:paraId="62C657CB" w14:textId="77777777" w:rsidR="005B3920" w:rsidRDefault="00D21E36" w:rsidP="00975CA7">
      <w:pPr>
        <w:spacing w:line="480" w:lineRule="auto"/>
        <w:ind w:firstLine="720"/>
        <w:contextualSpacing/>
        <w:rPr>
          <w:rFonts w:cstheme="minorHAnsi"/>
        </w:rPr>
      </w:pPr>
      <w:r>
        <w:rPr>
          <w:rFonts w:cstheme="minorHAnsi"/>
        </w:rPr>
        <w:t xml:space="preserve">The obesity rate data is based on the percentage of obese children in each year, separated by sex, age groups, and race. Graphs were created in </w:t>
      </w:r>
      <w:r w:rsidR="00252220">
        <w:rPr>
          <w:rFonts w:cstheme="minorHAnsi"/>
        </w:rPr>
        <w:t>Microsoft Excel</w:t>
      </w:r>
      <w:r>
        <w:rPr>
          <w:rFonts w:cstheme="minorHAnsi"/>
        </w:rPr>
        <w:t xml:space="preserve"> to highlight the differences in obesity rates in the different categorical groups over time increments of two years. During years that the data was not collected, it has been left blank. The average obesity rate was calculated for each variable over the time frame studied as well as the standard deviation to highlight how much the obesity rate has </w:t>
      </w:r>
      <w:r w:rsidR="00252220">
        <w:rPr>
          <w:rFonts w:cstheme="minorHAnsi"/>
        </w:rPr>
        <w:t>varied</w:t>
      </w:r>
      <w:r>
        <w:rPr>
          <w:rFonts w:cstheme="minorHAnsi"/>
        </w:rPr>
        <w:t xml:space="preserve"> over time, with a higher standard of deviation showing a higher </w:t>
      </w:r>
      <w:r w:rsidR="00252220">
        <w:rPr>
          <w:rFonts w:cstheme="minorHAnsi"/>
        </w:rPr>
        <w:t>variability</w:t>
      </w:r>
      <w:r>
        <w:rPr>
          <w:rFonts w:cstheme="minorHAnsi"/>
        </w:rPr>
        <w:t>.</w:t>
      </w:r>
      <w:r w:rsidR="00574A18">
        <w:rPr>
          <w:rFonts w:cstheme="minorHAnsi"/>
        </w:rPr>
        <w:t xml:space="preserve"> </w:t>
      </w:r>
    </w:p>
    <w:p w14:paraId="4DD78C17" w14:textId="5D59CD6C" w:rsidR="005B3920" w:rsidRPr="005B3920" w:rsidRDefault="005B3920" w:rsidP="00975CA7">
      <w:pPr>
        <w:spacing w:line="480" w:lineRule="auto"/>
        <w:contextualSpacing/>
        <w:rPr>
          <w:rFonts w:cstheme="minorHAnsi"/>
          <w:b/>
          <w:bCs/>
        </w:rPr>
      </w:pPr>
      <w:r>
        <w:rPr>
          <w:rFonts w:cstheme="minorHAnsi"/>
          <w:b/>
          <w:bCs/>
        </w:rPr>
        <w:lastRenderedPageBreak/>
        <w:t>Variables</w:t>
      </w:r>
    </w:p>
    <w:p w14:paraId="0DE0EC09" w14:textId="6E22F32A" w:rsidR="00D21E36" w:rsidRDefault="00574A18" w:rsidP="00975CA7">
      <w:pPr>
        <w:spacing w:line="480" w:lineRule="auto"/>
        <w:ind w:firstLine="720"/>
        <w:contextualSpacing/>
        <w:rPr>
          <w:rFonts w:cstheme="minorHAnsi"/>
        </w:rPr>
      </w:pPr>
      <w:r>
        <w:rPr>
          <w:rFonts w:cstheme="minorHAnsi"/>
        </w:rPr>
        <w:t xml:space="preserve">Shown in (1), obesity rates are affected by variables including race, age, and sex. </w:t>
      </w:r>
    </w:p>
    <w:p w14:paraId="068318D5" w14:textId="77777777" w:rsidR="00B60AE9" w:rsidRPr="00252220" w:rsidRDefault="00B60AE9" w:rsidP="00975CA7">
      <w:pPr>
        <w:contextualSpacing/>
        <w:rPr>
          <w:rFonts w:cstheme="minorHAnsi"/>
          <w:i/>
          <w:iCs/>
        </w:rPr>
      </w:pPr>
      <w:r w:rsidRPr="00252220">
        <w:rPr>
          <w:rFonts w:cstheme="minorHAnsi"/>
          <w:i/>
          <w:iCs/>
        </w:rPr>
        <w:t>Obesity (Y|N)</w:t>
      </w:r>
    </w:p>
    <w:p w14:paraId="6E5C5C52" w14:textId="211F088C" w:rsidR="00B60AE9" w:rsidRPr="00691D17" w:rsidRDefault="00574A18" w:rsidP="00975CA7">
      <w:pPr>
        <w:contextualSpacing/>
        <w:rPr>
          <w:rFonts w:eastAsiaTheme="minorEastAsia" w:cstheme="minorHAnsi"/>
        </w:rPr>
      </w:pPr>
      <w:r>
        <w:rPr>
          <w:rFonts w:eastAsiaTheme="minorEastAsia" w:cstheme="minorHAnsi"/>
          <w:i/>
        </w:rPr>
        <w:t xml:space="preserve">             </w:t>
      </w:r>
      <m:oMath>
        <m:r>
          <w:rPr>
            <w:rFonts w:ascii="Cambria Math" w:hAnsi="Cambria Math" w:cstheme="minorHAnsi"/>
          </w:rPr>
          <m:t>f(x)</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Race</m:t>
        </m:r>
        <m:d>
          <m:dPr>
            <m:ctrlPr>
              <w:rPr>
                <w:rFonts w:ascii="Cambria Math" w:hAnsi="Cambria Math" w:cstheme="minorHAnsi"/>
                <w:i/>
              </w:rPr>
            </m:ctrlPr>
          </m:dPr>
          <m:e>
            <m:f>
              <m:fPr>
                <m:type m:val="noBar"/>
                <m:ctrlPr>
                  <w:rPr>
                    <w:rFonts w:ascii="Cambria Math" w:hAnsi="Cambria Math" w:cstheme="minorHAnsi"/>
                    <w:i/>
                  </w:rPr>
                </m:ctrlPr>
              </m:fPr>
              <m:num>
                <m:eqArr>
                  <m:eqArrPr>
                    <m:ctrlPr>
                      <w:rPr>
                        <w:rFonts w:ascii="Cambria Math" w:hAnsi="Cambria Math" w:cstheme="minorHAnsi"/>
                        <w:i/>
                      </w:rPr>
                    </m:ctrlPr>
                  </m:eqArrPr>
                  <m:e>
                    <m:r>
                      <w:rPr>
                        <w:rFonts w:ascii="Cambria Math" w:hAnsi="Cambria Math" w:cstheme="minorHAnsi"/>
                      </w:rPr>
                      <m:t>1=Black</m:t>
                    </m:r>
                  </m:e>
                  <m:e>
                    <m:r>
                      <w:rPr>
                        <w:rFonts w:ascii="Cambria Math" w:hAnsi="Cambria Math" w:cstheme="minorHAnsi"/>
                      </w:rPr>
                      <m:t>2=Hispanic</m:t>
                    </m:r>
                    <m:ctrlPr>
                      <w:rPr>
                        <w:rFonts w:ascii="Cambria Math" w:eastAsia="Cambria Math" w:hAnsi="Cambria Math" w:cstheme="minorHAnsi"/>
                        <w:i/>
                      </w:rPr>
                    </m:ctrlPr>
                  </m:e>
                  <m:e>
                    <m:r>
                      <w:rPr>
                        <w:rFonts w:ascii="Cambria Math" w:eastAsia="Cambria Math" w:hAnsi="Cambria Math" w:cstheme="minorHAnsi"/>
                      </w:rPr>
                      <m:t>3=White</m:t>
                    </m:r>
                  </m:e>
                </m:eqArr>
              </m:num>
              <m:den>
                <m:r>
                  <w:rPr>
                    <w:rFonts w:ascii="Cambria Math" w:hAnsi="Cambria Math" w:cstheme="minorHAnsi"/>
                  </w:rPr>
                  <m:t>4=Asian</m:t>
                </m:r>
              </m:den>
            </m:f>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m:t>
            </m:r>
          </m:sub>
        </m:sSub>
        <m:r>
          <w:rPr>
            <w:rFonts w:ascii="Cambria Math" w:hAnsi="Cambria Math" w:cstheme="minorHAnsi"/>
          </w:rPr>
          <m:t>Age</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1=Age 2-5</m:t>
                </m:r>
              </m:num>
              <m:den>
                <m:eqArr>
                  <m:eqArrPr>
                    <m:ctrlPr>
                      <w:rPr>
                        <w:rFonts w:ascii="Cambria Math" w:hAnsi="Cambria Math" w:cstheme="minorHAnsi"/>
                        <w:i/>
                      </w:rPr>
                    </m:ctrlPr>
                  </m:eqArrPr>
                  <m:e>
                    <m:r>
                      <w:rPr>
                        <w:rFonts w:ascii="Cambria Math" w:hAnsi="Cambria Math" w:cstheme="minorHAnsi"/>
                      </w:rPr>
                      <m:t>2=Age 6-11</m:t>
                    </m:r>
                  </m:e>
                  <m:e>
                    <m:r>
                      <w:rPr>
                        <w:rFonts w:ascii="Cambria Math" w:hAnsi="Cambria Math" w:cstheme="minorHAnsi"/>
                      </w:rPr>
                      <m:t>3=Age 12-19</m:t>
                    </m:r>
                  </m:e>
                </m:eqArr>
              </m:den>
            </m:f>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3</m:t>
            </m:r>
          </m:sub>
        </m:sSub>
        <m:r>
          <w:rPr>
            <w:rFonts w:ascii="Cambria Math" w:hAnsi="Cambria Math" w:cstheme="minorHAnsi"/>
          </w:rPr>
          <m:t>Sex</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1=Male</m:t>
                </m:r>
              </m:num>
              <m:den>
                <m:r>
                  <w:rPr>
                    <w:rFonts w:ascii="Cambria Math" w:hAnsi="Cambria Math" w:cstheme="minorHAnsi"/>
                  </w:rPr>
                  <m:t>2=Female</m:t>
                </m:r>
              </m:den>
            </m:f>
          </m:e>
        </m:d>
        <m:r>
          <w:rPr>
            <w:rFonts w:ascii="Cambria Math" w:eastAsiaTheme="minorEastAsia" w:hAnsi="Cambria Math" w:cstheme="minorHAnsi"/>
          </w:rPr>
          <m:t>+ε</m:t>
        </m:r>
      </m:oMath>
      <w:r>
        <w:rPr>
          <w:rFonts w:eastAsiaTheme="minorEastAsia" w:cstheme="minorHAnsi"/>
        </w:rPr>
        <w:t xml:space="preserve">                  (1)</w:t>
      </w:r>
    </w:p>
    <w:p w14:paraId="684EB7CA" w14:textId="4D4B27AF" w:rsidR="00B60AE9" w:rsidRPr="00691D17" w:rsidRDefault="00B60AE9" w:rsidP="00975CA7">
      <w:pPr>
        <w:contextualSpacing/>
        <w:rPr>
          <w:rFonts w:eastAsiaTheme="minorEastAsia" w:cstheme="minorHAnsi"/>
        </w:rPr>
      </w:pPr>
      <w:r w:rsidRPr="00691D17">
        <w:rPr>
          <w:rFonts w:eastAsiaTheme="minorEastAsia" w:cstheme="minorHAnsi"/>
        </w:rPr>
        <w:t xml:space="preserve">where Obesity is the variable of </w:t>
      </w:r>
      <w:proofErr w:type="gramStart"/>
      <w:r w:rsidRPr="00691D17">
        <w:rPr>
          <w:rFonts w:eastAsiaTheme="minorEastAsia" w:cstheme="minorHAnsi"/>
        </w:rPr>
        <w:t>interest;</w:t>
      </w:r>
      <w:proofErr w:type="gramEnd"/>
    </w:p>
    <w:p w14:paraId="2EED9FEB" w14:textId="77777777" w:rsidR="00B60AE9" w:rsidRPr="00691D17" w:rsidRDefault="00041385" w:rsidP="00975CA7">
      <w:pPr>
        <w:ind w:left="720" w:firstLine="720"/>
        <w:contextualSpacing/>
        <w:rPr>
          <w:rFonts w:eastAsiaTheme="minorEastAsia" w:cstheme="minorHAnsi"/>
          <w:iCs/>
        </w:rPr>
      </w:pPr>
      <m:oMathPara>
        <m:oMathParaPr>
          <m:jc m:val="left"/>
        </m:oMathPara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 xml:space="preserve"> </m:t>
          </m:r>
          <m:r>
            <m:rPr>
              <m:sty m:val="p"/>
            </m:rPr>
            <w:rPr>
              <w:rFonts w:ascii="Cambria Math" w:hAnsi="Cambria Math" w:cstheme="minorHAnsi"/>
            </w:rPr>
            <m:t>is the interecept, or constant offset term;</m:t>
          </m:r>
        </m:oMath>
      </m:oMathPara>
    </w:p>
    <w:p w14:paraId="6D1CC48C" w14:textId="77777777" w:rsidR="00B60AE9" w:rsidRPr="00691D17" w:rsidRDefault="00041385" w:rsidP="00975CA7">
      <w:pPr>
        <w:ind w:left="720" w:firstLine="720"/>
        <w:contextualSpacing/>
        <w:rPr>
          <w:rFonts w:eastAsiaTheme="minorEastAsia" w:cstheme="minorHAnsi"/>
          <w:iCs/>
        </w:rPr>
      </w:pPr>
      <m:oMathPara>
        <m:oMathParaPr>
          <m:jc m:val="left"/>
        </m:oMathParaPr>
        <m:oMath>
          <m:sSub>
            <m:sSubPr>
              <m:ctrlPr>
                <w:rPr>
                  <w:rFonts w:ascii="Cambria Math" w:hAnsi="Cambria Math" w:cstheme="minorHAnsi"/>
                  <w:i/>
                </w:rPr>
              </m:ctrlPr>
            </m:sSubPr>
            <m:e>
              <m:r>
                <w:rPr>
                  <w:rFonts w:ascii="Cambria Math" w:hAnsi="Cambria Math" w:cstheme="minorHAnsi"/>
                </w:rPr>
                <m:t>β</m:t>
              </m:r>
            </m:e>
            <m:sub>
              <m:d>
                <m:dPr>
                  <m:ctrlPr>
                    <w:rPr>
                      <w:rFonts w:ascii="Cambria Math" w:hAnsi="Cambria Math" w:cstheme="minorHAnsi"/>
                      <w:i/>
                    </w:rPr>
                  </m:ctrlPr>
                </m:dPr>
                <m:e>
                  <m:r>
                    <w:rPr>
                      <w:rFonts w:ascii="Cambria Math" w:hAnsi="Cambria Math" w:cstheme="minorHAnsi"/>
                    </w:rPr>
                    <m:t>1 to i</m:t>
                  </m:r>
                </m:e>
              </m:d>
            </m:sub>
          </m:sSub>
          <m:r>
            <w:rPr>
              <w:rFonts w:ascii="Cambria Math" w:hAnsi="Cambria Math" w:cstheme="minorHAnsi"/>
            </w:rPr>
            <m:t xml:space="preserve"> </m:t>
          </m:r>
          <m:r>
            <m:rPr>
              <m:sty m:val="p"/>
            </m:rPr>
            <w:rPr>
              <w:rFonts w:ascii="Cambria Math" w:hAnsi="Cambria Math" w:cstheme="minorHAnsi"/>
            </w:rPr>
            <m:t>is the regression coefficient;and</m:t>
          </m:r>
        </m:oMath>
      </m:oMathPara>
    </w:p>
    <w:p w14:paraId="5CE32143" w14:textId="0C7F7C91" w:rsidR="00B40659" w:rsidRDefault="00B60AE9" w:rsidP="00975CA7">
      <w:pPr>
        <w:ind w:firstLine="720"/>
        <w:contextualSpacing/>
        <w:rPr>
          <w:rFonts w:eastAsiaTheme="minorEastAsia" w:cstheme="minorHAnsi"/>
          <w:iCs/>
        </w:rPr>
      </w:pPr>
      <w:r w:rsidRPr="00691D17">
        <w:rPr>
          <w:rFonts w:eastAsiaTheme="minorEastAsia" w:cstheme="minorHAnsi"/>
          <w:iCs/>
        </w:rPr>
        <w:t>ɛ is the error factor associated with each regression coefficient.</w:t>
      </w:r>
    </w:p>
    <w:p w14:paraId="11DA8911" w14:textId="77777777" w:rsidR="005B3920" w:rsidRDefault="005B3920" w:rsidP="00975CA7">
      <w:pPr>
        <w:ind w:firstLine="720"/>
        <w:contextualSpacing/>
        <w:rPr>
          <w:rFonts w:eastAsiaTheme="minorEastAsia" w:cstheme="minorHAnsi"/>
          <w:iCs/>
        </w:rPr>
      </w:pPr>
    </w:p>
    <w:p w14:paraId="24F09633" w14:textId="7642D63F" w:rsidR="00B60AE9" w:rsidRPr="00574A18" w:rsidRDefault="00B60AE9" w:rsidP="002466CA">
      <w:pPr>
        <w:spacing w:line="480" w:lineRule="auto"/>
        <w:ind w:firstLine="720"/>
        <w:contextualSpacing/>
        <w:rPr>
          <w:rFonts w:cstheme="minorHAnsi"/>
        </w:rPr>
      </w:pPr>
      <w:r w:rsidRPr="00691D17">
        <w:rPr>
          <w:rFonts w:eastAsiaTheme="minorEastAsia" w:cstheme="minorHAnsi"/>
          <w:iCs/>
        </w:rPr>
        <w:t xml:space="preserve">The variable that provides the largest differences of results for childhood obesity rates is race. The four categories for race are Black, Hispanic, White, and Asian. There are many reasons why race takes on such a large role in obesity rates, and Davis goes into detail about the different causes in </w:t>
      </w:r>
      <w:r w:rsidRPr="00691D17">
        <w:rPr>
          <w:rFonts w:eastAsiaTheme="minorEastAsia" w:cstheme="minorHAnsi"/>
          <w:i/>
        </w:rPr>
        <w:t>Racial Disparities in Childhood Obesity: Causes, Consequences, and Solutions</w:t>
      </w:r>
      <w:r w:rsidRPr="00691D17">
        <w:rPr>
          <w:rFonts w:eastAsiaTheme="minorEastAsia" w:cstheme="minorHAnsi"/>
          <w:iCs/>
        </w:rPr>
        <w:t>. The three main categories are outlined as school-based causes, neighborhood-based causes, and family-based causes (</w:t>
      </w:r>
      <w:r>
        <w:rPr>
          <w:rFonts w:eastAsiaTheme="minorEastAsia" w:cstheme="minorHAnsi"/>
          <w:iCs/>
        </w:rPr>
        <w:t>Davis, 2011</w:t>
      </w:r>
      <w:r w:rsidRPr="00691D17">
        <w:rPr>
          <w:rFonts w:eastAsiaTheme="minorEastAsia" w:cstheme="minorHAnsi"/>
          <w:iCs/>
        </w:rPr>
        <w:t xml:space="preserve">). School-based causes include the National School Lunch Program, which is accessed by Black and Hispanic children more than </w:t>
      </w:r>
      <w:r w:rsidR="002466CA">
        <w:rPr>
          <w:rFonts w:eastAsiaTheme="minorEastAsia" w:cstheme="minorHAnsi"/>
          <w:iCs/>
        </w:rPr>
        <w:t>W</w:t>
      </w:r>
      <w:r w:rsidRPr="00691D17">
        <w:rPr>
          <w:rFonts w:eastAsiaTheme="minorEastAsia" w:cstheme="minorHAnsi"/>
          <w:iCs/>
        </w:rPr>
        <w:t>hite and Asian students. “A government study found that eighty-five percent of elementary schools and eighty-seven percent of secondary schools exceeded the requirements for saturated fat” (Davis, 2011,</w:t>
      </w:r>
      <w:r>
        <w:rPr>
          <w:rFonts w:eastAsiaTheme="minorEastAsia" w:cstheme="minorHAnsi"/>
          <w:iCs/>
        </w:rPr>
        <w:t xml:space="preserve"> p.</w:t>
      </w:r>
      <w:r w:rsidRPr="00691D17">
        <w:rPr>
          <w:rFonts w:eastAsiaTheme="minorEastAsia" w:cstheme="minorHAnsi"/>
          <w:iCs/>
        </w:rPr>
        <w:t xml:space="preserve"> 324). The lunches being provided to</w:t>
      </w:r>
      <w:r w:rsidR="002466CA">
        <w:rPr>
          <w:rFonts w:eastAsiaTheme="minorEastAsia" w:cstheme="minorHAnsi"/>
          <w:iCs/>
        </w:rPr>
        <w:t xml:space="preserve"> the low-income</w:t>
      </w:r>
      <w:r w:rsidRPr="00691D17">
        <w:rPr>
          <w:rFonts w:eastAsiaTheme="minorEastAsia" w:cstheme="minorHAnsi"/>
          <w:iCs/>
        </w:rPr>
        <w:t xml:space="preserve"> students who rely on them the most</w:t>
      </w:r>
      <w:r w:rsidR="002466CA">
        <w:rPr>
          <w:rFonts w:eastAsiaTheme="minorEastAsia" w:cstheme="minorHAnsi"/>
          <w:iCs/>
        </w:rPr>
        <w:t xml:space="preserve"> </w:t>
      </w:r>
      <w:r w:rsidRPr="00691D17">
        <w:rPr>
          <w:rFonts w:eastAsiaTheme="minorEastAsia" w:cstheme="minorHAnsi"/>
          <w:iCs/>
        </w:rPr>
        <w:t xml:space="preserve">are not balanced meals. </w:t>
      </w:r>
      <w:r w:rsidRPr="00691D17">
        <w:rPr>
          <w:rFonts w:cstheme="minorHAnsi"/>
        </w:rPr>
        <w:t xml:space="preserve">Anderson and Butcher cite the rise of vending machines in schools as an additional source of building unhealthy eating habits, referencing that schools that </w:t>
      </w:r>
      <w:r w:rsidR="00574A18">
        <w:rPr>
          <w:rFonts w:cstheme="minorHAnsi"/>
        </w:rPr>
        <w:t>are lower income</w:t>
      </w:r>
      <w:r w:rsidRPr="00691D17">
        <w:rPr>
          <w:rFonts w:cstheme="minorHAnsi"/>
        </w:rPr>
        <w:t xml:space="preserve"> can use the income from these treats to supplement their budget (2006). In addition to unhealthy food options, schools have decreased their requirements for physical education. “One study found that schools with a high minority population reported offering significantly fewer minutes of P.E. class per week as compared to schools with a high white population” (Davis, 2011, </w:t>
      </w:r>
      <w:r w:rsidR="00B40659">
        <w:rPr>
          <w:rFonts w:cstheme="minorHAnsi"/>
        </w:rPr>
        <w:t xml:space="preserve">p. </w:t>
      </w:r>
      <w:r w:rsidRPr="00691D17">
        <w:rPr>
          <w:rFonts w:cstheme="minorHAnsi"/>
        </w:rPr>
        <w:t>326). In addition to the lack of healthy options at school, “Food availability varies greatly between neighborhoods along both socioeconomic and racial lines” (Davis, 2011,</w:t>
      </w:r>
      <w:r>
        <w:rPr>
          <w:rFonts w:cstheme="minorHAnsi"/>
        </w:rPr>
        <w:t xml:space="preserve"> p. </w:t>
      </w:r>
      <w:r w:rsidRPr="00691D17">
        <w:rPr>
          <w:rFonts w:cstheme="minorHAnsi"/>
        </w:rPr>
        <w:t xml:space="preserve">328). Minority children </w:t>
      </w:r>
      <w:r w:rsidRPr="00691D17">
        <w:rPr>
          <w:rFonts w:cstheme="minorHAnsi"/>
        </w:rPr>
        <w:lastRenderedPageBreak/>
        <w:t xml:space="preserve">generally have more media exposure than </w:t>
      </w:r>
      <w:r w:rsidR="00574A18">
        <w:rPr>
          <w:rFonts w:cstheme="minorHAnsi"/>
        </w:rPr>
        <w:t>W</w:t>
      </w:r>
      <w:r w:rsidRPr="00691D17">
        <w:rPr>
          <w:rFonts w:cstheme="minorHAnsi"/>
        </w:rPr>
        <w:t>hite children, which means more access to advertisements (</w:t>
      </w:r>
      <w:r>
        <w:rPr>
          <w:rFonts w:cstheme="minorHAnsi"/>
        </w:rPr>
        <w:t>Davis</w:t>
      </w:r>
      <w:r w:rsidR="00B40659">
        <w:rPr>
          <w:rFonts w:cstheme="minorHAnsi"/>
        </w:rPr>
        <w:t>, 2011, p. 329</w:t>
      </w:r>
      <w:r w:rsidRPr="00691D17">
        <w:rPr>
          <w:rFonts w:cstheme="minorHAnsi"/>
        </w:rPr>
        <w:t xml:space="preserve">). Children are a very vulnerable group for advertising, and they are a group that is targeted by marketers because of it. Many advertisements for children are for food or candy, so viewing more of these is likely to influence children to want the food or candy being advertised. There are many reasons why race is affecting obesity rates, leading unhealthy consumption habits to be learned and reinforced in Black and Hispanic children as they grow at a much higher rate than </w:t>
      </w:r>
      <w:r w:rsidR="003E2854">
        <w:rPr>
          <w:rFonts w:cstheme="minorHAnsi"/>
        </w:rPr>
        <w:t>W</w:t>
      </w:r>
      <w:r w:rsidRPr="00691D17">
        <w:rPr>
          <w:rFonts w:cstheme="minorHAnsi"/>
        </w:rPr>
        <w:t xml:space="preserve">hite or Asian children.  </w:t>
      </w:r>
    </w:p>
    <w:p w14:paraId="3CBEF626" w14:textId="5E8E1E88" w:rsidR="00B60AE9" w:rsidRPr="00691D17" w:rsidRDefault="00B60AE9" w:rsidP="00975CA7">
      <w:pPr>
        <w:spacing w:line="480" w:lineRule="auto"/>
        <w:ind w:firstLine="720"/>
        <w:contextualSpacing/>
        <w:rPr>
          <w:rFonts w:eastAsiaTheme="minorEastAsia" w:cstheme="minorHAnsi"/>
          <w:iCs/>
        </w:rPr>
      </w:pPr>
      <w:r w:rsidRPr="00691D17">
        <w:rPr>
          <w:rFonts w:eastAsiaTheme="minorEastAsia" w:cstheme="minorHAnsi"/>
          <w:iCs/>
        </w:rPr>
        <w:t xml:space="preserve">The second variable is </w:t>
      </w:r>
      <w:r w:rsidR="00574A18">
        <w:rPr>
          <w:rFonts w:eastAsiaTheme="minorEastAsia" w:cstheme="minorHAnsi"/>
          <w:iCs/>
        </w:rPr>
        <w:t>a</w:t>
      </w:r>
      <w:r w:rsidRPr="00691D17">
        <w:rPr>
          <w:rFonts w:eastAsiaTheme="minorEastAsia" w:cstheme="minorHAnsi"/>
          <w:iCs/>
        </w:rPr>
        <w:t xml:space="preserve">ge, which has three categories: Age 2-5, Age 6-11, and Age 12-19. The largest jump in obesity rate is between the </w:t>
      </w:r>
      <w:r w:rsidR="00574A18">
        <w:rPr>
          <w:rFonts w:eastAsiaTheme="minorEastAsia" w:cstheme="minorHAnsi"/>
          <w:iCs/>
        </w:rPr>
        <w:t xml:space="preserve">age 2 to </w:t>
      </w:r>
      <w:r w:rsidRPr="00691D17">
        <w:rPr>
          <w:rFonts w:eastAsiaTheme="minorEastAsia" w:cstheme="minorHAnsi"/>
          <w:iCs/>
        </w:rPr>
        <w:t>5 category and</w:t>
      </w:r>
      <w:r w:rsidR="002466CA">
        <w:rPr>
          <w:rFonts w:eastAsiaTheme="minorEastAsia" w:cstheme="minorHAnsi"/>
          <w:iCs/>
        </w:rPr>
        <w:t xml:space="preserve"> the</w:t>
      </w:r>
      <w:r w:rsidR="00574A18">
        <w:rPr>
          <w:rFonts w:eastAsiaTheme="minorEastAsia" w:cstheme="minorHAnsi"/>
          <w:iCs/>
        </w:rPr>
        <w:t xml:space="preserve"> age</w:t>
      </w:r>
      <w:r w:rsidRPr="00691D17">
        <w:rPr>
          <w:rFonts w:eastAsiaTheme="minorEastAsia" w:cstheme="minorHAnsi"/>
          <w:iCs/>
        </w:rPr>
        <w:t xml:space="preserve"> 6</w:t>
      </w:r>
      <w:r w:rsidR="00574A18">
        <w:rPr>
          <w:rFonts w:eastAsiaTheme="minorEastAsia" w:cstheme="minorHAnsi"/>
          <w:iCs/>
        </w:rPr>
        <w:t xml:space="preserve"> to </w:t>
      </w:r>
      <w:r w:rsidRPr="00691D17">
        <w:rPr>
          <w:rFonts w:eastAsiaTheme="minorEastAsia" w:cstheme="minorHAnsi"/>
          <w:iCs/>
        </w:rPr>
        <w:t xml:space="preserve">11 category. There are a few differences between the two categories—young children may be naturally more active and pickier compared to older kids. </w:t>
      </w:r>
      <w:r w:rsidR="003E2854">
        <w:rPr>
          <w:rFonts w:eastAsiaTheme="minorEastAsia" w:cstheme="minorHAnsi"/>
          <w:iCs/>
        </w:rPr>
        <w:t>For children entering elementary school around age 5-6, their days are often scheduled to include more time being sedentary</w:t>
      </w:r>
      <w:r w:rsidRPr="00691D17">
        <w:rPr>
          <w:rFonts w:eastAsiaTheme="minorEastAsia" w:cstheme="minorHAnsi"/>
          <w:iCs/>
        </w:rPr>
        <w:t>. Pressure</w:t>
      </w:r>
      <w:r w:rsidR="003E2854">
        <w:rPr>
          <w:rFonts w:eastAsiaTheme="minorEastAsia" w:cstheme="minorHAnsi"/>
          <w:iCs/>
        </w:rPr>
        <w:t xml:space="preserve"> on schools</w:t>
      </w:r>
      <w:r w:rsidRPr="00691D17">
        <w:rPr>
          <w:rFonts w:eastAsiaTheme="minorEastAsia" w:cstheme="minorHAnsi"/>
          <w:iCs/>
        </w:rPr>
        <w:t xml:space="preserve"> to have higher test scores means kids are sitting and studying instead of having recess and physical education (Anderson &amp; Butcher, 2006). The food offered in school is also referenced when looking at the differences in obesity rate between different races and is a factor for the rising rate of obesity in school children overall. In older children, the ability to buy snacks from vending machines and the lack of any break times such as recess to be outside could also contribute to the building of habits that lead to obesity. As children get older, parents may take less of a role in helping them making decisions. “Research has confirmed that parental oversight of consumption habits can decrease a child’s likelihood of becoming overweight or obese” (Allen, 2011, </w:t>
      </w:r>
      <w:r>
        <w:rPr>
          <w:rFonts w:eastAsiaTheme="minorEastAsia" w:cstheme="minorHAnsi"/>
          <w:iCs/>
        </w:rPr>
        <w:t xml:space="preserve">p. </w:t>
      </w:r>
      <w:r w:rsidRPr="00691D17">
        <w:rPr>
          <w:rFonts w:eastAsiaTheme="minorEastAsia" w:cstheme="minorHAnsi"/>
          <w:iCs/>
        </w:rPr>
        <w:t xml:space="preserve">329). As children make their own choices about what to consume, they can be susceptible to their environment, particularly if they do not have parental guidance. </w:t>
      </w:r>
    </w:p>
    <w:p w14:paraId="4FB8FB07" w14:textId="07C9021C" w:rsidR="00B60AE9" w:rsidRDefault="00B60AE9" w:rsidP="00975CA7">
      <w:pPr>
        <w:spacing w:line="480" w:lineRule="auto"/>
        <w:ind w:firstLine="720"/>
        <w:contextualSpacing/>
        <w:rPr>
          <w:rFonts w:eastAsiaTheme="minorEastAsia" w:cstheme="minorHAnsi"/>
          <w:iCs/>
        </w:rPr>
      </w:pPr>
      <w:r w:rsidRPr="00691D17">
        <w:rPr>
          <w:rFonts w:eastAsiaTheme="minorEastAsia" w:cstheme="minorHAnsi"/>
          <w:iCs/>
        </w:rPr>
        <w:t>The last factor</w:t>
      </w:r>
      <w:r>
        <w:rPr>
          <w:rFonts w:eastAsiaTheme="minorEastAsia" w:cstheme="minorHAnsi"/>
          <w:iCs/>
        </w:rPr>
        <w:t xml:space="preserve"> examined</w:t>
      </w:r>
      <w:r w:rsidRPr="00691D17">
        <w:rPr>
          <w:rFonts w:eastAsiaTheme="minorEastAsia" w:cstheme="minorHAnsi"/>
          <w:iCs/>
        </w:rPr>
        <w:t xml:space="preserve"> is sex, which has a less impactful difference on the rates of childhood obesity, but still provides meaningful information, particularly when it is </w:t>
      </w:r>
      <w:r w:rsidR="003E2854">
        <w:rPr>
          <w:rFonts w:eastAsiaTheme="minorEastAsia" w:cstheme="minorHAnsi"/>
          <w:iCs/>
        </w:rPr>
        <w:t>evaluated</w:t>
      </w:r>
      <w:r w:rsidRPr="00691D17">
        <w:rPr>
          <w:rFonts w:eastAsiaTheme="minorEastAsia" w:cstheme="minorHAnsi"/>
          <w:iCs/>
        </w:rPr>
        <w:t xml:space="preserve"> at in combination with adult obesity rates by sex. One key difference is in activity levels. “Overweight boys were </w:t>
      </w:r>
      <w:r w:rsidRPr="00691D17">
        <w:rPr>
          <w:rFonts w:eastAsiaTheme="minorEastAsia" w:cstheme="minorHAnsi"/>
          <w:iCs/>
        </w:rPr>
        <w:lastRenderedPageBreak/>
        <w:t>significantly less active than those who were non-overweight. However, no significant differences were found between overweight and non-overweight girls” (</w:t>
      </w:r>
      <w:r>
        <w:rPr>
          <w:rFonts w:eastAsiaTheme="minorEastAsia" w:cstheme="minorHAnsi"/>
          <w:iCs/>
        </w:rPr>
        <w:t>Sharma &amp; Ickes, 2008</w:t>
      </w:r>
      <w:r w:rsidRPr="00691D17">
        <w:rPr>
          <w:rFonts w:eastAsiaTheme="minorEastAsia" w:cstheme="minorHAnsi"/>
          <w:iCs/>
        </w:rPr>
        <w:t xml:space="preserve">, </w:t>
      </w:r>
      <w:r>
        <w:rPr>
          <w:rFonts w:eastAsiaTheme="minorEastAsia" w:cstheme="minorHAnsi"/>
          <w:iCs/>
        </w:rPr>
        <w:t xml:space="preserve">p. </w:t>
      </w:r>
      <w:r w:rsidRPr="00691D17">
        <w:rPr>
          <w:rFonts w:eastAsiaTheme="minorEastAsia" w:cstheme="minorHAnsi"/>
          <w:iCs/>
        </w:rPr>
        <w:t>42). Boys and girls may have similar rates of obesity as children, but they are impacted by different factors. The higher rates for obesity in boys can be associated partially with the lower amounts of exercise being offered to children in schools. Boys who struggled socially were more likely to be less active and overweight (</w:t>
      </w:r>
      <w:r>
        <w:rPr>
          <w:rFonts w:eastAsiaTheme="minorEastAsia" w:cstheme="minorHAnsi"/>
          <w:iCs/>
        </w:rPr>
        <w:t>Sharma &amp; Ickes, 2008</w:t>
      </w:r>
      <w:r w:rsidRPr="00691D17">
        <w:rPr>
          <w:rFonts w:eastAsiaTheme="minorEastAsia" w:cstheme="minorHAnsi"/>
          <w:iCs/>
        </w:rPr>
        <w:t xml:space="preserve">). For girls, there is a correlation between socioeconomic status and obesity, which is more pronounced in minorities (Hiatt et al., </w:t>
      </w:r>
      <w:r>
        <w:rPr>
          <w:rFonts w:eastAsiaTheme="minorEastAsia" w:cstheme="minorHAnsi"/>
          <w:iCs/>
        </w:rPr>
        <w:t>2007</w:t>
      </w:r>
      <w:r w:rsidRPr="00691D17">
        <w:rPr>
          <w:rFonts w:eastAsiaTheme="minorEastAsia" w:cstheme="minorHAnsi"/>
          <w:iCs/>
        </w:rPr>
        <w:t>)</w:t>
      </w:r>
      <w:r>
        <w:rPr>
          <w:rFonts w:eastAsiaTheme="minorEastAsia" w:cstheme="minorHAnsi"/>
          <w:iCs/>
        </w:rPr>
        <w:t xml:space="preserve">. Although the rates are not drastically different between boys and girls with obesity, it is important to examine </w:t>
      </w:r>
      <w:proofErr w:type="gramStart"/>
      <w:r w:rsidR="003E2854">
        <w:rPr>
          <w:rFonts w:eastAsiaTheme="minorEastAsia" w:cstheme="minorHAnsi"/>
          <w:iCs/>
        </w:rPr>
        <w:t>in order to</w:t>
      </w:r>
      <w:proofErr w:type="gramEnd"/>
      <w:r>
        <w:rPr>
          <w:rFonts w:eastAsiaTheme="minorEastAsia" w:cstheme="minorHAnsi"/>
          <w:iCs/>
        </w:rPr>
        <w:t xml:space="preserve"> understand that different environmental factors may be impacting boys and girls in different ways. </w:t>
      </w:r>
    </w:p>
    <w:p w14:paraId="456290BD" w14:textId="5484C4CE" w:rsidR="005B3920" w:rsidRPr="005B3920" w:rsidRDefault="005B3920" w:rsidP="00975CA7">
      <w:pPr>
        <w:spacing w:line="480" w:lineRule="auto"/>
        <w:contextualSpacing/>
        <w:jc w:val="center"/>
        <w:rPr>
          <w:rFonts w:eastAsiaTheme="minorEastAsia" w:cstheme="minorHAnsi"/>
          <w:b/>
          <w:bCs/>
          <w:iCs/>
        </w:rPr>
      </w:pPr>
      <w:r>
        <w:rPr>
          <w:rFonts w:eastAsiaTheme="minorEastAsia" w:cstheme="minorHAnsi"/>
          <w:b/>
          <w:bCs/>
          <w:iCs/>
        </w:rPr>
        <w:t>Results</w:t>
      </w:r>
    </w:p>
    <w:p w14:paraId="729A6D2B" w14:textId="77777777" w:rsidR="00B60AE9" w:rsidRDefault="00B60AE9" w:rsidP="00975CA7">
      <w:pPr>
        <w:spacing w:line="480" w:lineRule="auto"/>
        <w:contextualSpacing/>
        <w:rPr>
          <w:rFonts w:eastAsiaTheme="minorEastAsia" w:cstheme="minorHAnsi"/>
          <w:b/>
          <w:bCs/>
          <w:iCs/>
        </w:rPr>
      </w:pPr>
      <w:r>
        <w:rPr>
          <w:rFonts w:eastAsiaTheme="minorEastAsia" w:cstheme="minorHAnsi"/>
          <w:b/>
          <w:bCs/>
          <w:iCs/>
        </w:rPr>
        <w:t>Characteristics of Table 1</w:t>
      </w:r>
    </w:p>
    <w:p w14:paraId="477B4952" w14:textId="5884F92A" w:rsidR="005B3920" w:rsidRDefault="00B60AE9" w:rsidP="00975CA7">
      <w:pPr>
        <w:spacing w:line="480" w:lineRule="auto"/>
        <w:ind w:firstLine="720"/>
        <w:contextualSpacing/>
        <w:rPr>
          <w:rFonts w:cstheme="minorHAnsi"/>
        </w:rPr>
      </w:pPr>
      <w:r>
        <w:rPr>
          <w:rFonts w:cstheme="minorHAnsi"/>
        </w:rPr>
        <w:t xml:space="preserve">In Table 1, the characteristics of the sample population of 5,386 children age 2-19 from the 2015-2016 </w:t>
      </w:r>
      <w:r w:rsidRPr="00691D17">
        <w:rPr>
          <w:rFonts w:cstheme="minorHAnsi"/>
          <w:i/>
          <w:iCs/>
        </w:rPr>
        <w:t>National Health and Nutrition Examination</w:t>
      </w:r>
      <w:r w:rsidRPr="00691D17">
        <w:rPr>
          <w:rFonts w:cstheme="minorHAnsi"/>
        </w:rPr>
        <w:t xml:space="preserve"> </w:t>
      </w:r>
      <w:r>
        <w:rPr>
          <w:rFonts w:cstheme="minorHAnsi"/>
        </w:rPr>
        <w:t xml:space="preserve">survey are shown by race. </w:t>
      </w:r>
    </w:p>
    <w:p w14:paraId="049339DD" w14:textId="36FC1078" w:rsidR="004B384A" w:rsidRPr="00975CA7" w:rsidRDefault="004B384A" w:rsidP="00975CA7">
      <w:pPr>
        <w:spacing w:line="480" w:lineRule="auto"/>
        <w:contextualSpacing/>
        <w:rPr>
          <w:rFonts w:cstheme="minorHAnsi"/>
          <w:b/>
          <w:bCs/>
        </w:rPr>
      </w:pPr>
      <w:r w:rsidRPr="00975CA7">
        <w:rPr>
          <w:rFonts w:cstheme="minorHAnsi"/>
          <w:b/>
          <w:bCs/>
        </w:rPr>
        <w:t>Table 1</w:t>
      </w:r>
    </w:p>
    <w:p w14:paraId="1F1F7B60" w14:textId="0057B813" w:rsidR="004B384A" w:rsidRDefault="004B384A" w:rsidP="00975CA7">
      <w:pPr>
        <w:spacing w:line="240" w:lineRule="auto"/>
        <w:contextualSpacing/>
        <w:rPr>
          <w:rFonts w:cstheme="minorHAnsi"/>
          <w:i/>
          <w:iCs/>
        </w:rPr>
      </w:pPr>
      <w:r>
        <w:rPr>
          <w:rFonts w:cstheme="minorHAnsi"/>
          <w:i/>
          <w:iCs/>
        </w:rPr>
        <w:t>Characteristics of 5,386 Survey Respondents by Classification</w:t>
      </w:r>
    </w:p>
    <w:p w14:paraId="403D4F06" w14:textId="77777777" w:rsidR="00975CA7" w:rsidRPr="00C07AD3" w:rsidRDefault="00975CA7" w:rsidP="00975CA7">
      <w:pPr>
        <w:spacing w:line="240" w:lineRule="auto"/>
        <w:contextualSpacing/>
        <w:rPr>
          <w:rFonts w:cstheme="minorHAnsi"/>
          <w:i/>
          <w:iCs/>
        </w:rPr>
      </w:pPr>
    </w:p>
    <w:tbl>
      <w:tblPr>
        <w:tblStyle w:val="TableGrid"/>
        <w:tblW w:w="9540" w:type="dxa"/>
        <w:tblInd w:w="-180" w:type="dxa"/>
        <w:tblLook w:val="04A0" w:firstRow="1" w:lastRow="0" w:firstColumn="1" w:lastColumn="0" w:noHBand="0" w:noVBand="1"/>
      </w:tblPr>
      <w:tblGrid>
        <w:gridCol w:w="1599"/>
        <w:gridCol w:w="1516"/>
        <w:gridCol w:w="1336"/>
        <w:gridCol w:w="1512"/>
        <w:gridCol w:w="1337"/>
        <w:gridCol w:w="1332"/>
        <w:gridCol w:w="908"/>
      </w:tblGrid>
      <w:tr w:rsidR="004B384A" w14:paraId="54E54653" w14:textId="77777777" w:rsidTr="008655AD">
        <w:trPr>
          <w:trHeight w:val="935"/>
        </w:trPr>
        <w:tc>
          <w:tcPr>
            <w:tcW w:w="1599" w:type="dxa"/>
            <w:tcBorders>
              <w:left w:val="nil"/>
              <w:bottom w:val="single" w:sz="4" w:space="0" w:color="auto"/>
              <w:right w:val="nil"/>
            </w:tcBorders>
          </w:tcPr>
          <w:p w14:paraId="15CCCC2C" w14:textId="77777777" w:rsidR="004B384A" w:rsidRDefault="004B384A" w:rsidP="00975CA7">
            <w:pPr>
              <w:contextualSpacing/>
              <w:jc w:val="center"/>
              <w:rPr>
                <w:rFonts w:cstheme="minorHAnsi"/>
                <w:b/>
                <w:bCs/>
              </w:rPr>
            </w:pPr>
          </w:p>
          <w:p w14:paraId="6CC17399" w14:textId="77777777" w:rsidR="004B384A" w:rsidRDefault="004B384A" w:rsidP="00975CA7">
            <w:pPr>
              <w:contextualSpacing/>
              <w:jc w:val="center"/>
              <w:rPr>
                <w:rFonts w:cstheme="minorHAnsi"/>
                <w:b/>
                <w:bCs/>
              </w:rPr>
            </w:pPr>
          </w:p>
          <w:p w14:paraId="547C9696" w14:textId="77777777" w:rsidR="004B384A" w:rsidRPr="00D130CF" w:rsidRDefault="004B384A" w:rsidP="00975CA7">
            <w:pPr>
              <w:contextualSpacing/>
              <w:jc w:val="center"/>
              <w:rPr>
                <w:rFonts w:cstheme="minorHAnsi"/>
                <w:b/>
                <w:bCs/>
              </w:rPr>
            </w:pPr>
            <w:r w:rsidRPr="00D130CF">
              <w:rPr>
                <w:rFonts w:cstheme="minorHAnsi"/>
                <w:b/>
                <w:bCs/>
              </w:rPr>
              <w:t>Variable</w:t>
            </w:r>
          </w:p>
        </w:tc>
        <w:tc>
          <w:tcPr>
            <w:tcW w:w="1516" w:type="dxa"/>
            <w:tcBorders>
              <w:left w:val="nil"/>
              <w:bottom w:val="single" w:sz="4" w:space="0" w:color="auto"/>
              <w:right w:val="nil"/>
            </w:tcBorders>
          </w:tcPr>
          <w:p w14:paraId="4AA9E8CF" w14:textId="77777777" w:rsidR="004B384A" w:rsidRPr="00D130CF" w:rsidRDefault="004B384A" w:rsidP="00975CA7">
            <w:pPr>
              <w:contextualSpacing/>
              <w:jc w:val="center"/>
              <w:rPr>
                <w:rFonts w:cstheme="minorHAnsi"/>
                <w:b/>
                <w:bCs/>
              </w:rPr>
            </w:pPr>
            <w:r w:rsidRPr="00D130CF">
              <w:rPr>
                <w:rFonts w:cstheme="minorHAnsi"/>
                <w:b/>
                <w:bCs/>
              </w:rPr>
              <w:t>Population N (%)</w:t>
            </w:r>
          </w:p>
          <w:p w14:paraId="735531C0" w14:textId="77777777" w:rsidR="004B384A" w:rsidRDefault="004B384A" w:rsidP="00975CA7">
            <w:pPr>
              <w:contextualSpacing/>
              <w:jc w:val="center"/>
              <w:rPr>
                <w:rFonts w:cstheme="minorHAnsi"/>
              </w:rPr>
            </w:pPr>
            <w:r w:rsidRPr="00D130CF">
              <w:rPr>
                <w:rFonts w:cstheme="minorHAnsi"/>
                <w:b/>
                <w:bCs/>
              </w:rPr>
              <w:t>(N=5386)</w:t>
            </w:r>
          </w:p>
        </w:tc>
        <w:tc>
          <w:tcPr>
            <w:tcW w:w="1336" w:type="dxa"/>
            <w:tcBorders>
              <w:left w:val="nil"/>
              <w:bottom w:val="single" w:sz="4" w:space="0" w:color="auto"/>
              <w:right w:val="nil"/>
            </w:tcBorders>
          </w:tcPr>
          <w:p w14:paraId="266289D0" w14:textId="77777777" w:rsidR="004B384A" w:rsidRPr="00D130CF" w:rsidRDefault="004B384A" w:rsidP="00975CA7">
            <w:pPr>
              <w:contextualSpacing/>
              <w:jc w:val="center"/>
              <w:rPr>
                <w:rFonts w:cstheme="minorHAnsi"/>
                <w:b/>
                <w:bCs/>
              </w:rPr>
            </w:pPr>
            <w:r w:rsidRPr="00D130CF">
              <w:rPr>
                <w:rFonts w:cstheme="minorHAnsi"/>
                <w:b/>
                <w:bCs/>
              </w:rPr>
              <w:t>Race: Black n (%) (n=1211)</w:t>
            </w:r>
          </w:p>
        </w:tc>
        <w:tc>
          <w:tcPr>
            <w:tcW w:w="1512" w:type="dxa"/>
            <w:tcBorders>
              <w:left w:val="nil"/>
              <w:bottom w:val="single" w:sz="4" w:space="0" w:color="auto"/>
              <w:right w:val="nil"/>
            </w:tcBorders>
          </w:tcPr>
          <w:p w14:paraId="2D4DBC2B" w14:textId="77777777" w:rsidR="004B384A" w:rsidRDefault="004B384A" w:rsidP="00975CA7">
            <w:pPr>
              <w:contextualSpacing/>
              <w:jc w:val="center"/>
              <w:rPr>
                <w:rFonts w:cstheme="minorHAnsi"/>
                <w:b/>
                <w:bCs/>
              </w:rPr>
            </w:pPr>
            <w:r w:rsidRPr="00D130CF">
              <w:rPr>
                <w:rFonts w:cstheme="minorHAnsi"/>
                <w:b/>
                <w:bCs/>
              </w:rPr>
              <w:t xml:space="preserve">Race: Hispanic n (%) </w:t>
            </w:r>
          </w:p>
          <w:p w14:paraId="1A387BAA" w14:textId="77777777" w:rsidR="004B384A" w:rsidRPr="00D130CF" w:rsidRDefault="004B384A" w:rsidP="00975CA7">
            <w:pPr>
              <w:contextualSpacing/>
              <w:jc w:val="center"/>
              <w:rPr>
                <w:rFonts w:cstheme="minorHAnsi"/>
                <w:b/>
                <w:bCs/>
              </w:rPr>
            </w:pPr>
            <w:r w:rsidRPr="00D130CF">
              <w:rPr>
                <w:rFonts w:cstheme="minorHAnsi"/>
                <w:b/>
                <w:bCs/>
              </w:rPr>
              <w:t>(n=1837)</w:t>
            </w:r>
          </w:p>
        </w:tc>
        <w:tc>
          <w:tcPr>
            <w:tcW w:w="1337" w:type="dxa"/>
            <w:tcBorders>
              <w:left w:val="nil"/>
              <w:bottom w:val="single" w:sz="4" w:space="0" w:color="auto"/>
              <w:right w:val="nil"/>
            </w:tcBorders>
          </w:tcPr>
          <w:p w14:paraId="03ECEB86" w14:textId="77777777" w:rsidR="004B384A" w:rsidRDefault="004B384A" w:rsidP="00975CA7">
            <w:pPr>
              <w:contextualSpacing/>
              <w:jc w:val="center"/>
              <w:rPr>
                <w:rFonts w:cstheme="minorHAnsi"/>
                <w:b/>
                <w:bCs/>
              </w:rPr>
            </w:pPr>
            <w:r w:rsidRPr="00D130CF">
              <w:rPr>
                <w:rFonts w:cstheme="minorHAnsi"/>
                <w:b/>
                <w:bCs/>
              </w:rPr>
              <w:t xml:space="preserve">Race: White </w:t>
            </w:r>
          </w:p>
          <w:p w14:paraId="33142116" w14:textId="77777777" w:rsidR="004B384A" w:rsidRDefault="004B384A" w:rsidP="00975CA7">
            <w:pPr>
              <w:contextualSpacing/>
              <w:jc w:val="center"/>
              <w:rPr>
                <w:rFonts w:cstheme="minorHAnsi"/>
                <w:b/>
                <w:bCs/>
              </w:rPr>
            </w:pPr>
            <w:r w:rsidRPr="00D130CF">
              <w:rPr>
                <w:rFonts w:cstheme="minorHAnsi"/>
                <w:b/>
                <w:bCs/>
              </w:rPr>
              <w:t xml:space="preserve">n (%) </w:t>
            </w:r>
          </w:p>
          <w:p w14:paraId="264625AE" w14:textId="77777777" w:rsidR="004B384A" w:rsidRPr="00D130CF" w:rsidRDefault="004B384A" w:rsidP="00975CA7">
            <w:pPr>
              <w:contextualSpacing/>
              <w:jc w:val="center"/>
              <w:rPr>
                <w:rFonts w:cstheme="minorHAnsi"/>
                <w:b/>
                <w:bCs/>
              </w:rPr>
            </w:pPr>
            <w:r w:rsidRPr="00D130CF">
              <w:rPr>
                <w:rFonts w:cstheme="minorHAnsi"/>
                <w:b/>
                <w:bCs/>
              </w:rPr>
              <w:t>(n=1745)</w:t>
            </w:r>
          </w:p>
        </w:tc>
        <w:tc>
          <w:tcPr>
            <w:tcW w:w="1332" w:type="dxa"/>
            <w:tcBorders>
              <w:left w:val="nil"/>
              <w:bottom w:val="single" w:sz="4" w:space="0" w:color="auto"/>
              <w:right w:val="nil"/>
            </w:tcBorders>
          </w:tcPr>
          <w:p w14:paraId="6C205222" w14:textId="77777777" w:rsidR="004B384A" w:rsidRDefault="004B384A" w:rsidP="00975CA7">
            <w:pPr>
              <w:contextualSpacing/>
              <w:jc w:val="center"/>
              <w:rPr>
                <w:rFonts w:cstheme="minorHAnsi"/>
                <w:b/>
                <w:bCs/>
              </w:rPr>
            </w:pPr>
            <w:r w:rsidRPr="00D130CF">
              <w:rPr>
                <w:rFonts w:cstheme="minorHAnsi"/>
                <w:b/>
                <w:bCs/>
              </w:rPr>
              <w:t xml:space="preserve">Race: Asian </w:t>
            </w:r>
          </w:p>
          <w:p w14:paraId="2EFBDEF5" w14:textId="77777777" w:rsidR="004B384A" w:rsidRDefault="004B384A" w:rsidP="00975CA7">
            <w:pPr>
              <w:contextualSpacing/>
              <w:jc w:val="center"/>
              <w:rPr>
                <w:rFonts w:cstheme="minorHAnsi"/>
                <w:b/>
                <w:bCs/>
              </w:rPr>
            </w:pPr>
            <w:r w:rsidRPr="00D130CF">
              <w:rPr>
                <w:rFonts w:cstheme="minorHAnsi"/>
                <w:b/>
                <w:bCs/>
              </w:rPr>
              <w:t xml:space="preserve">n (%) </w:t>
            </w:r>
          </w:p>
          <w:p w14:paraId="0FA5398B" w14:textId="77777777" w:rsidR="004B384A" w:rsidRPr="00D130CF" w:rsidRDefault="004B384A" w:rsidP="00975CA7">
            <w:pPr>
              <w:contextualSpacing/>
              <w:jc w:val="center"/>
              <w:rPr>
                <w:rFonts w:cstheme="minorHAnsi"/>
                <w:b/>
                <w:bCs/>
              </w:rPr>
            </w:pPr>
            <w:r w:rsidRPr="00D130CF">
              <w:rPr>
                <w:rFonts w:cstheme="minorHAnsi"/>
                <w:b/>
                <w:bCs/>
              </w:rPr>
              <w:t>(n=593)</w:t>
            </w:r>
          </w:p>
        </w:tc>
        <w:tc>
          <w:tcPr>
            <w:tcW w:w="908" w:type="dxa"/>
            <w:tcBorders>
              <w:left w:val="nil"/>
              <w:bottom w:val="single" w:sz="4" w:space="0" w:color="auto"/>
              <w:right w:val="nil"/>
            </w:tcBorders>
          </w:tcPr>
          <w:p w14:paraId="509D497C" w14:textId="77777777" w:rsidR="004B384A" w:rsidRDefault="004B384A" w:rsidP="00975CA7">
            <w:pPr>
              <w:contextualSpacing/>
              <w:jc w:val="center"/>
              <w:rPr>
                <w:rFonts w:cstheme="minorHAnsi"/>
                <w:b/>
                <w:bCs/>
                <w:i/>
                <w:iCs/>
              </w:rPr>
            </w:pPr>
          </w:p>
          <w:p w14:paraId="3D18F888" w14:textId="77777777" w:rsidR="004B384A" w:rsidRDefault="004B384A" w:rsidP="00975CA7">
            <w:pPr>
              <w:contextualSpacing/>
              <w:jc w:val="center"/>
              <w:rPr>
                <w:rFonts w:cstheme="minorHAnsi"/>
                <w:b/>
                <w:bCs/>
                <w:i/>
                <w:iCs/>
              </w:rPr>
            </w:pPr>
          </w:p>
          <w:p w14:paraId="0203551F" w14:textId="77777777" w:rsidR="004B384A" w:rsidRPr="00D130CF" w:rsidRDefault="004B384A" w:rsidP="00975CA7">
            <w:pPr>
              <w:contextualSpacing/>
              <w:jc w:val="center"/>
              <w:rPr>
                <w:rFonts w:cstheme="minorHAnsi"/>
                <w:b/>
                <w:bCs/>
              </w:rPr>
            </w:pPr>
            <w:r w:rsidRPr="00D130CF">
              <w:rPr>
                <w:rFonts w:cstheme="minorHAnsi"/>
                <w:b/>
                <w:bCs/>
                <w:i/>
                <w:iCs/>
              </w:rPr>
              <w:t xml:space="preserve">p </w:t>
            </w:r>
            <w:r w:rsidRPr="00D130CF">
              <w:rPr>
                <w:rFonts w:cstheme="minorHAnsi"/>
                <w:b/>
                <w:bCs/>
              </w:rPr>
              <w:t>value</w:t>
            </w:r>
          </w:p>
        </w:tc>
      </w:tr>
      <w:tr w:rsidR="004B384A" w14:paraId="2B423C8B" w14:textId="77777777" w:rsidTr="008655AD">
        <w:tc>
          <w:tcPr>
            <w:tcW w:w="1599" w:type="dxa"/>
            <w:tcBorders>
              <w:top w:val="single" w:sz="4" w:space="0" w:color="auto"/>
              <w:left w:val="nil"/>
              <w:bottom w:val="nil"/>
              <w:right w:val="nil"/>
            </w:tcBorders>
          </w:tcPr>
          <w:p w14:paraId="7AC7C39B" w14:textId="77777777" w:rsidR="004B384A" w:rsidRPr="00D130CF" w:rsidRDefault="004B384A" w:rsidP="00975CA7">
            <w:pPr>
              <w:contextualSpacing/>
              <w:rPr>
                <w:rFonts w:cstheme="minorHAnsi"/>
                <w:u w:val="single"/>
              </w:rPr>
            </w:pPr>
            <w:r w:rsidRPr="00D130CF">
              <w:rPr>
                <w:rFonts w:cstheme="minorHAnsi"/>
                <w:u w:val="single"/>
              </w:rPr>
              <w:t>Sex</w:t>
            </w:r>
          </w:p>
          <w:p w14:paraId="5CA7FFE7" w14:textId="77777777" w:rsidR="004B384A" w:rsidRDefault="004B384A" w:rsidP="00975CA7">
            <w:pPr>
              <w:contextualSpacing/>
              <w:rPr>
                <w:rFonts w:cstheme="minorHAnsi"/>
              </w:rPr>
            </w:pPr>
            <w:r>
              <w:rPr>
                <w:rFonts w:cstheme="minorHAnsi"/>
              </w:rPr>
              <w:t xml:space="preserve">  Male (1)</w:t>
            </w:r>
          </w:p>
          <w:p w14:paraId="34111EA8" w14:textId="77777777" w:rsidR="004B384A" w:rsidRDefault="004B384A" w:rsidP="00975CA7">
            <w:pPr>
              <w:contextualSpacing/>
              <w:rPr>
                <w:rFonts w:cstheme="minorHAnsi"/>
              </w:rPr>
            </w:pPr>
            <w:r>
              <w:rPr>
                <w:rFonts w:cstheme="minorHAnsi"/>
              </w:rPr>
              <w:t xml:space="preserve">  Female (2)</w:t>
            </w:r>
          </w:p>
        </w:tc>
        <w:tc>
          <w:tcPr>
            <w:tcW w:w="1516" w:type="dxa"/>
            <w:tcBorders>
              <w:top w:val="single" w:sz="4" w:space="0" w:color="auto"/>
              <w:left w:val="nil"/>
              <w:bottom w:val="nil"/>
              <w:right w:val="nil"/>
            </w:tcBorders>
          </w:tcPr>
          <w:p w14:paraId="0FD1CF6D" w14:textId="77777777" w:rsidR="004B384A" w:rsidRDefault="004B384A" w:rsidP="00975CA7">
            <w:pPr>
              <w:contextualSpacing/>
              <w:rPr>
                <w:rFonts w:cstheme="minorHAnsi"/>
              </w:rPr>
            </w:pPr>
          </w:p>
          <w:p w14:paraId="7F0F4B81" w14:textId="77777777" w:rsidR="004B384A" w:rsidRDefault="004B384A" w:rsidP="00975CA7">
            <w:pPr>
              <w:contextualSpacing/>
              <w:rPr>
                <w:rFonts w:cstheme="minorHAnsi"/>
              </w:rPr>
            </w:pPr>
            <w:r>
              <w:rPr>
                <w:rFonts w:cstheme="minorHAnsi"/>
              </w:rPr>
              <w:t>2,741 (50.9%)</w:t>
            </w:r>
          </w:p>
          <w:p w14:paraId="08D09BF0" w14:textId="77777777" w:rsidR="004B384A" w:rsidRDefault="004B384A" w:rsidP="00975CA7">
            <w:pPr>
              <w:contextualSpacing/>
              <w:rPr>
                <w:rFonts w:cstheme="minorHAnsi"/>
              </w:rPr>
            </w:pPr>
            <w:r>
              <w:rPr>
                <w:rFonts w:cstheme="minorHAnsi"/>
              </w:rPr>
              <w:t>2645 (49.1%)</w:t>
            </w:r>
          </w:p>
        </w:tc>
        <w:tc>
          <w:tcPr>
            <w:tcW w:w="1336" w:type="dxa"/>
            <w:tcBorders>
              <w:top w:val="single" w:sz="4" w:space="0" w:color="auto"/>
              <w:left w:val="nil"/>
              <w:bottom w:val="nil"/>
              <w:right w:val="nil"/>
            </w:tcBorders>
          </w:tcPr>
          <w:p w14:paraId="45FAF445" w14:textId="77777777" w:rsidR="004B384A" w:rsidRDefault="004B384A" w:rsidP="00975CA7">
            <w:pPr>
              <w:contextualSpacing/>
              <w:rPr>
                <w:rFonts w:cstheme="minorHAnsi"/>
              </w:rPr>
            </w:pPr>
          </w:p>
          <w:p w14:paraId="4779C9BE" w14:textId="77777777" w:rsidR="004B384A" w:rsidRDefault="004B384A" w:rsidP="00975CA7">
            <w:pPr>
              <w:contextualSpacing/>
              <w:rPr>
                <w:rFonts w:cstheme="minorHAnsi"/>
              </w:rPr>
            </w:pPr>
            <w:r>
              <w:rPr>
                <w:rFonts w:cstheme="minorHAnsi"/>
              </w:rPr>
              <w:t>609 (50.3%)</w:t>
            </w:r>
          </w:p>
          <w:p w14:paraId="263D4D39" w14:textId="77777777" w:rsidR="004B384A" w:rsidRDefault="004B384A" w:rsidP="00975CA7">
            <w:pPr>
              <w:contextualSpacing/>
              <w:rPr>
                <w:rFonts w:cstheme="minorHAnsi"/>
              </w:rPr>
            </w:pPr>
            <w:r>
              <w:rPr>
                <w:rFonts w:cstheme="minorHAnsi"/>
              </w:rPr>
              <w:t>602 (49.7%)</w:t>
            </w:r>
          </w:p>
        </w:tc>
        <w:tc>
          <w:tcPr>
            <w:tcW w:w="1512" w:type="dxa"/>
            <w:tcBorders>
              <w:top w:val="single" w:sz="4" w:space="0" w:color="auto"/>
              <w:left w:val="nil"/>
              <w:bottom w:val="nil"/>
              <w:right w:val="nil"/>
            </w:tcBorders>
          </w:tcPr>
          <w:p w14:paraId="18C85D53" w14:textId="77777777" w:rsidR="004B384A" w:rsidRDefault="004B384A" w:rsidP="00975CA7">
            <w:pPr>
              <w:contextualSpacing/>
              <w:rPr>
                <w:rFonts w:cstheme="minorHAnsi"/>
              </w:rPr>
            </w:pPr>
          </w:p>
          <w:p w14:paraId="59B0F5EB" w14:textId="77777777" w:rsidR="004B384A" w:rsidRDefault="004B384A" w:rsidP="00975CA7">
            <w:pPr>
              <w:contextualSpacing/>
              <w:rPr>
                <w:rFonts w:cstheme="minorHAnsi"/>
              </w:rPr>
            </w:pPr>
            <w:r>
              <w:rPr>
                <w:rFonts w:cstheme="minorHAnsi"/>
              </w:rPr>
              <w:t>934 (50.8%)</w:t>
            </w:r>
          </w:p>
          <w:p w14:paraId="74D71E1F" w14:textId="77777777" w:rsidR="004B384A" w:rsidRDefault="004B384A" w:rsidP="00975CA7">
            <w:pPr>
              <w:contextualSpacing/>
              <w:rPr>
                <w:rFonts w:cstheme="minorHAnsi"/>
              </w:rPr>
            </w:pPr>
            <w:r>
              <w:rPr>
                <w:rFonts w:cstheme="minorHAnsi"/>
              </w:rPr>
              <w:t>903 (49.2%)</w:t>
            </w:r>
          </w:p>
        </w:tc>
        <w:tc>
          <w:tcPr>
            <w:tcW w:w="1337" w:type="dxa"/>
            <w:tcBorders>
              <w:top w:val="single" w:sz="4" w:space="0" w:color="auto"/>
              <w:left w:val="nil"/>
              <w:bottom w:val="nil"/>
              <w:right w:val="nil"/>
            </w:tcBorders>
          </w:tcPr>
          <w:p w14:paraId="7BAB7EB9" w14:textId="77777777" w:rsidR="004B384A" w:rsidRDefault="004B384A" w:rsidP="00975CA7">
            <w:pPr>
              <w:contextualSpacing/>
              <w:rPr>
                <w:rFonts w:cstheme="minorHAnsi"/>
              </w:rPr>
            </w:pPr>
          </w:p>
          <w:p w14:paraId="7D297BF6" w14:textId="77777777" w:rsidR="004B384A" w:rsidRDefault="004B384A" w:rsidP="00975CA7">
            <w:pPr>
              <w:contextualSpacing/>
              <w:rPr>
                <w:rFonts w:cstheme="minorHAnsi"/>
              </w:rPr>
            </w:pPr>
            <w:r>
              <w:rPr>
                <w:rFonts w:cstheme="minorHAnsi"/>
              </w:rPr>
              <w:t>891 (51.1%)</w:t>
            </w:r>
          </w:p>
          <w:p w14:paraId="3B8576D7" w14:textId="77777777" w:rsidR="004B384A" w:rsidRDefault="004B384A" w:rsidP="00975CA7">
            <w:pPr>
              <w:contextualSpacing/>
              <w:rPr>
                <w:rFonts w:cstheme="minorHAnsi"/>
              </w:rPr>
            </w:pPr>
            <w:r>
              <w:rPr>
                <w:rFonts w:cstheme="minorHAnsi"/>
              </w:rPr>
              <w:t>854 (48.9%)</w:t>
            </w:r>
          </w:p>
        </w:tc>
        <w:tc>
          <w:tcPr>
            <w:tcW w:w="1332" w:type="dxa"/>
            <w:tcBorders>
              <w:top w:val="single" w:sz="4" w:space="0" w:color="auto"/>
              <w:left w:val="nil"/>
              <w:bottom w:val="nil"/>
              <w:right w:val="nil"/>
            </w:tcBorders>
          </w:tcPr>
          <w:p w14:paraId="0A2CF44B" w14:textId="77777777" w:rsidR="004B384A" w:rsidRDefault="004B384A" w:rsidP="00975CA7">
            <w:pPr>
              <w:contextualSpacing/>
              <w:rPr>
                <w:rFonts w:cstheme="minorHAnsi"/>
              </w:rPr>
            </w:pPr>
          </w:p>
          <w:p w14:paraId="79A4A115" w14:textId="77777777" w:rsidR="004B384A" w:rsidRDefault="004B384A" w:rsidP="00975CA7">
            <w:pPr>
              <w:contextualSpacing/>
              <w:rPr>
                <w:rFonts w:cstheme="minorHAnsi"/>
              </w:rPr>
            </w:pPr>
            <w:r>
              <w:rPr>
                <w:rFonts w:cstheme="minorHAnsi"/>
              </w:rPr>
              <w:t>307 (51.8%)</w:t>
            </w:r>
          </w:p>
          <w:p w14:paraId="3BC4998A" w14:textId="77777777" w:rsidR="004B384A" w:rsidRDefault="004B384A" w:rsidP="00975CA7">
            <w:pPr>
              <w:contextualSpacing/>
              <w:rPr>
                <w:rFonts w:cstheme="minorHAnsi"/>
              </w:rPr>
            </w:pPr>
            <w:r>
              <w:rPr>
                <w:rFonts w:cstheme="minorHAnsi"/>
              </w:rPr>
              <w:t>286 (48.2%)</w:t>
            </w:r>
          </w:p>
        </w:tc>
        <w:tc>
          <w:tcPr>
            <w:tcW w:w="908" w:type="dxa"/>
            <w:tcBorders>
              <w:top w:val="single" w:sz="4" w:space="0" w:color="auto"/>
              <w:left w:val="nil"/>
              <w:bottom w:val="nil"/>
              <w:right w:val="nil"/>
            </w:tcBorders>
          </w:tcPr>
          <w:p w14:paraId="0043272B" w14:textId="77777777" w:rsidR="004B384A" w:rsidRDefault="004B384A" w:rsidP="00975CA7">
            <w:pPr>
              <w:contextualSpacing/>
              <w:rPr>
                <w:rFonts w:cstheme="minorHAnsi"/>
              </w:rPr>
            </w:pPr>
            <w:r>
              <w:rPr>
                <w:rFonts w:cstheme="minorHAnsi"/>
              </w:rPr>
              <w:t>&lt;.0001</w:t>
            </w:r>
          </w:p>
        </w:tc>
      </w:tr>
      <w:tr w:rsidR="004B384A" w14:paraId="7D04457F" w14:textId="77777777" w:rsidTr="00AB293A">
        <w:tc>
          <w:tcPr>
            <w:tcW w:w="1599" w:type="dxa"/>
            <w:tcBorders>
              <w:top w:val="nil"/>
              <w:left w:val="nil"/>
              <w:bottom w:val="single" w:sz="4" w:space="0" w:color="auto"/>
              <w:right w:val="nil"/>
            </w:tcBorders>
          </w:tcPr>
          <w:p w14:paraId="27196283" w14:textId="77777777" w:rsidR="004B384A" w:rsidRPr="00D130CF" w:rsidRDefault="004B384A" w:rsidP="00975CA7">
            <w:pPr>
              <w:contextualSpacing/>
              <w:rPr>
                <w:rFonts w:cstheme="minorHAnsi"/>
                <w:u w:val="single"/>
              </w:rPr>
            </w:pPr>
            <w:r w:rsidRPr="00D130CF">
              <w:rPr>
                <w:rFonts w:cstheme="minorHAnsi"/>
                <w:u w:val="single"/>
              </w:rPr>
              <w:t xml:space="preserve">Age </w:t>
            </w:r>
          </w:p>
          <w:p w14:paraId="13E4FE6E" w14:textId="77777777" w:rsidR="004B384A" w:rsidRDefault="004B384A" w:rsidP="00975CA7">
            <w:pPr>
              <w:contextualSpacing/>
              <w:rPr>
                <w:rFonts w:cstheme="minorHAnsi"/>
              </w:rPr>
            </w:pPr>
            <w:r>
              <w:rPr>
                <w:rFonts w:cstheme="minorHAnsi"/>
              </w:rPr>
              <w:t xml:space="preserve">  Age 2-5 (1)</w:t>
            </w:r>
          </w:p>
          <w:p w14:paraId="53017656" w14:textId="77777777" w:rsidR="004B384A" w:rsidRDefault="004B384A" w:rsidP="00975CA7">
            <w:pPr>
              <w:contextualSpacing/>
              <w:rPr>
                <w:rFonts w:cstheme="minorHAnsi"/>
              </w:rPr>
            </w:pPr>
            <w:r>
              <w:rPr>
                <w:rFonts w:cstheme="minorHAnsi"/>
              </w:rPr>
              <w:t xml:space="preserve">  Age 6-11 (2)</w:t>
            </w:r>
          </w:p>
          <w:p w14:paraId="7A2599CE" w14:textId="77777777" w:rsidR="004B384A" w:rsidRDefault="004B384A" w:rsidP="00975CA7">
            <w:pPr>
              <w:contextualSpacing/>
              <w:rPr>
                <w:rFonts w:cstheme="minorHAnsi"/>
              </w:rPr>
            </w:pPr>
            <w:r>
              <w:rPr>
                <w:rFonts w:cstheme="minorHAnsi"/>
              </w:rPr>
              <w:t xml:space="preserve">  Age 12-19 (3)</w:t>
            </w:r>
          </w:p>
        </w:tc>
        <w:tc>
          <w:tcPr>
            <w:tcW w:w="1516" w:type="dxa"/>
            <w:tcBorders>
              <w:top w:val="nil"/>
              <w:left w:val="nil"/>
              <w:bottom w:val="single" w:sz="4" w:space="0" w:color="auto"/>
              <w:right w:val="nil"/>
            </w:tcBorders>
          </w:tcPr>
          <w:p w14:paraId="0F8A6881" w14:textId="77777777" w:rsidR="004B384A" w:rsidRDefault="004B384A" w:rsidP="00975CA7">
            <w:pPr>
              <w:contextualSpacing/>
              <w:rPr>
                <w:rFonts w:cstheme="minorHAnsi"/>
              </w:rPr>
            </w:pPr>
          </w:p>
          <w:p w14:paraId="4BD7C94C" w14:textId="77777777" w:rsidR="004B384A" w:rsidRDefault="004B384A" w:rsidP="00975CA7">
            <w:pPr>
              <w:contextualSpacing/>
              <w:rPr>
                <w:rFonts w:cstheme="minorHAnsi"/>
              </w:rPr>
            </w:pPr>
            <w:r>
              <w:rPr>
                <w:rFonts w:cstheme="minorHAnsi"/>
              </w:rPr>
              <w:t>1,161 (21.6%)</w:t>
            </w:r>
          </w:p>
          <w:p w14:paraId="3052376F" w14:textId="77777777" w:rsidR="004B384A" w:rsidRDefault="004B384A" w:rsidP="00975CA7">
            <w:pPr>
              <w:contextualSpacing/>
              <w:rPr>
                <w:rFonts w:cstheme="minorHAnsi"/>
              </w:rPr>
            </w:pPr>
            <w:r>
              <w:rPr>
                <w:rFonts w:cstheme="minorHAnsi"/>
              </w:rPr>
              <w:t>1,803 (33.5%)</w:t>
            </w:r>
          </w:p>
          <w:p w14:paraId="5D257A75" w14:textId="77777777" w:rsidR="004B384A" w:rsidRDefault="004B384A" w:rsidP="00975CA7">
            <w:pPr>
              <w:contextualSpacing/>
              <w:rPr>
                <w:rFonts w:cstheme="minorHAnsi"/>
              </w:rPr>
            </w:pPr>
            <w:r>
              <w:rPr>
                <w:rFonts w:cstheme="minorHAnsi"/>
              </w:rPr>
              <w:t>2,422 (44.9%)</w:t>
            </w:r>
          </w:p>
        </w:tc>
        <w:tc>
          <w:tcPr>
            <w:tcW w:w="1336" w:type="dxa"/>
            <w:tcBorders>
              <w:top w:val="nil"/>
              <w:left w:val="nil"/>
              <w:bottom w:val="single" w:sz="4" w:space="0" w:color="auto"/>
              <w:right w:val="nil"/>
            </w:tcBorders>
          </w:tcPr>
          <w:p w14:paraId="01D7D23E" w14:textId="77777777" w:rsidR="004B384A" w:rsidRDefault="004B384A" w:rsidP="00975CA7">
            <w:pPr>
              <w:contextualSpacing/>
              <w:rPr>
                <w:rFonts w:cstheme="minorHAnsi"/>
              </w:rPr>
            </w:pPr>
          </w:p>
          <w:p w14:paraId="4FA9520A" w14:textId="77777777" w:rsidR="004B384A" w:rsidRDefault="004B384A" w:rsidP="00975CA7">
            <w:pPr>
              <w:contextualSpacing/>
              <w:rPr>
                <w:rFonts w:cstheme="minorHAnsi"/>
              </w:rPr>
            </w:pPr>
            <w:r>
              <w:rPr>
                <w:rFonts w:cstheme="minorHAnsi"/>
              </w:rPr>
              <w:t>261 (21.6%)</w:t>
            </w:r>
          </w:p>
          <w:p w14:paraId="2DBD2859" w14:textId="77777777" w:rsidR="004B384A" w:rsidRDefault="004B384A" w:rsidP="00975CA7">
            <w:pPr>
              <w:contextualSpacing/>
              <w:rPr>
                <w:rFonts w:cstheme="minorHAnsi"/>
              </w:rPr>
            </w:pPr>
            <w:r>
              <w:rPr>
                <w:rFonts w:cstheme="minorHAnsi"/>
              </w:rPr>
              <w:t>401 (33.1%)</w:t>
            </w:r>
          </w:p>
          <w:p w14:paraId="4CC1993A" w14:textId="77777777" w:rsidR="004B384A" w:rsidRDefault="004B384A" w:rsidP="00975CA7">
            <w:pPr>
              <w:contextualSpacing/>
              <w:rPr>
                <w:rFonts w:cstheme="minorHAnsi"/>
              </w:rPr>
            </w:pPr>
            <w:r>
              <w:rPr>
                <w:rFonts w:cstheme="minorHAnsi"/>
              </w:rPr>
              <w:t>549 (45.3%)</w:t>
            </w:r>
          </w:p>
        </w:tc>
        <w:tc>
          <w:tcPr>
            <w:tcW w:w="1512" w:type="dxa"/>
            <w:tcBorders>
              <w:top w:val="nil"/>
              <w:left w:val="nil"/>
              <w:bottom w:val="single" w:sz="4" w:space="0" w:color="auto"/>
              <w:right w:val="nil"/>
            </w:tcBorders>
          </w:tcPr>
          <w:p w14:paraId="3A201712" w14:textId="77777777" w:rsidR="004B384A" w:rsidRDefault="004B384A" w:rsidP="00975CA7">
            <w:pPr>
              <w:contextualSpacing/>
              <w:rPr>
                <w:rFonts w:cstheme="minorHAnsi"/>
              </w:rPr>
            </w:pPr>
          </w:p>
          <w:p w14:paraId="7C21CE93" w14:textId="77777777" w:rsidR="004B384A" w:rsidRDefault="004B384A" w:rsidP="00975CA7">
            <w:pPr>
              <w:contextualSpacing/>
              <w:rPr>
                <w:rFonts w:cstheme="minorHAnsi"/>
              </w:rPr>
            </w:pPr>
            <w:r>
              <w:rPr>
                <w:rFonts w:cstheme="minorHAnsi"/>
              </w:rPr>
              <w:t>423 (23.0%)</w:t>
            </w:r>
          </w:p>
          <w:p w14:paraId="37FED0B8" w14:textId="77777777" w:rsidR="004B384A" w:rsidRDefault="004B384A" w:rsidP="00975CA7">
            <w:pPr>
              <w:contextualSpacing/>
              <w:rPr>
                <w:rFonts w:cstheme="minorHAnsi"/>
              </w:rPr>
            </w:pPr>
            <w:r>
              <w:rPr>
                <w:rFonts w:cstheme="minorHAnsi"/>
              </w:rPr>
              <w:t>636 (34.6%)</w:t>
            </w:r>
          </w:p>
          <w:p w14:paraId="4599EB4D" w14:textId="77777777" w:rsidR="004B384A" w:rsidRDefault="004B384A" w:rsidP="00975CA7">
            <w:pPr>
              <w:contextualSpacing/>
              <w:rPr>
                <w:rFonts w:cstheme="minorHAnsi"/>
              </w:rPr>
            </w:pPr>
            <w:r>
              <w:rPr>
                <w:rFonts w:cstheme="minorHAnsi"/>
              </w:rPr>
              <w:t>778 (42.4%)</w:t>
            </w:r>
          </w:p>
        </w:tc>
        <w:tc>
          <w:tcPr>
            <w:tcW w:w="1337" w:type="dxa"/>
            <w:tcBorders>
              <w:top w:val="nil"/>
              <w:left w:val="nil"/>
              <w:bottom w:val="single" w:sz="4" w:space="0" w:color="auto"/>
              <w:right w:val="nil"/>
            </w:tcBorders>
          </w:tcPr>
          <w:p w14:paraId="3CE4B540" w14:textId="77777777" w:rsidR="004B384A" w:rsidRDefault="004B384A" w:rsidP="00975CA7">
            <w:pPr>
              <w:contextualSpacing/>
              <w:rPr>
                <w:rFonts w:cstheme="minorHAnsi"/>
              </w:rPr>
            </w:pPr>
          </w:p>
          <w:p w14:paraId="2D0A2EA5" w14:textId="77777777" w:rsidR="004B384A" w:rsidRDefault="004B384A" w:rsidP="00975CA7">
            <w:pPr>
              <w:contextualSpacing/>
              <w:rPr>
                <w:rFonts w:cstheme="minorHAnsi"/>
              </w:rPr>
            </w:pPr>
            <w:r>
              <w:rPr>
                <w:rFonts w:cstheme="minorHAnsi"/>
              </w:rPr>
              <w:t>350 (20.1%)</w:t>
            </w:r>
          </w:p>
          <w:p w14:paraId="7AAC33F9" w14:textId="77777777" w:rsidR="004B384A" w:rsidRDefault="004B384A" w:rsidP="00975CA7">
            <w:pPr>
              <w:contextualSpacing/>
              <w:rPr>
                <w:rFonts w:cstheme="minorHAnsi"/>
              </w:rPr>
            </w:pPr>
            <w:r>
              <w:rPr>
                <w:rFonts w:cstheme="minorHAnsi"/>
              </w:rPr>
              <w:t>569 (32.6%)</w:t>
            </w:r>
          </w:p>
          <w:p w14:paraId="3B52D4F6" w14:textId="77777777" w:rsidR="004B384A" w:rsidRDefault="004B384A" w:rsidP="00975CA7">
            <w:pPr>
              <w:contextualSpacing/>
              <w:rPr>
                <w:rFonts w:cstheme="minorHAnsi"/>
              </w:rPr>
            </w:pPr>
            <w:r>
              <w:rPr>
                <w:rFonts w:cstheme="minorHAnsi"/>
              </w:rPr>
              <w:t>826 (47.3%)</w:t>
            </w:r>
          </w:p>
        </w:tc>
        <w:tc>
          <w:tcPr>
            <w:tcW w:w="1332" w:type="dxa"/>
            <w:tcBorders>
              <w:top w:val="nil"/>
              <w:left w:val="nil"/>
              <w:bottom w:val="single" w:sz="4" w:space="0" w:color="auto"/>
              <w:right w:val="nil"/>
            </w:tcBorders>
          </w:tcPr>
          <w:p w14:paraId="73C0C4CB" w14:textId="77777777" w:rsidR="004B384A" w:rsidRDefault="004B384A" w:rsidP="00975CA7">
            <w:pPr>
              <w:contextualSpacing/>
              <w:rPr>
                <w:rFonts w:cstheme="minorHAnsi"/>
              </w:rPr>
            </w:pPr>
          </w:p>
          <w:p w14:paraId="454AA15F" w14:textId="77777777" w:rsidR="004B384A" w:rsidRDefault="004B384A" w:rsidP="00975CA7">
            <w:pPr>
              <w:contextualSpacing/>
              <w:rPr>
                <w:rFonts w:cstheme="minorHAnsi"/>
              </w:rPr>
            </w:pPr>
            <w:r>
              <w:rPr>
                <w:rFonts w:cstheme="minorHAnsi"/>
              </w:rPr>
              <w:t>127 (21.4%)</w:t>
            </w:r>
          </w:p>
          <w:p w14:paraId="5B1D9CA4" w14:textId="77777777" w:rsidR="004B384A" w:rsidRDefault="004B384A" w:rsidP="00975CA7">
            <w:pPr>
              <w:contextualSpacing/>
              <w:rPr>
                <w:rFonts w:cstheme="minorHAnsi"/>
              </w:rPr>
            </w:pPr>
            <w:r>
              <w:rPr>
                <w:rFonts w:cstheme="minorHAnsi"/>
              </w:rPr>
              <w:t>197 (33.2%)</w:t>
            </w:r>
          </w:p>
          <w:p w14:paraId="1A0F2555" w14:textId="77777777" w:rsidR="004B384A" w:rsidRDefault="004B384A" w:rsidP="00975CA7">
            <w:pPr>
              <w:contextualSpacing/>
              <w:rPr>
                <w:rFonts w:cstheme="minorHAnsi"/>
              </w:rPr>
            </w:pPr>
            <w:r>
              <w:rPr>
                <w:rFonts w:cstheme="minorHAnsi"/>
              </w:rPr>
              <w:t>269 (45.4%)</w:t>
            </w:r>
          </w:p>
        </w:tc>
        <w:tc>
          <w:tcPr>
            <w:tcW w:w="908" w:type="dxa"/>
            <w:tcBorders>
              <w:top w:val="nil"/>
              <w:left w:val="nil"/>
              <w:bottom w:val="single" w:sz="4" w:space="0" w:color="auto"/>
              <w:right w:val="nil"/>
            </w:tcBorders>
          </w:tcPr>
          <w:p w14:paraId="5217FAFB" w14:textId="77777777" w:rsidR="004B384A" w:rsidRDefault="004B384A" w:rsidP="00975CA7">
            <w:pPr>
              <w:contextualSpacing/>
              <w:rPr>
                <w:rFonts w:cstheme="minorHAnsi"/>
              </w:rPr>
            </w:pPr>
            <w:r>
              <w:rPr>
                <w:rFonts w:cstheme="minorHAnsi"/>
              </w:rPr>
              <w:t>&lt;.0001</w:t>
            </w:r>
          </w:p>
        </w:tc>
      </w:tr>
    </w:tbl>
    <w:p w14:paraId="05F72E09" w14:textId="77777777" w:rsidR="004B384A" w:rsidRDefault="004B384A" w:rsidP="00975CA7">
      <w:pPr>
        <w:spacing w:line="480" w:lineRule="auto"/>
        <w:ind w:firstLine="720"/>
        <w:contextualSpacing/>
        <w:rPr>
          <w:rFonts w:cstheme="minorHAnsi"/>
        </w:rPr>
      </w:pPr>
    </w:p>
    <w:p w14:paraId="0C960715" w14:textId="773CC526" w:rsidR="00B60AE9" w:rsidRDefault="00B60AE9" w:rsidP="00975CA7">
      <w:pPr>
        <w:spacing w:line="480" w:lineRule="auto"/>
        <w:ind w:firstLine="720"/>
        <w:contextualSpacing/>
        <w:rPr>
          <w:rFonts w:cstheme="minorHAnsi"/>
        </w:rPr>
      </w:pPr>
      <w:r>
        <w:rPr>
          <w:rFonts w:cstheme="minorHAnsi"/>
        </w:rPr>
        <w:t xml:space="preserve">The sample is distributed with 1,211 Black, 1,837 Hispanic, 1,745 White, and 593 Asian respondents. The distribution of male and female respondents does not vary from the population by a large margin, with the largest difference in Asian respondents with 51.8% male and 48.2% female </w:t>
      </w:r>
      <w:r>
        <w:rPr>
          <w:rFonts w:cstheme="minorHAnsi"/>
        </w:rPr>
        <w:lastRenderedPageBreak/>
        <w:t xml:space="preserve">compared with the population distribution of 50.9% male and 49.1% female. The variable of Age has more variation across Race. The sample population has 21.6% age 2-5, with the Hispanic respondents having a </w:t>
      </w:r>
      <w:r w:rsidR="003E2854">
        <w:rPr>
          <w:rFonts w:cstheme="minorHAnsi"/>
        </w:rPr>
        <w:t>proportionately higher number of respondents</w:t>
      </w:r>
      <w:r>
        <w:rPr>
          <w:rFonts w:cstheme="minorHAnsi"/>
        </w:rPr>
        <w:t xml:space="preserve"> of Age 2-5 (23.0%)</w:t>
      </w:r>
      <w:r w:rsidR="003E2854">
        <w:rPr>
          <w:rFonts w:cstheme="minorHAnsi"/>
        </w:rPr>
        <w:t xml:space="preserve"> than the population</w:t>
      </w:r>
      <w:r>
        <w:rPr>
          <w:rFonts w:cstheme="minorHAnsi"/>
        </w:rPr>
        <w:t xml:space="preserve"> and White respondents having a lower distribution (20.1%). Similarly, there is a higher distribution of age 6-11 with more Hispanic respondents (34.6%) than White respondents (32.6</w:t>
      </w:r>
      <w:r w:rsidR="003E2854">
        <w:rPr>
          <w:rFonts w:cstheme="minorHAnsi"/>
        </w:rPr>
        <w:t>%</w:t>
      </w:r>
      <w:r>
        <w:rPr>
          <w:rFonts w:cstheme="minorHAnsi"/>
        </w:rPr>
        <w:t>) as compared to the population (33.5%). This trend reverses in the Age 12-19 group, with Hispanic respondents having a lower proportion at 42.4% vs. White respondents at 47.3% (and the population at 44.9%). The Asian and Black respondents are close to the population distribution for all Ages. A statistically significant association exists between these variables and race at an α level of .05 (</w:t>
      </w:r>
      <w:r>
        <w:rPr>
          <w:rFonts w:cstheme="minorHAnsi"/>
          <w:i/>
          <w:iCs/>
        </w:rPr>
        <w:t>p</w:t>
      </w:r>
      <w:r>
        <w:rPr>
          <w:rFonts w:cstheme="minorHAnsi"/>
        </w:rPr>
        <w:t xml:space="preserve"> &lt;.0001).</w:t>
      </w:r>
    </w:p>
    <w:p w14:paraId="08E0B01C" w14:textId="15C959F0" w:rsidR="00B60AE9" w:rsidRDefault="00B60AE9" w:rsidP="00975CA7">
      <w:pPr>
        <w:spacing w:line="480" w:lineRule="auto"/>
        <w:contextualSpacing/>
        <w:rPr>
          <w:rFonts w:cstheme="minorHAnsi"/>
          <w:b/>
          <w:bCs/>
        </w:rPr>
      </w:pPr>
      <w:r>
        <w:rPr>
          <w:rFonts w:cstheme="minorHAnsi"/>
          <w:b/>
          <w:bCs/>
        </w:rPr>
        <w:t>Regression Analysis</w:t>
      </w:r>
    </w:p>
    <w:p w14:paraId="688C0535" w14:textId="00D02B00" w:rsidR="00B60AE9" w:rsidRDefault="00C06C86" w:rsidP="00975CA7">
      <w:pPr>
        <w:spacing w:line="480" w:lineRule="auto"/>
        <w:ind w:firstLine="720"/>
        <w:contextualSpacing/>
        <w:rPr>
          <w:rFonts w:eastAsiaTheme="minorEastAsia" w:cstheme="minorHAnsi"/>
        </w:rPr>
      </w:pPr>
      <w:r>
        <w:rPr>
          <w:rFonts w:cstheme="minorHAnsi"/>
        </w:rPr>
        <w:t xml:space="preserve">In order to decide if obesity rates have changed over time, one can examine the null hypothesis of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=0</m:t>
        </m:r>
      </m:oMath>
      <w:r w:rsidR="00B60AE9">
        <w:rPr>
          <w:rFonts w:eastAsiaTheme="minorEastAsia" w:cstheme="minorHAnsi"/>
        </w:rPr>
        <w:t xml:space="preserve"> </w:t>
      </w:r>
      <w:r w:rsidR="00EE47B1">
        <w:rPr>
          <w:rFonts w:eastAsiaTheme="minorEastAsia" w:cstheme="minorHAnsi"/>
        </w:rPr>
        <w:t xml:space="preserve">(there is no change over time in obesity rates) </w:t>
      </w:r>
      <w:r w:rsidR="00B60AE9">
        <w:rPr>
          <w:rFonts w:eastAsiaTheme="minorEastAsia" w:cstheme="minorHAnsi"/>
        </w:rPr>
        <w:t xml:space="preserve">while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≠0</m:t>
        </m:r>
      </m:oMath>
      <w:r w:rsidR="00EE47B1">
        <w:rPr>
          <w:rFonts w:eastAsiaTheme="minorEastAsia" w:cstheme="minorHAnsi"/>
        </w:rPr>
        <w:t>, with the alternative hypothesis being that there is a change in obesity rates over time.</w:t>
      </w:r>
      <w:r w:rsidR="00B60AE9">
        <w:rPr>
          <w:rFonts w:eastAsiaTheme="minorEastAsia" w:cstheme="minorHAnsi"/>
        </w:rPr>
        <w:t xml:space="preserve"> </w:t>
      </w:r>
      <w:r w:rsidR="00475F4A">
        <w:rPr>
          <w:rFonts w:eastAsiaTheme="minorEastAsia" w:cstheme="minorHAnsi"/>
        </w:rPr>
        <w:t xml:space="preserve">Figure 1 is a visual representation of the </w:t>
      </w:r>
      <w:r w:rsidR="00975CA7">
        <w:rPr>
          <w:rFonts w:eastAsiaTheme="minorEastAsia" w:cstheme="minorHAnsi"/>
        </w:rPr>
        <w:t>obesity rate in children (y%) plotted in relation to the number of years since 1971 (x), when the surveys began</w:t>
      </w:r>
      <w:r w:rsidR="00475F4A">
        <w:rPr>
          <w:rFonts w:eastAsiaTheme="minorEastAsia" w:cstheme="minorHAnsi"/>
        </w:rPr>
        <w:t xml:space="preserve">. </w:t>
      </w:r>
    </w:p>
    <w:p w14:paraId="0F4E3F20" w14:textId="486B6860" w:rsidR="00475F4A" w:rsidRDefault="00475F4A" w:rsidP="00975CA7">
      <w:pPr>
        <w:spacing w:line="480" w:lineRule="auto"/>
        <w:contextualSpacing/>
        <w:rPr>
          <w:rFonts w:eastAsiaTheme="minorEastAsia" w:cstheme="minorHAnsi"/>
          <w:b/>
          <w:bCs/>
        </w:rPr>
      </w:pPr>
      <w:r w:rsidRPr="00975CA7">
        <w:rPr>
          <w:rFonts w:eastAsiaTheme="minorEastAsia" w:cstheme="minorHAnsi"/>
          <w:b/>
          <w:bCs/>
        </w:rPr>
        <w:t>Figure 1</w:t>
      </w:r>
    </w:p>
    <w:p w14:paraId="5B901379" w14:textId="52FB4C2C" w:rsidR="005F4615" w:rsidRPr="005F4615" w:rsidRDefault="005F4615" w:rsidP="00975CA7">
      <w:pPr>
        <w:spacing w:line="480" w:lineRule="auto"/>
        <w:contextualSpacing/>
        <w:rPr>
          <w:rFonts w:eastAsiaTheme="minorEastAsia" w:cstheme="minorHAnsi"/>
          <w:i/>
          <w:iCs/>
        </w:rPr>
      </w:pPr>
      <w:r>
        <w:rPr>
          <w:rFonts w:eastAsiaTheme="minorEastAsia" w:cstheme="minorHAnsi"/>
          <w:i/>
          <w:iCs/>
        </w:rPr>
        <w:t>Childhood Obesity Rates</w:t>
      </w:r>
    </w:p>
    <w:p w14:paraId="03FE2A30" w14:textId="1848440B" w:rsidR="00BB1515" w:rsidRDefault="00BB1515" w:rsidP="00975CA7">
      <w:pPr>
        <w:spacing w:line="480" w:lineRule="auto"/>
        <w:contextualSpacing/>
        <w:rPr>
          <w:rFonts w:eastAsiaTheme="minorEastAsia" w:cstheme="minorHAnsi"/>
        </w:rPr>
      </w:pPr>
      <w:r>
        <w:rPr>
          <w:noProof/>
        </w:rPr>
        <w:drawing>
          <wp:inline distT="0" distB="0" distL="0" distR="0" wp14:anchorId="5C0DD44D" wp14:editId="4B2FEC70">
            <wp:extent cx="6115050" cy="2162175"/>
            <wp:effectExtent l="0" t="0" r="0" b="0"/>
            <wp:docPr id="7" name="Chart 7">
              <a:extLst xmlns:a="http://schemas.openxmlformats.org/drawingml/2006/main">
                <a:ext uri="{FF2B5EF4-FFF2-40B4-BE49-F238E27FC236}">
                  <a16:creationId xmlns:a16="http://schemas.microsoft.com/office/drawing/2014/main" id="{FE269BE4-4A23-4126-AE0B-47A270FF0B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73B176" w14:textId="4B6BC778" w:rsidR="00975CA7" w:rsidRDefault="00975CA7" w:rsidP="00975CA7">
      <w:pPr>
        <w:spacing w:line="480" w:lineRule="auto"/>
        <w:contextualSpacing/>
        <w:rPr>
          <w:rFonts w:eastAsiaTheme="minorEastAsia" w:cstheme="minorHAnsi"/>
        </w:rPr>
      </w:pPr>
      <w:r>
        <w:rPr>
          <w:rFonts w:eastAsiaTheme="minorEastAsia" w:cstheme="minorHAnsi"/>
        </w:rPr>
        <w:lastRenderedPageBreak/>
        <w:t>The table for the ANOVA for simple linear regression is below in Table 2, examining how the overall childhood obesity rate has changed over time, based on x being the number of years since 1971 when the studies began, and y being the childhood obesity rate (%).</w:t>
      </w:r>
    </w:p>
    <w:p w14:paraId="25985FB8" w14:textId="4D0A628E" w:rsidR="00345C6E" w:rsidRPr="005F4615" w:rsidRDefault="00345C6E" w:rsidP="00975CA7">
      <w:pPr>
        <w:spacing w:line="480" w:lineRule="auto"/>
        <w:contextualSpacing/>
        <w:rPr>
          <w:rFonts w:eastAsiaTheme="minorEastAsia" w:cstheme="minorHAnsi"/>
          <w:b/>
          <w:bCs/>
        </w:rPr>
      </w:pPr>
      <w:r w:rsidRPr="005F4615">
        <w:rPr>
          <w:rFonts w:eastAsiaTheme="minorEastAsia" w:cstheme="minorHAnsi"/>
          <w:b/>
          <w:bCs/>
        </w:rPr>
        <w:t>Table 2</w:t>
      </w:r>
    </w:p>
    <w:p w14:paraId="065F6397" w14:textId="3FCF2527" w:rsidR="00345C6E" w:rsidRPr="00345C6E" w:rsidRDefault="00345C6E" w:rsidP="00975CA7">
      <w:pPr>
        <w:spacing w:line="480" w:lineRule="auto"/>
        <w:contextualSpacing/>
        <w:rPr>
          <w:rFonts w:eastAsiaTheme="minorEastAsia" w:cstheme="minorHAnsi"/>
          <w:i/>
          <w:iCs/>
        </w:rPr>
      </w:pPr>
      <w:r>
        <w:rPr>
          <w:rFonts w:eastAsiaTheme="minorEastAsia" w:cstheme="minorHAnsi"/>
          <w:i/>
          <w:iCs/>
        </w:rPr>
        <w:t>ANOVA Table for Simple Linear Regression of Childhood Obesity Rate 1971-2016</w:t>
      </w:r>
    </w:p>
    <w:tbl>
      <w:tblPr>
        <w:tblStyle w:val="TableGrid"/>
        <w:tblW w:w="9630" w:type="dxa"/>
        <w:tblInd w:w="-180" w:type="dxa"/>
        <w:tblLook w:val="04A0" w:firstRow="1" w:lastRow="0" w:firstColumn="1" w:lastColumn="0" w:noHBand="0" w:noVBand="1"/>
      </w:tblPr>
      <w:tblGrid>
        <w:gridCol w:w="1980"/>
        <w:gridCol w:w="1800"/>
        <w:gridCol w:w="2160"/>
        <w:gridCol w:w="2160"/>
        <w:gridCol w:w="1530"/>
      </w:tblGrid>
      <w:tr w:rsidR="00345C6E" w14:paraId="4E7E49D9" w14:textId="77777777" w:rsidTr="005F4615">
        <w:trPr>
          <w:trHeight w:val="458"/>
        </w:trPr>
        <w:tc>
          <w:tcPr>
            <w:tcW w:w="1980" w:type="dxa"/>
            <w:tcBorders>
              <w:left w:val="nil"/>
              <w:bottom w:val="single" w:sz="4" w:space="0" w:color="auto"/>
              <w:right w:val="nil"/>
            </w:tcBorders>
          </w:tcPr>
          <w:p w14:paraId="672C0A18" w14:textId="001E4EA2" w:rsidR="00345C6E" w:rsidRPr="00D130CF" w:rsidRDefault="00345C6E" w:rsidP="00975CA7">
            <w:pPr>
              <w:contextualSpacing/>
              <w:jc w:val="center"/>
              <w:rPr>
                <w:rFonts w:cstheme="minorHAnsi"/>
                <w:b/>
                <w:bCs/>
              </w:rPr>
            </w:pPr>
            <w:r>
              <w:rPr>
                <w:rFonts w:cstheme="minorHAnsi"/>
                <w:b/>
                <w:bCs/>
              </w:rPr>
              <w:t>Source of Variation</w:t>
            </w:r>
          </w:p>
        </w:tc>
        <w:tc>
          <w:tcPr>
            <w:tcW w:w="1800" w:type="dxa"/>
            <w:tcBorders>
              <w:left w:val="nil"/>
              <w:bottom w:val="single" w:sz="4" w:space="0" w:color="auto"/>
              <w:right w:val="nil"/>
            </w:tcBorders>
          </w:tcPr>
          <w:p w14:paraId="5CE65925" w14:textId="69096EFD" w:rsidR="00345C6E" w:rsidRDefault="00345C6E" w:rsidP="00975CA7">
            <w:pPr>
              <w:contextualSpacing/>
              <w:jc w:val="center"/>
              <w:rPr>
                <w:rFonts w:cstheme="minorHAnsi"/>
              </w:rPr>
            </w:pPr>
            <w:r>
              <w:rPr>
                <w:rFonts w:cstheme="minorHAnsi"/>
                <w:b/>
                <w:bCs/>
              </w:rPr>
              <w:t>df</w:t>
            </w:r>
          </w:p>
        </w:tc>
        <w:tc>
          <w:tcPr>
            <w:tcW w:w="2160" w:type="dxa"/>
            <w:tcBorders>
              <w:left w:val="nil"/>
              <w:bottom w:val="single" w:sz="4" w:space="0" w:color="auto"/>
              <w:right w:val="nil"/>
            </w:tcBorders>
          </w:tcPr>
          <w:p w14:paraId="0BF6C54C" w14:textId="0CB026A5" w:rsidR="00345C6E" w:rsidRPr="00D130CF" w:rsidRDefault="00345C6E" w:rsidP="00975CA7">
            <w:pPr>
              <w:contextualSpacing/>
              <w:jc w:val="center"/>
              <w:rPr>
                <w:rFonts w:cstheme="minorHAnsi"/>
                <w:b/>
                <w:bCs/>
              </w:rPr>
            </w:pPr>
            <w:r>
              <w:rPr>
                <w:rFonts w:cstheme="minorHAnsi"/>
                <w:b/>
                <w:bCs/>
              </w:rPr>
              <w:t>Sum of Squares</w:t>
            </w:r>
          </w:p>
        </w:tc>
        <w:tc>
          <w:tcPr>
            <w:tcW w:w="2160" w:type="dxa"/>
            <w:tcBorders>
              <w:left w:val="nil"/>
              <w:bottom w:val="single" w:sz="4" w:space="0" w:color="auto"/>
              <w:right w:val="nil"/>
            </w:tcBorders>
          </w:tcPr>
          <w:p w14:paraId="183AC556" w14:textId="4763384F" w:rsidR="00345C6E" w:rsidRPr="00D130CF" w:rsidRDefault="00345C6E" w:rsidP="00975CA7">
            <w:pPr>
              <w:contextualSpacing/>
              <w:jc w:val="center"/>
              <w:rPr>
                <w:rFonts w:cstheme="minorHAnsi"/>
                <w:b/>
                <w:bCs/>
              </w:rPr>
            </w:pPr>
            <w:r>
              <w:rPr>
                <w:rFonts w:cstheme="minorHAnsi"/>
                <w:b/>
                <w:bCs/>
              </w:rPr>
              <w:t>Mean Square</w:t>
            </w:r>
          </w:p>
        </w:tc>
        <w:tc>
          <w:tcPr>
            <w:tcW w:w="1530" w:type="dxa"/>
            <w:tcBorders>
              <w:left w:val="nil"/>
              <w:bottom w:val="single" w:sz="4" w:space="0" w:color="auto"/>
              <w:right w:val="nil"/>
            </w:tcBorders>
          </w:tcPr>
          <w:p w14:paraId="193BB4E9" w14:textId="33A35A5B" w:rsidR="00345C6E" w:rsidRPr="00345C6E" w:rsidRDefault="00345C6E" w:rsidP="00975CA7">
            <w:pPr>
              <w:contextualSpacing/>
              <w:jc w:val="center"/>
              <w:rPr>
                <w:rFonts w:cstheme="minorHAnsi"/>
                <w:b/>
                <w:bCs/>
              </w:rPr>
            </w:pPr>
            <w:r>
              <w:rPr>
                <w:rFonts w:cstheme="minorHAnsi"/>
                <w:b/>
                <w:bCs/>
                <w:i/>
                <w:iCs/>
              </w:rPr>
              <w:t>f</w:t>
            </w:r>
          </w:p>
        </w:tc>
      </w:tr>
      <w:tr w:rsidR="00345C6E" w14:paraId="25FF5BF1" w14:textId="77777777" w:rsidTr="005F4615">
        <w:tc>
          <w:tcPr>
            <w:tcW w:w="1980" w:type="dxa"/>
            <w:tcBorders>
              <w:top w:val="single" w:sz="4" w:space="0" w:color="auto"/>
              <w:left w:val="nil"/>
              <w:bottom w:val="nil"/>
              <w:right w:val="nil"/>
            </w:tcBorders>
          </w:tcPr>
          <w:p w14:paraId="530589C3" w14:textId="1E10875C" w:rsidR="00345C6E" w:rsidRPr="00345C6E" w:rsidRDefault="00345C6E" w:rsidP="00975CA7">
            <w:pPr>
              <w:contextualSpacing/>
              <w:rPr>
                <w:rFonts w:cstheme="minorHAnsi"/>
              </w:rPr>
            </w:pPr>
            <w:r>
              <w:rPr>
                <w:rFonts w:cstheme="minorHAnsi"/>
              </w:rPr>
              <w:t>Regression</w:t>
            </w:r>
          </w:p>
        </w:tc>
        <w:tc>
          <w:tcPr>
            <w:tcW w:w="1800" w:type="dxa"/>
            <w:tcBorders>
              <w:top w:val="single" w:sz="4" w:space="0" w:color="auto"/>
              <w:left w:val="nil"/>
              <w:bottom w:val="nil"/>
              <w:right w:val="nil"/>
            </w:tcBorders>
          </w:tcPr>
          <w:p w14:paraId="1682E8B1" w14:textId="029F1252" w:rsidR="00345C6E" w:rsidRDefault="00345C6E" w:rsidP="00975CA7">
            <w:pPr>
              <w:contextualSpacing/>
              <w:jc w:val="center"/>
              <w:rPr>
                <w:rFonts w:cstheme="minorHAnsi"/>
              </w:rPr>
            </w:pPr>
            <w:r>
              <w:rPr>
                <w:rFonts w:cstheme="minorHAnsi"/>
              </w:rPr>
              <w:t>1</w:t>
            </w:r>
          </w:p>
          <w:p w14:paraId="350D3FAC" w14:textId="7B25A3EB" w:rsidR="00345C6E" w:rsidRDefault="00345C6E" w:rsidP="00975CA7">
            <w:pPr>
              <w:contextualSpacing/>
              <w:jc w:val="center"/>
              <w:rPr>
                <w:rFonts w:cstheme="minorHAnsi"/>
              </w:rPr>
            </w:pPr>
          </w:p>
        </w:tc>
        <w:tc>
          <w:tcPr>
            <w:tcW w:w="2160" w:type="dxa"/>
            <w:tcBorders>
              <w:top w:val="single" w:sz="4" w:space="0" w:color="auto"/>
              <w:left w:val="nil"/>
              <w:bottom w:val="nil"/>
              <w:right w:val="nil"/>
            </w:tcBorders>
          </w:tcPr>
          <w:p w14:paraId="58508007" w14:textId="55B63707" w:rsidR="00345C6E" w:rsidRDefault="005353D9" w:rsidP="00975CA7">
            <w:pPr>
              <w:contextualSpacing/>
              <w:jc w:val="center"/>
              <w:rPr>
                <w:rFonts w:cstheme="minorHAnsi"/>
              </w:rPr>
            </w:pPr>
            <w:r>
              <w:rPr>
                <w:rFonts w:cstheme="minorHAnsi"/>
              </w:rPr>
              <w:t>226.07</w:t>
            </w:r>
          </w:p>
          <w:p w14:paraId="43D2BCDA" w14:textId="6E0E63DB" w:rsidR="00345C6E" w:rsidRDefault="00345C6E" w:rsidP="00975CA7">
            <w:pPr>
              <w:contextualSpacing/>
              <w:jc w:val="center"/>
              <w:rPr>
                <w:rFonts w:cstheme="minorHAnsi"/>
              </w:rPr>
            </w:pPr>
          </w:p>
        </w:tc>
        <w:tc>
          <w:tcPr>
            <w:tcW w:w="2160" w:type="dxa"/>
            <w:tcBorders>
              <w:top w:val="single" w:sz="4" w:space="0" w:color="auto"/>
              <w:left w:val="nil"/>
              <w:bottom w:val="nil"/>
              <w:right w:val="nil"/>
            </w:tcBorders>
          </w:tcPr>
          <w:p w14:paraId="06A3DB4E" w14:textId="0BD52003" w:rsidR="00345C6E" w:rsidRDefault="005353D9" w:rsidP="00975CA7">
            <w:pPr>
              <w:contextualSpacing/>
              <w:jc w:val="center"/>
              <w:rPr>
                <w:rFonts w:cstheme="minorHAnsi"/>
              </w:rPr>
            </w:pPr>
            <w:r>
              <w:rPr>
                <w:rFonts w:cstheme="minorHAnsi"/>
              </w:rPr>
              <w:t>226.07</w:t>
            </w:r>
          </w:p>
          <w:p w14:paraId="242CFCF7" w14:textId="3919C192" w:rsidR="00345C6E" w:rsidRDefault="00345C6E" w:rsidP="00975CA7">
            <w:pPr>
              <w:contextualSpacing/>
              <w:jc w:val="center"/>
              <w:rPr>
                <w:rFonts w:cstheme="minorHAnsi"/>
              </w:rPr>
            </w:pPr>
          </w:p>
        </w:tc>
        <w:tc>
          <w:tcPr>
            <w:tcW w:w="1530" w:type="dxa"/>
            <w:tcBorders>
              <w:top w:val="single" w:sz="4" w:space="0" w:color="auto"/>
              <w:left w:val="nil"/>
              <w:bottom w:val="nil"/>
              <w:right w:val="nil"/>
            </w:tcBorders>
          </w:tcPr>
          <w:p w14:paraId="6CF1448D" w14:textId="734257A9" w:rsidR="00345C6E" w:rsidRDefault="005353D9" w:rsidP="00975CA7">
            <w:pPr>
              <w:contextualSpacing/>
              <w:jc w:val="center"/>
              <w:rPr>
                <w:rFonts w:cstheme="minorHAnsi"/>
              </w:rPr>
            </w:pPr>
            <w:r>
              <w:rPr>
                <w:rFonts w:cstheme="minorHAnsi"/>
              </w:rPr>
              <w:t>273.69</w:t>
            </w:r>
          </w:p>
          <w:p w14:paraId="6C5EE484" w14:textId="2C23BF01" w:rsidR="00345C6E" w:rsidRDefault="00345C6E" w:rsidP="00975CA7">
            <w:pPr>
              <w:contextualSpacing/>
              <w:jc w:val="center"/>
              <w:rPr>
                <w:rFonts w:cstheme="minorHAnsi"/>
              </w:rPr>
            </w:pPr>
          </w:p>
        </w:tc>
      </w:tr>
      <w:tr w:rsidR="00345C6E" w14:paraId="21F7B427" w14:textId="77777777" w:rsidTr="00CD7C81">
        <w:tc>
          <w:tcPr>
            <w:tcW w:w="1980" w:type="dxa"/>
            <w:tcBorders>
              <w:top w:val="nil"/>
              <w:left w:val="nil"/>
              <w:bottom w:val="nil"/>
              <w:right w:val="nil"/>
            </w:tcBorders>
          </w:tcPr>
          <w:p w14:paraId="55FDF371" w14:textId="73020A24" w:rsidR="00345C6E" w:rsidRPr="00345C6E" w:rsidRDefault="00345C6E" w:rsidP="00975CA7">
            <w:pPr>
              <w:contextualSpacing/>
              <w:rPr>
                <w:rFonts w:cstheme="minorHAnsi"/>
              </w:rPr>
            </w:pPr>
            <w:r w:rsidRPr="00345C6E">
              <w:rPr>
                <w:rFonts w:cstheme="minorHAnsi"/>
              </w:rPr>
              <w:t>Error</w:t>
            </w:r>
          </w:p>
        </w:tc>
        <w:tc>
          <w:tcPr>
            <w:tcW w:w="1800" w:type="dxa"/>
            <w:tcBorders>
              <w:top w:val="nil"/>
              <w:left w:val="nil"/>
              <w:bottom w:val="nil"/>
              <w:right w:val="nil"/>
            </w:tcBorders>
          </w:tcPr>
          <w:p w14:paraId="0A71270C" w14:textId="184C51D5" w:rsidR="00345C6E" w:rsidRDefault="00345C6E" w:rsidP="00975CA7">
            <w:pPr>
              <w:contextualSpacing/>
              <w:jc w:val="center"/>
              <w:rPr>
                <w:rFonts w:cstheme="minorHAnsi"/>
              </w:rPr>
            </w:pPr>
            <w:r>
              <w:rPr>
                <w:rFonts w:cstheme="minorHAnsi"/>
              </w:rPr>
              <w:t>10</w:t>
            </w:r>
          </w:p>
          <w:p w14:paraId="22D579B6" w14:textId="6DAE126B" w:rsidR="00345C6E" w:rsidRDefault="00345C6E" w:rsidP="00975CA7">
            <w:pPr>
              <w:contextualSpacing/>
              <w:jc w:val="center"/>
              <w:rPr>
                <w:rFonts w:cstheme="minorHAnsi"/>
              </w:rPr>
            </w:pPr>
          </w:p>
        </w:tc>
        <w:tc>
          <w:tcPr>
            <w:tcW w:w="2160" w:type="dxa"/>
            <w:tcBorders>
              <w:top w:val="nil"/>
              <w:left w:val="nil"/>
              <w:bottom w:val="nil"/>
              <w:right w:val="nil"/>
            </w:tcBorders>
          </w:tcPr>
          <w:p w14:paraId="72AAF8EE" w14:textId="01C75323" w:rsidR="00345C6E" w:rsidRDefault="00CD7C81" w:rsidP="00975CA7">
            <w:pPr>
              <w:contextualSpacing/>
              <w:jc w:val="center"/>
              <w:rPr>
                <w:rFonts w:cstheme="minorHAnsi"/>
              </w:rPr>
            </w:pPr>
            <w:r>
              <w:rPr>
                <w:rFonts w:cstheme="minorHAnsi"/>
              </w:rPr>
              <w:t xml:space="preserve">    </w:t>
            </w:r>
            <w:r w:rsidR="005353D9">
              <w:rPr>
                <w:rFonts w:cstheme="minorHAnsi"/>
              </w:rPr>
              <w:t>8.26</w:t>
            </w:r>
          </w:p>
          <w:p w14:paraId="2C55E08D" w14:textId="4A058F2D" w:rsidR="00345C6E" w:rsidRDefault="00345C6E" w:rsidP="00975CA7">
            <w:pPr>
              <w:contextualSpacing/>
              <w:jc w:val="center"/>
              <w:rPr>
                <w:rFonts w:cstheme="minorHAnsi"/>
              </w:rPr>
            </w:pPr>
          </w:p>
        </w:tc>
        <w:tc>
          <w:tcPr>
            <w:tcW w:w="2160" w:type="dxa"/>
            <w:tcBorders>
              <w:top w:val="nil"/>
              <w:left w:val="nil"/>
              <w:bottom w:val="nil"/>
              <w:right w:val="nil"/>
            </w:tcBorders>
          </w:tcPr>
          <w:p w14:paraId="759459DC" w14:textId="5B78D335" w:rsidR="00345C6E" w:rsidRDefault="00CD7C81" w:rsidP="00975CA7">
            <w:pPr>
              <w:contextualSpacing/>
              <w:jc w:val="center"/>
              <w:rPr>
                <w:rFonts w:cstheme="minorHAnsi"/>
              </w:rPr>
            </w:pPr>
            <w:r>
              <w:rPr>
                <w:rFonts w:cstheme="minorHAnsi"/>
              </w:rPr>
              <w:t xml:space="preserve">     </w:t>
            </w:r>
            <w:r w:rsidR="005353D9">
              <w:rPr>
                <w:rFonts w:cstheme="minorHAnsi"/>
              </w:rPr>
              <w:t>0.8</w:t>
            </w:r>
            <w:r>
              <w:rPr>
                <w:rFonts w:cstheme="minorHAnsi"/>
              </w:rPr>
              <w:t>3</w:t>
            </w:r>
          </w:p>
          <w:p w14:paraId="22A83F69" w14:textId="52529860" w:rsidR="00345C6E" w:rsidRDefault="00345C6E" w:rsidP="00975CA7">
            <w:pPr>
              <w:contextualSpacing/>
              <w:jc w:val="center"/>
              <w:rPr>
                <w:rFonts w:cstheme="minorHAnsi"/>
              </w:rPr>
            </w:pPr>
          </w:p>
        </w:tc>
        <w:tc>
          <w:tcPr>
            <w:tcW w:w="1530" w:type="dxa"/>
            <w:tcBorders>
              <w:top w:val="nil"/>
              <w:left w:val="nil"/>
              <w:bottom w:val="nil"/>
              <w:right w:val="nil"/>
            </w:tcBorders>
          </w:tcPr>
          <w:p w14:paraId="2B9574A4" w14:textId="77777777" w:rsidR="00345C6E" w:rsidRDefault="00345C6E" w:rsidP="00975CA7">
            <w:pPr>
              <w:contextualSpacing/>
              <w:jc w:val="center"/>
              <w:rPr>
                <w:rFonts w:cstheme="minorHAnsi"/>
              </w:rPr>
            </w:pPr>
          </w:p>
          <w:p w14:paraId="3F074CC3" w14:textId="45AC6B59" w:rsidR="00345C6E" w:rsidRDefault="00345C6E" w:rsidP="00975CA7">
            <w:pPr>
              <w:contextualSpacing/>
              <w:jc w:val="center"/>
              <w:rPr>
                <w:rFonts w:cstheme="minorHAnsi"/>
              </w:rPr>
            </w:pPr>
          </w:p>
        </w:tc>
      </w:tr>
      <w:tr w:rsidR="00345C6E" w14:paraId="7EBFE443" w14:textId="77777777" w:rsidTr="00CD7C81">
        <w:tc>
          <w:tcPr>
            <w:tcW w:w="1980" w:type="dxa"/>
            <w:tcBorders>
              <w:top w:val="nil"/>
              <w:left w:val="nil"/>
              <w:bottom w:val="single" w:sz="4" w:space="0" w:color="auto"/>
              <w:right w:val="nil"/>
            </w:tcBorders>
          </w:tcPr>
          <w:p w14:paraId="575C1002" w14:textId="7D457BDF" w:rsidR="00345C6E" w:rsidRPr="00345C6E" w:rsidRDefault="00345C6E" w:rsidP="00975CA7">
            <w:pPr>
              <w:contextualSpacing/>
              <w:rPr>
                <w:rFonts w:cstheme="minorHAnsi"/>
              </w:rPr>
            </w:pPr>
            <w:r>
              <w:rPr>
                <w:rFonts w:cstheme="minorHAnsi"/>
              </w:rPr>
              <w:t>Total</w:t>
            </w:r>
          </w:p>
        </w:tc>
        <w:tc>
          <w:tcPr>
            <w:tcW w:w="1800" w:type="dxa"/>
            <w:tcBorders>
              <w:top w:val="nil"/>
              <w:left w:val="nil"/>
              <w:bottom w:val="single" w:sz="4" w:space="0" w:color="auto"/>
              <w:right w:val="nil"/>
            </w:tcBorders>
          </w:tcPr>
          <w:p w14:paraId="01DEF658" w14:textId="4A0479A9" w:rsidR="00345C6E" w:rsidRDefault="005353D9" w:rsidP="00975CA7">
            <w:pPr>
              <w:contextualSpacing/>
              <w:jc w:val="center"/>
              <w:rPr>
                <w:rFonts w:cstheme="minorHAnsi"/>
              </w:rPr>
            </w:pPr>
            <w:r>
              <w:rPr>
                <w:rFonts w:cstheme="minorHAnsi"/>
              </w:rPr>
              <w:t>11</w:t>
            </w:r>
          </w:p>
        </w:tc>
        <w:tc>
          <w:tcPr>
            <w:tcW w:w="2160" w:type="dxa"/>
            <w:tcBorders>
              <w:top w:val="nil"/>
              <w:left w:val="nil"/>
              <w:bottom w:val="single" w:sz="4" w:space="0" w:color="auto"/>
              <w:right w:val="nil"/>
            </w:tcBorders>
          </w:tcPr>
          <w:p w14:paraId="619D4ABC" w14:textId="5985773C" w:rsidR="00345C6E" w:rsidRDefault="005353D9" w:rsidP="00975CA7">
            <w:pPr>
              <w:contextualSpacing/>
              <w:jc w:val="center"/>
              <w:rPr>
                <w:rFonts w:cstheme="minorHAnsi"/>
              </w:rPr>
            </w:pPr>
            <w:r>
              <w:rPr>
                <w:rFonts w:cstheme="minorHAnsi"/>
              </w:rPr>
              <w:t>234.33</w:t>
            </w:r>
          </w:p>
        </w:tc>
        <w:tc>
          <w:tcPr>
            <w:tcW w:w="2160" w:type="dxa"/>
            <w:tcBorders>
              <w:top w:val="nil"/>
              <w:left w:val="nil"/>
              <w:bottom w:val="single" w:sz="4" w:space="0" w:color="auto"/>
              <w:right w:val="nil"/>
            </w:tcBorders>
          </w:tcPr>
          <w:p w14:paraId="6A48F40D" w14:textId="77777777" w:rsidR="00345C6E" w:rsidRDefault="00345C6E" w:rsidP="00975CA7">
            <w:pPr>
              <w:contextualSpacing/>
              <w:jc w:val="center"/>
              <w:rPr>
                <w:rFonts w:cstheme="minorHAnsi"/>
              </w:rPr>
            </w:pPr>
          </w:p>
        </w:tc>
        <w:tc>
          <w:tcPr>
            <w:tcW w:w="1530" w:type="dxa"/>
            <w:tcBorders>
              <w:top w:val="nil"/>
              <w:left w:val="nil"/>
              <w:bottom w:val="single" w:sz="4" w:space="0" w:color="auto"/>
              <w:right w:val="nil"/>
            </w:tcBorders>
          </w:tcPr>
          <w:p w14:paraId="0BC77AD5" w14:textId="77777777" w:rsidR="00345C6E" w:rsidRDefault="00345C6E" w:rsidP="00975CA7">
            <w:pPr>
              <w:contextualSpacing/>
              <w:jc w:val="center"/>
              <w:rPr>
                <w:rFonts w:cstheme="minorHAnsi"/>
              </w:rPr>
            </w:pPr>
          </w:p>
        </w:tc>
      </w:tr>
    </w:tbl>
    <w:p w14:paraId="5FC6B77A" w14:textId="37CB443A" w:rsidR="005353D9" w:rsidRDefault="005353D9" w:rsidP="00975CA7">
      <w:pPr>
        <w:spacing w:line="480" w:lineRule="auto"/>
        <w:contextualSpacing/>
        <w:rPr>
          <w:rFonts w:cstheme="minorHAnsi"/>
        </w:rPr>
      </w:pPr>
    </w:p>
    <w:p w14:paraId="65F1850D" w14:textId="77777777" w:rsidR="005B3920" w:rsidRDefault="005353D9" w:rsidP="00975CA7">
      <w:pPr>
        <w:spacing w:line="480" w:lineRule="auto"/>
        <w:contextualSpacing/>
        <w:rPr>
          <w:rFonts w:cstheme="minorHAnsi"/>
        </w:rPr>
      </w:pPr>
      <w:r>
        <w:rPr>
          <w:rFonts w:eastAsiaTheme="minorEastAsia" w:cstheme="minorHAnsi"/>
          <w:iCs/>
        </w:rPr>
        <w:t xml:space="preserve">The </w:t>
      </w:r>
      <w:r>
        <w:rPr>
          <w:rFonts w:eastAsiaTheme="minorEastAsia" w:cstheme="minorHAnsi"/>
          <w:i/>
        </w:rPr>
        <w:t>f</w:t>
      </w:r>
      <w:r>
        <w:rPr>
          <w:rFonts w:eastAsiaTheme="minorEastAsia" w:cstheme="minorHAnsi"/>
          <w:iCs/>
        </w:rPr>
        <w:t xml:space="preserve">-value of 273.69 would yield a </w:t>
      </w:r>
      <w:r>
        <w:rPr>
          <w:rFonts w:eastAsiaTheme="minorEastAsia" w:cstheme="minorHAnsi"/>
          <w:i/>
        </w:rPr>
        <w:t>p</w:t>
      </w:r>
      <w:r>
        <w:rPr>
          <w:rFonts w:eastAsiaTheme="minorEastAsia" w:cstheme="minorHAnsi"/>
          <w:iCs/>
        </w:rPr>
        <w:t>-value of approximately 0, so it would be rejected at any level of significance, meaning that we would reject the null hypothesis that the obesity rate is unchanged and</w:t>
      </w:r>
      <w:r w:rsidR="004B384A">
        <w:rPr>
          <w:rFonts w:eastAsiaTheme="minorEastAsia" w:cstheme="minorHAnsi"/>
          <w:iCs/>
        </w:rPr>
        <w:t xml:space="preserve"> accept that</w:t>
      </w:r>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≠0</m:t>
        </m:r>
      </m:oMath>
      <w:r>
        <w:rPr>
          <w:rFonts w:eastAsiaTheme="minorEastAsia" w:cstheme="minorHAnsi"/>
          <w:iCs/>
        </w:rPr>
        <w:t xml:space="preserve">. </w:t>
      </w:r>
      <w:r>
        <w:rPr>
          <w:rFonts w:cstheme="minorHAnsi"/>
        </w:rPr>
        <w:t xml:space="preserve">The equation for the linear regression model </w:t>
      </w:r>
      <w:r w:rsidR="004B384A">
        <w:rPr>
          <w:rFonts w:cstheme="minorHAnsi"/>
        </w:rPr>
        <w:t>is</w:t>
      </w:r>
      <w:r w:rsidR="005B3920">
        <w:rPr>
          <w:rFonts w:cstheme="minorHAnsi"/>
        </w:rPr>
        <w:t xml:space="preserve"> shown in (2).</w:t>
      </w:r>
    </w:p>
    <w:p w14:paraId="37A56316" w14:textId="79F9585C" w:rsidR="005B3920" w:rsidRDefault="00CD7C81" w:rsidP="00975CA7">
      <w:pPr>
        <w:spacing w:line="480" w:lineRule="auto"/>
        <w:contextualSpacing/>
        <w:rPr>
          <w:rFonts w:eastAsiaTheme="minorEastAsia" w:cstheme="minorHAnsi"/>
          <w:iCs/>
        </w:rPr>
      </w:pPr>
      <w:r>
        <w:rPr>
          <w:rFonts w:cstheme="minorHAnsi"/>
        </w:rPr>
        <w:t xml:space="preserve">                                                               </w:t>
      </w:r>
      <w:r w:rsidR="005353D9">
        <w:rPr>
          <w:rFonts w:cstheme="minorHAnsi"/>
        </w:rPr>
        <w:t xml:space="preserve"> </w:t>
      </w:r>
      <m:oMath>
        <m:r>
          <w:rPr>
            <w:rFonts w:ascii="Cambria Math" w:hAnsi="Cambria Math" w:cstheme="minorHAnsi"/>
          </w:rPr>
          <m:t>f(x)</m:t>
        </m:r>
        <m:r>
          <w:rPr>
            <w:rFonts w:ascii="Cambria Math" w:hAnsi="Cambria Math" w:cstheme="minorHAnsi"/>
          </w:rPr>
          <m:t>=4.910+0.318x</m:t>
        </m:r>
        <m:r>
          <w:rPr>
            <w:rFonts w:ascii="Cambria Math" w:hAnsi="Cambria Math" w:cstheme="minorHAnsi"/>
          </w:rPr>
          <m:t>+ɛ</m:t>
        </m:r>
      </m:oMath>
      <w:r>
        <w:rPr>
          <w:rFonts w:eastAsiaTheme="minorEastAsia" w:cstheme="minorHAnsi"/>
        </w:rPr>
        <w:t xml:space="preserve">                                                                    (2)</w:t>
      </w:r>
    </w:p>
    <w:p w14:paraId="0C053C84" w14:textId="1B558269" w:rsidR="005353D9" w:rsidRDefault="00CD7C81" w:rsidP="00975CA7">
      <w:pPr>
        <w:spacing w:line="480" w:lineRule="auto"/>
        <w:contextualSpacing/>
        <w:rPr>
          <w:rFonts w:eastAsiaTheme="minorEastAsia" w:cstheme="minorHAnsi"/>
        </w:rPr>
      </w:pPr>
      <w:r>
        <w:rPr>
          <w:rFonts w:eastAsiaTheme="minorEastAsia" w:cstheme="minorHAnsi"/>
          <w:iCs/>
        </w:rPr>
        <w:t xml:space="preserve">The equation (2) </w:t>
      </w:r>
      <w:r w:rsidR="004B384A">
        <w:rPr>
          <w:rFonts w:eastAsiaTheme="minorEastAsia" w:cstheme="minorHAnsi"/>
          <w:iCs/>
        </w:rPr>
        <w:t>describes</w:t>
      </w:r>
      <w:r w:rsidR="005353D9">
        <w:rPr>
          <w:rFonts w:eastAsiaTheme="minorEastAsia" w:cstheme="minorHAnsi"/>
          <w:iCs/>
        </w:rPr>
        <w:t xml:space="preserve"> a positive correlation between years since 1971 and the obesity rate in children</w:t>
      </w:r>
      <w:r w:rsidR="004B384A">
        <w:rPr>
          <w:rFonts w:eastAsiaTheme="minorEastAsia" w:cstheme="minorHAnsi"/>
          <w:iCs/>
        </w:rPr>
        <w:t xml:space="preserve"> with </w:t>
      </w:r>
      <m:oMath>
        <m:sSub>
          <m:sSubPr>
            <m:ctrlPr>
              <w:rPr>
                <w:rFonts w:ascii="Cambria Math" w:eastAsiaTheme="minorEastAsia" w:hAnsi="Cambria Math" w:cstheme="minorHAnsi"/>
                <w:i/>
                <w:iCs/>
              </w:rPr>
            </m:ctrlPr>
          </m:sSubPr>
          <m:e>
            <m: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=0.318</m:t>
        </m:r>
      </m:oMath>
      <w:r w:rsidR="005353D9">
        <w:rPr>
          <w:rFonts w:eastAsiaTheme="minorEastAsia" w:cstheme="minorHAnsi"/>
          <w:iCs/>
        </w:rPr>
        <w:t xml:space="preserve">. The coefficient of determination for this model is </w:t>
      </w:r>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=.9647</m:t>
        </m:r>
      </m:oMath>
      <w:r w:rsidR="004B384A">
        <w:rPr>
          <w:rFonts w:eastAsiaTheme="minorEastAsia" w:cstheme="minorHAnsi"/>
        </w:rPr>
        <w:t xml:space="preserve">, so 96.47% of the variation in obesity rate over time would be </w:t>
      </w:r>
      <w:r w:rsidR="00CB29D4">
        <w:rPr>
          <w:rFonts w:eastAsiaTheme="minorEastAsia" w:cstheme="minorHAnsi"/>
        </w:rPr>
        <w:t>represented in</w:t>
      </w:r>
      <w:r w:rsidR="005F4615">
        <w:rPr>
          <w:rFonts w:eastAsiaTheme="minorEastAsia" w:cstheme="minorHAnsi"/>
        </w:rPr>
        <w:t xml:space="preserve"> the linear regression model</w:t>
      </w:r>
      <w:r w:rsidR="004B384A">
        <w:rPr>
          <w:rFonts w:eastAsiaTheme="minorEastAsia" w:cstheme="minorHAnsi"/>
        </w:rPr>
        <w:t>,</w:t>
      </w:r>
      <w:r w:rsidR="00CB29D4">
        <w:rPr>
          <w:rFonts w:eastAsiaTheme="minorEastAsia" w:cstheme="minorHAnsi"/>
        </w:rPr>
        <w:t xml:space="preserve"> making</w:t>
      </w:r>
      <w:r w:rsidR="004B384A">
        <w:rPr>
          <w:rFonts w:eastAsiaTheme="minorEastAsia" w:cstheme="minorHAnsi"/>
        </w:rPr>
        <w:t xml:space="preserve"> the model a very accurate fit for the data. </w:t>
      </w:r>
    </w:p>
    <w:p w14:paraId="4C1124A2" w14:textId="48B7360A" w:rsidR="005F4615" w:rsidRDefault="005F4615" w:rsidP="00975CA7">
      <w:pPr>
        <w:spacing w:line="480" w:lineRule="auto"/>
        <w:contextualSpacing/>
        <w:rPr>
          <w:rFonts w:eastAsiaTheme="minorEastAsia" w:cstheme="minorHAnsi"/>
        </w:rPr>
      </w:pPr>
    </w:p>
    <w:p w14:paraId="37A0F9A5" w14:textId="35960AE1" w:rsidR="005F4615" w:rsidRDefault="005F4615" w:rsidP="00975CA7">
      <w:pPr>
        <w:spacing w:line="480" w:lineRule="auto"/>
        <w:contextualSpacing/>
        <w:rPr>
          <w:rFonts w:eastAsiaTheme="minorEastAsia" w:cstheme="minorHAnsi"/>
        </w:rPr>
      </w:pPr>
    </w:p>
    <w:p w14:paraId="582C2EB5" w14:textId="3208AED8" w:rsidR="005F4615" w:rsidRDefault="005F4615" w:rsidP="00975CA7">
      <w:pPr>
        <w:spacing w:line="480" w:lineRule="auto"/>
        <w:contextualSpacing/>
        <w:rPr>
          <w:rFonts w:eastAsiaTheme="minorEastAsia" w:cstheme="minorHAnsi"/>
        </w:rPr>
      </w:pPr>
    </w:p>
    <w:p w14:paraId="12286D30" w14:textId="33F18050" w:rsidR="005F4615" w:rsidRDefault="005F4615" w:rsidP="00975CA7">
      <w:pPr>
        <w:spacing w:line="480" w:lineRule="auto"/>
        <w:contextualSpacing/>
        <w:rPr>
          <w:rFonts w:eastAsiaTheme="minorEastAsia" w:cstheme="minorHAnsi"/>
        </w:rPr>
      </w:pPr>
    </w:p>
    <w:p w14:paraId="52D4478A" w14:textId="34C9681A" w:rsidR="005F4615" w:rsidRDefault="005F4615" w:rsidP="00975CA7">
      <w:pPr>
        <w:spacing w:line="480" w:lineRule="auto"/>
        <w:contextualSpacing/>
        <w:rPr>
          <w:rFonts w:eastAsiaTheme="minorEastAsia" w:cstheme="minorHAnsi"/>
        </w:rPr>
      </w:pPr>
    </w:p>
    <w:p w14:paraId="2DAB87A9" w14:textId="28802C8C" w:rsidR="005F4615" w:rsidRDefault="005F4615" w:rsidP="00975CA7">
      <w:pPr>
        <w:spacing w:line="480" w:lineRule="auto"/>
        <w:contextualSpacing/>
        <w:rPr>
          <w:rFonts w:eastAsiaTheme="minorEastAsia" w:cstheme="minorHAnsi"/>
        </w:rPr>
      </w:pPr>
    </w:p>
    <w:p w14:paraId="5839BBA4" w14:textId="77777777" w:rsidR="005F4615" w:rsidRPr="004B384A" w:rsidRDefault="005F4615" w:rsidP="00975CA7">
      <w:pPr>
        <w:spacing w:line="480" w:lineRule="auto"/>
        <w:contextualSpacing/>
        <w:rPr>
          <w:rFonts w:cstheme="minorHAnsi"/>
          <w:b/>
          <w:bCs/>
          <w:iCs/>
        </w:rPr>
      </w:pPr>
    </w:p>
    <w:p w14:paraId="74EE4F58" w14:textId="45BB7185" w:rsidR="00B60AE9" w:rsidRPr="00B60AE9" w:rsidRDefault="00CB29D4" w:rsidP="00975CA7">
      <w:pPr>
        <w:spacing w:line="480" w:lineRule="auto"/>
        <w:contextualSpacing/>
        <w:rPr>
          <w:rFonts w:cstheme="minorHAnsi"/>
          <w:b/>
          <w:bCs/>
        </w:rPr>
      </w:pPr>
      <w:r>
        <w:rPr>
          <w:rFonts w:cstheme="minorHAnsi"/>
          <w:b/>
          <w:bCs/>
        </w:rPr>
        <w:lastRenderedPageBreak/>
        <w:t>Comparing Variables</w:t>
      </w:r>
    </w:p>
    <w:p w14:paraId="2190BC74" w14:textId="32E51C4A" w:rsidR="004B384A" w:rsidRDefault="001253F5" w:rsidP="00975CA7">
      <w:pPr>
        <w:spacing w:line="480" w:lineRule="auto"/>
        <w:ind w:firstLine="720"/>
        <w:contextualSpacing/>
        <w:rPr>
          <w:rFonts w:cstheme="minorHAnsi"/>
        </w:rPr>
      </w:pPr>
      <w:r w:rsidRPr="00691D17">
        <w:rPr>
          <w:rFonts w:cstheme="minorHAnsi"/>
        </w:rPr>
        <w:t xml:space="preserve">The overall childhood obesity rate from 1971-2016 is shown in Figure </w:t>
      </w:r>
      <w:r w:rsidR="004B384A">
        <w:rPr>
          <w:rFonts w:cstheme="minorHAnsi"/>
        </w:rPr>
        <w:t>2</w:t>
      </w:r>
      <w:r w:rsidRPr="00691D17">
        <w:rPr>
          <w:rFonts w:cstheme="minorHAnsi"/>
        </w:rPr>
        <w:t>.</w:t>
      </w:r>
    </w:p>
    <w:p w14:paraId="1A7B0040" w14:textId="2241F8E8" w:rsidR="00AB293A" w:rsidRPr="005D753E" w:rsidRDefault="00AB293A" w:rsidP="00975CA7">
      <w:pPr>
        <w:spacing w:line="480" w:lineRule="auto"/>
        <w:contextualSpacing/>
        <w:rPr>
          <w:rFonts w:cstheme="minorHAnsi"/>
          <w:b/>
          <w:bCs/>
        </w:rPr>
      </w:pPr>
      <w:r w:rsidRPr="005D753E">
        <w:rPr>
          <w:rFonts w:cstheme="minorHAnsi"/>
          <w:b/>
          <w:bCs/>
        </w:rPr>
        <w:t>Figure 2</w:t>
      </w:r>
    </w:p>
    <w:p w14:paraId="57F69347" w14:textId="3446E412" w:rsidR="005D753E" w:rsidRPr="005D753E" w:rsidRDefault="005D753E" w:rsidP="00975CA7">
      <w:pPr>
        <w:spacing w:line="480" w:lineRule="auto"/>
        <w:contextualSpacing/>
        <w:rPr>
          <w:rFonts w:cstheme="minorHAnsi"/>
          <w:i/>
          <w:iCs/>
        </w:rPr>
      </w:pPr>
      <w:r>
        <w:rPr>
          <w:rFonts w:cstheme="minorHAnsi"/>
          <w:i/>
          <w:iCs/>
        </w:rPr>
        <w:t>Percentage of Childhood Obesity 1971-2016</w:t>
      </w:r>
    </w:p>
    <w:p w14:paraId="0C488795" w14:textId="77777777" w:rsidR="004B384A" w:rsidRDefault="004B384A" w:rsidP="00975CA7">
      <w:pPr>
        <w:spacing w:line="480" w:lineRule="auto"/>
        <w:contextualSpacing/>
        <w:rPr>
          <w:rFonts w:cstheme="minorHAnsi"/>
        </w:rPr>
      </w:pPr>
      <w:r w:rsidRPr="00D20891">
        <w:rPr>
          <w:rFonts w:cstheme="minorHAnsi"/>
          <w:noProof/>
        </w:rPr>
        <w:drawing>
          <wp:inline distT="0" distB="0" distL="0" distR="0" wp14:anchorId="13CF529F" wp14:editId="527B1203">
            <wp:extent cx="5943600" cy="2990850"/>
            <wp:effectExtent l="0" t="0" r="0" b="0"/>
            <wp:docPr id="8" name="Chart 8">
              <a:extLst xmlns:a="http://schemas.openxmlformats.org/drawingml/2006/main">
                <a:ext uri="{FF2B5EF4-FFF2-40B4-BE49-F238E27FC236}">
                  <a16:creationId xmlns:a16="http://schemas.microsoft.com/office/drawing/2014/main" id="{983DD08F-657C-4574-94C8-EF94412E0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547CE7" w14:textId="1A7F0C23" w:rsidR="004B384A" w:rsidRDefault="004B384A" w:rsidP="005D753E">
      <w:pPr>
        <w:spacing w:line="480" w:lineRule="auto"/>
        <w:contextualSpacing/>
        <w:rPr>
          <w:rFonts w:cstheme="minorHAnsi"/>
        </w:rPr>
      </w:pPr>
      <w:r w:rsidRPr="005D753E">
        <w:rPr>
          <w:rFonts w:cstheme="minorHAnsi"/>
          <w:i/>
          <w:iCs/>
        </w:rPr>
        <w:t>Note</w:t>
      </w:r>
      <w:r w:rsidR="005D753E" w:rsidRPr="005D753E">
        <w:rPr>
          <w:rFonts w:cstheme="minorHAnsi"/>
          <w:i/>
          <w:iCs/>
        </w:rPr>
        <w:t>.</w:t>
      </w:r>
      <w:r w:rsidRPr="00D20891">
        <w:rPr>
          <w:rFonts w:cstheme="minorHAnsi"/>
        </w:rPr>
        <w:t xml:space="preserve"> Data from </w:t>
      </w:r>
      <w:r w:rsidRPr="00D20891">
        <w:rPr>
          <w:rFonts w:cstheme="minorHAnsi"/>
          <w:i/>
          <w:iCs/>
        </w:rPr>
        <w:t>National Health and Nutrition Examination Survey</w:t>
      </w:r>
      <w:r w:rsidRPr="00D20891">
        <w:rPr>
          <w:rFonts w:cstheme="minorHAnsi"/>
        </w:rPr>
        <w:t xml:space="preserve"> (The National Center for Health Statistics, 1971-201</w:t>
      </w:r>
      <w:r w:rsidR="00CB29D4">
        <w:rPr>
          <w:rFonts w:cstheme="minorHAnsi"/>
        </w:rPr>
        <w:t>8</w:t>
      </w:r>
      <w:r w:rsidRPr="00D20891">
        <w:rPr>
          <w:rFonts w:cstheme="minorHAnsi"/>
        </w:rPr>
        <w:t xml:space="preserve">) </w:t>
      </w:r>
    </w:p>
    <w:p w14:paraId="1655C539" w14:textId="22D8AB55" w:rsidR="001253F5" w:rsidRPr="00691D17" w:rsidRDefault="001253F5" w:rsidP="00975CA7">
      <w:pPr>
        <w:spacing w:line="480" w:lineRule="auto"/>
        <w:ind w:firstLine="720"/>
        <w:contextualSpacing/>
        <w:rPr>
          <w:rFonts w:cstheme="minorHAnsi"/>
        </w:rPr>
      </w:pPr>
      <w:r w:rsidRPr="00691D17">
        <w:rPr>
          <w:rFonts w:cstheme="minorHAnsi"/>
        </w:rPr>
        <w:t xml:space="preserve"> The average percentage of obese children is 11.9% with </w:t>
      </w:r>
      <w:r w:rsidR="003E2854">
        <w:rPr>
          <w:rFonts w:cstheme="minorHAnsi"/>
        </w:rPr>
        <w:t xml:space="preserve">a standard deviation of </w:t>
      </w:r>
      <w:r w:rsidRPr="00691D17">
        <w:rPr>
          <w:rFonts w:cstheme="minorHAnsi"/>
        </w:rPr>
        <w:t xml:space="preserve">5.0. Having such a large standard deviation shows that there has been a large variance in the obesity rate over the 45 years being studied. The first and last values of 5.2% in 1971-1974 and 18.5% in 2015-2016 show a rise of 13.3% for the overall obesity rate. The rate has more than tripled. </w:t>
      </w:r>
    </w:p>
    <w:p w14:paraId="336CBB52" w14:textId="566ED129" w:rsidR="007375E9" w:rsidRDefault="001253F5" w:rsidP="00975CA7">
      <w:pPr>
        <w:spacing w:line="480" w:lineRule="auto"/>
        <w:contextualSpacing/>
        <w:rPr>
          <w:rFonts w:cstheme="minorHAnsi"/>
        </w:rPr>
      </w:pPr>
      <w:r w:rsidRPr="00691D17">
        <w:rPr>
          <w:rFonts w:cstheme="minorHAnsi"/>
        </w:rPr>
        <w:tab/>
        <w:t xml:space="preserve">When looking at sex as a factor in obesity rate in children, Figure </w:t>
      </w:r>
      <w:r w:rsidR="00475F4A">
        <w:rPr>
          <w:rFonts w:cstheme="minorHAnsi"/>
        </w:rPr>
        <w:t>3</w:t>
      </w:r>
      <w:r w:rsidRPr="00691D17">
        <w:rPr>
          <w:rFonts w:cstheme="minorHAnsi"/>
        </w:rPr>
        <w:t xml:space="preserve"> shows that there is a small difference in obesity rates in boys and girls</w:t>
      </w:r>
      <w:r w:rsidR="007375E9">
        <w:rPr>
          <w:rFonts w:cstheme="minorHAnsi"/>
        </w:rPr>
        <w:t>.</w:t>
      </w:r>
      <w:r w:rsidRPr="00691D17">
        <w:rPr>
          <w:rFonts w:cstheme="minorHAnsi"/>
        </w:rPr>
        <w:t xml:space="preserve"> </w:t>
      </w:r>
    </w:p>
    <w:p w14:paraId="745AE417" w14:textId="5DED2A29" w:rsidR="005D753E" w:rsidRDefault="005D753E" w:rsidP="00975CA7">
      <w:pPr>
        <w:spacing w:line="480" w:lineRule="auto"/>
        <w:contextualSpacing/>
        <w:rPr>
          <w:rFonts w:cstheme="minorHAnsi"/>
        </w:rPr>
      </w:pPr>
    </w:p>
    <w:p w14:paraId="6E773EA2" w14:textId="6FAAC196" w:rsidR="005D753E" w:rsidRDefault="005D753E" w:rsidP="00975CA7">
      <w:pPr>
        <w:spacing w:line="480" w:lineRule="auto"/>
        <w:contextualSpacing/>
        <w:rPr>
          <w:rFonts w:cstheme="minorHAnsi"/>
        </w:rPr>
      </w:pPr>
    </w:p>
    <w:p w14:paraId="04D197B3" w14:textId="77B55968" w:rsidR="005D753E" w:rsidRDefault="005D753E" w:rsidP="00975CA7">
      <w:pPr>
        <w:spacing w:line="480" w:lineRule="auto"/>
        <w:contextualSpacing/>
        <w:rPr>
          <w:rFonts w:cstheme="minorHAnsi"/>
        </w:rPr>
      </w:pPr>
    </w:p>
    <w:p w14:paraId="0333F182" w14:textId="5878436C" w:rsidR="005D753E" w:rsidRDefault="005D753E" w:rsidP="00975CA7">
      <w:pPr>
        <w:spacing w:line="480" w:lineRule="auto"/>
        <w:contextualSpacing/>
        <w:rPr>
          <w:rFonts w:cstheme="minorHAnsi"/>
          <w:b/>
          <w:bCs/>
        </w:rPr>
      </w:pPr>
      <w:r>
        <w:rPr>
          <w:rFonts w:cstheme="minorHAnsi"/>
          <w:b/>
          <w:bCs/>
        </w:rPr>
        <w:lastRenderedPageBreak/>
        <w:t>Figure 3</w:t>
      </w:r>
    </w:p>
    <w:p w14:paraId="18BF7116" w14:textId="4FD10C95" w:rsidR="005D753E" w:rsidRPr="005D753E" w:rsidRDefault="005D753E" w:rsidP="00975CA7">
      <w:pPr>
        <w:spacing w:line="480" w:lineRule="auto"/>
        <w:contextualSpacing/>
        <w:rPr>
          <w:rFonts w:cstheme="minorHAnsi"/>
          <w:i/>
          <w:iCs/>
        </w:rPr>
      </w:pPr>
      <w:r>
        <w:rPr>
          <w:rFonts w:cstheme="minorHAnsi"/>
          <w:i/>
          <w:iCs/>
        </w:rPr>
        <w:t>Percentage of Childhood Obesity by Sex 1971-2016</w:t>
      </w:r>
    </w:p>
    <w:p w14:paraId="6A1C557B" w14:textId="77777777" w:rsidR="007375E9" w:rsidRDefault="007375E9" w:rsidP="00975CA7">
      <w:pPr>
        <w:spacing w:line="480" w:lineRule="auto"/>
        <w:contextualSpacing/>
        <w:rPr>
          <w:rFonts w:cstheme="minorHAnsi"/>
        </w:rPr>
      </w:pPr>
      <w:r w:rsidRPr="00D20891">
        <w:rPr>
          <w:rFonts w:cstheme="minorHAnsi"/>
          <w:noProof/>
        </w:rPr>
        <w:drawing>
          <wp:inline distT="0" distB="0" distL="0" distR="0" wp14:anchorId="4532B18B" wp14:editId="3AE27C13">
            <wp:extent cx="5943600" cy="3333750"/>
            <wp:effectExtent l="0" t="0" r="0" b="0"/>
            <wp:docPr id="9" name="Chart 9">
              <a:extLst xmlns:a="http://schemas.openxmlformats.org/drawingml/2006/main">
                <a:ext uri="{FF2B5EF4-FFF2-40B4-BE49-F238E27FC236}">
                  <a16:creationId xmlns:a16="http://schemas.microsoft.com/office/drawing/2014/main" id="{C44DF667-4441-4645-930D-7D0F3A8DE2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FD7B20" w14:textId="3BC442BB" w:rsidR="007375E9" w:rsidRDefault="007375E9" w:rsidP="00975CA7">
      <w:pPr>
        <w:spacing w:line="480" w:lineRule="auto"/>
        <w:contextualSpacing/>
        <w:rPr>
          <w:rFonts w:cstheme="minorHAnsi"/>
        </w:rPr>
      </w:pPr>
      <w:r w:rsidRPr="005D753E">
        <w:rPr>
          <w:rFonts w:cstheme="minorHAnsi"/>
          <w:i/>
          <w:iCs/>
        </w:rPr>
        <w:t>Note</w:t>
      </w:r>
      <w:r w:rsidR="005D753E">
        <w:rPr>
          <w:rFonts w:cstheme="minorHAnsi"/>
          <w:i/>
          <w:iCs/>
        </w:rPr>
        <w:t xml:space="preserve">. </w:t>
      </w:r>
      <w:r w:rsidRPr="00D20891">
        <w:rPr>
          <w:rFonts w:cstheme="minorHAnsi"/>
        </w:rPr>
        <w:t xml:space="preserve">Data from </w:t>
      </w:r>
      <w:r w:rsidRPr="00D20891">
        <w:rPr>
          <w:rFonts w:cstheme="minorHAnsi"/>
          <w:i/>
          <w:iCs/>
        </w:rPr>
        <w:t>National Health and Nutrition Examination Survey</w:t>
      </w:r>
      <w:r w:rsidRPr="00D20891">
        <w:rPr>
          <w:rFonts w:cstheme="minorHAnsi"/>
        </w:rPr>
        <w:t xml:space="preserve"> (The National Center for Health Statistics, 1971-201</w:t>
      </w:r>
      <w:r w:rsidR="00CB29D4">
        <w:rPr>
          <w:rFonts w:cstheme="minorHAnsi"/>
        </w:rPr>
        <w:t>8</w:t>
      </w:r>
      <w:r w:rsidRPr="00D20891">
        <w:rPr>
          <w:rFonts w:cstheme="minorHAnsi"/>
        </w:rPr>
        <w:t>). This maximum vertical axis of this graph is 25% for view</w:t>
      </w:r>
      <w:r w:rsidR="00AB293A">
        <w:rPr>
          <w:rFonts w:cstheme="minorHAnsi"/>
        </w:rPr>
        <w:t>ing</w:t>
      </w:r>
      <w:r w:rsidRPr="00D20891">
        <w:rPr>
          <w:rFonts w:cstheme="minorHAnsi"/>
        </w:rPr>
        <w:t xml:space="preserve"> purposes.</w:t>
      </w:r>
    </w:p>
    <w:p w14:paraId="737BE236" w14:textId="38BEFCE8" w:rsidR="001253F5" w:rsidRPr="00691D17" w:rsidRDefault="007375E9" w:rsidP="005D753E">
      <w:pPr>
        <w:spacing w:line="480" w:lineRule="auto"/>
        <w:ind w:firstLine="720"/>
        <w:contextualSpacing/>
        <w:rPr>
          <w:rFonts w:cstheme="minorHAnsi"/>
        </w:rPr>
      </w:pPr>
      <w:r>
        <w:rPr>
          <w:rFonts w:cstheme="minorHAnsi"/>
        </w:rPr>
        <w:t>Rates for boys</w:t>
      </w:r>
      <w:r w:rsidR="001253F5" w:rsidRPr="00691D17">
        <w:rPr>
          <w:rFonts w:cstheme="minorHAnsi"/>
        </w:rPr>
        <w:t xml:space="preserve"> </w:t>
      </w:r>
      <w:r w:rsidR="00C7696B">
        <w:rPr>
          <w:rFonts w:cstheme="minorHAnsi"/>
        </w:rPr>
        <w:t>are</w:t>
      </w:r>
      <w:r w:rsidR="001253F5" w:rsidRPr="00691D17">
        <w:rPr>
          <w:rFonts w:cstheme="minorHAnsi"/>
        </w:rPr>
        <w:t xml:space="preserve"> slightly higher with an average of 12.3% vs girls at 11.6%. The standard deviation is similar as well, with boys having slightly more variation in the data with σ=5.3 and σ=4.7 for girls. The overall difference in obesity rate for boys is 13.8% and 12.7% for girls. </w:t>
      </w:r>
    </w:p>
    <w:p w14:paraId="4F322289" w14:textId="53041B78" w:rsidR="007375E9" w:rsidRDefault="001253F5" w:rsidP="00975CA7">
      <w:pPr>
        <w:spacing w:line="480" w:lineRule="auto"/>
        <w:contextualSpacing/>
        <w:rPr>
          <w:rFonts w:cstheme="minorHAnsi"/>
        </w:rPr>
      </w:pPr>
      <w:r w:rsidRPr="00691D17">
        <w:rPr>
          <w:rFonts w:cstheme="minorHAnsi"/>
        </w:rPr>
        <w:tab/>
        <w:t>Looking deeper into the obesity rates for girls</w:t>
      </w:r>
      <w:r w:rsidR="007375E9">
        <w:rPr>
          <w:rFonts w:cstheme="minorHAnsi"/>
        </w:rPr>
        <w:t xml:space="preserve"> and boys</w:t>
      </w:r>
      <w:r w:rsidRPr="00691D17">
        <w:rPr>
          <w:rFonts w:cstheme="minorHAnsi"/>
        </w:rPr>
        <w:t>, Figure</w:t>
      </w:r>
      <w:r w:rsidR="007375E9">
        <w:rPr>
          <w:rFonts w:cstheme="minorHAnsi"/>
        </w:rPr>
        <w:t>s</w:t>
      </w:r>
      <w:r w:rsidRPr="00691D17">
        <w:rPr>
          <w:rFonts w:cstheme="minorHAnsi"/>
        </w:rPr>
        <w:t xml:space="preserve"> </w:t>
      </w:r>
      <w:r w:rsidR="00475F4A">
        <w:rPr>
          <w:rFonts w:cstheme="minorHAnsi"/>
        </w:rPr>
        <w:t>4</w:t>
      </w:r>
      <w:r w:rsidRPr="00691D17">
        <w:rPr>
          <w:rFonts w:cstheme="minorHAnsi"/>
        </w:rPr>
        <w:t xml:space="preserve"> </w:t>
      </w:r>
      <w:r w:rsidR="007375E9">
        <w:rPr>
          <w:rFonts w:cstheme="minorHAnsi"/>
        </w:rPr>
        <w:t xml:space="preserve">and 5 </w:t>
      </w:r>
      <w:r w:rsidRPr="00691D17">
        <w:rPr>
          <w:rFonts w:cstheme="minorHAnsi"/>
        </w:rPr>
        <w:t>examine the obesity rates in girls</w:t>
      </w:r>
      <w:r w:rsidR="007375E9">
        <w:rPr>
          <w:rFonts w:cstheme="minorHAnsi"/>
        </w:rPr>
        <w:t xml:space="preserve"> and boys</w:t>
      </w:r>
      <w:r w:rsidRPr="00691D17">
        <w:rPr>
          <w:rFonts w:cstheme="minorHAnsi"/>
        </w:rPr>
        <w:t xml:space="preserve"> age 2-5, 6-11, and 12-19. </w:t>
      </w:r>
    </w:p>
    <w:p w14:paraId="5F9EBB0F" w14:textId="677B20F0" w:rsidR="005D753E" w:rsidRDefault="005D753E" w:rsidP="00975CA7">
      <w:pPr>
        <w:spacing w:line="480" w:lineRule="auto"/>
        <w:contextualSpacing/>
        <w:rPr>
          <w:rFonts w:cstheme="minorHAnsi"/>
        </w:rPr>
      </w:pPr>
    </w:p>
    <w:p w14:paraId="79AB8601" w14:textId="4440C701" w:rsidR="005D753E" w:rsidRDefault="005D753E" w:rsidP="00975CA7">
      <w:pPr>
        <w:spacing w:line="480" w:lineRule="auto"/>
        <w:contextualSpacing/>
        <w:rPr>
          <w:rFonts w:cstheme="minorHAnsi"/>
        </w:rPr>
      </w:pPr>
    </w:p>
    <w:p w14:paraId="041F47E9" w14:textId="3F166141" w:rsidR="005D753E" w:rsidRDefault="005D753E" w:rsidP="00975CA7">
      <w:pPr>
        <w:spacing w:line="480" w:lineRule="auto"/>
        <w:contextualSpacing/>
        <w:rPr>
          <w:rFonts w:cstheme="minorHAnsi"/>
        </w:rPr>
      </w:pPr>
    </w:p>
    <w:p w14:paraId="589DC983" w14:textId="38488AB2" w:rsidR="005D753E" w:rsidRDefault="005D753E" w:rsidP="00975CA7">
      <w:pPr>
        <w:spacing w:line="480" w:lineRule="auto"/>
        <w:contextualSpacing/>
        <w:rPr>
          <w:rFonts w:cstheme="minorHAnsi"/>
        </w:rPr>
      </w:pPr>
    </w:p>
    <w:p w14:paraId="51FD9BEA" w14:textId="09534444" w:rsidR="005D753E" w:rsidRDefault="005D753E" w:rsidP="00975CA7">
      <w:pPr>
        <w:spacing w:line="480" w:lineRule="auto"/>
        <w:contextualSpacing/>
        <w:rPr>
          <w:rFonts w:cstheme="minorHAnsi"/>
        </w:rPr>
      </w:pPr>
    </w:p>
    <w:p w14:paraId="5A6E9987" w14:textId="65D510C3" w:rsidR="005D753E" w:rsidRDefault="005D753E" w:rsidP="00975CA7">
      <w:pPr>
        <w:spacing w:line="480" w:lineRule="auto"/>
        <w:contextualSpacing/>
        <w:rPr>
          <w:rFonts w:cstheme="minorHAnsi"/>
        </w:rPr>
      </w:pPr>
      <w:r>
        <w:rPr>
          <w:rFonts w:cstheme="minorHAnsi"/>
          <w:b/>
          <w:bCs/>
        </w:rPr>
        <w:lastRenderedPageBreak/>
        <w:t>Figure 4</w:t>
      </w:r>
    </w:p>
    <w:p w14:paraId="39F0EF0B" w14:textId="065E4E18" w:rsidR="005D753E" w:rsidRPr="005D753E" w:rsidRDefault="005D753E" w:rsidP="00975CA7">
      <w:pPr>
        <w:spacing w:line="480" w:lineRule="auto"/>
        <w:contextualSpacing/>
        <w:rPr>
          <w:rFonts w:cstheme="minorHAnsi"/>
          <w:i/>
          <w:iCs/>
        </w:rPr>
      </w:pPr>
      <w:r>
        <w:rPr>
          <w:rFonts w:cstheme="minorHAnsi"/>
          <w:i/>
          <w:iCs/>
        </w:rPr>
        <w:t>Female Obesity Rates by Age Group</w:t>
      </w:r>
    </w:p>
    <w:p w14:paraId="3F15C164" w14:textId="77777777" w:rsidR="007375E9" w:rsidRDefault="007375E9" w:rsidP="00975CA7">
      <w:pPr>
        <w:spacing w:line="480" w:lineRule="auto"/>
        <w:contextualSpacing/>
        <w:rPr>
          <w:rFonts w:cstheme="minorHAnsi"/>
        </w:rPr>
      </w:pPr>
      <w:r w:rsidRPr="00D20891">
        <w:rPr>
          <w:rFonts w:cstheme="minorHAnsi"/>
          <w:noProof/>
        </w:rPr>
        <w:drawing>
          <wp:inline distT="0" distB="0" distL="0" distR="0" wp14:anchorId="2BB3B3BC" wp14:editId="10378A3F">
            <wp:extent cx="5495925" cy="2571750"/>
            <wp:effectExtent l="0" t="0" r="0" b="0"/>
            <wp:docPr id="10" name="Chart 10">
              <a:extLst xmlns:a="http://schemas.openxmlformats.org/drawingml/2006/main">
                <a:ext uri="{FF2B5EF4-FFF2-40B4-BE49-F238E27FC236}">
                  <a16:creationId xmlns:a16="http://schemas.microsoft.com/office/drawing/2014/main" id="{0007AC90-FADB-4DFF-B45F-09981BAA4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A8EDB3" w14:textId="66E92031" w:rsidR="007375E9" w:rsidRDefault="007375E9" w:rsidP="00975CA7">
      <w:pPr>
        <w:spacing w:line="480" w:lineRule="auto"/>
        <w:contextualSpacing/>
        <w:rPr>
          <w:rFonts w:cstheme="minorHAnsi"/>
        </w:rPr>
      </w:pPr>
      <w:r w:rsidRPr="005D753E">
        <w:rPr>
          <w:rFonts w:cstheme="minorHAnsi"/>
          <w:i/>
          <w:iCs/>
        </w:rPr>
        <w:t>Note</w:t>
      </w:r>
      <w:r w:rsidR="005D753E">
        <w:rPr>
          <w:rFonts w:cstheme="minorHAnsi"/>
          <w:i/>
          <w:iCs/>
        </w:rPr>
        <w:t xml:space="preserve">. </w:t>
      </w:r>
      <w:r w:rsidRPr="00D20891">
        <w:rPr>
          <w:rFonts w:cstheme="minorHAnsi"/>
        </w:rPr>
        <w:t xml:space="preserve">Data from </w:t>
      </w:r>
      <w:r w:rsidRPr="00D20891">
        <w:rPr>
          <w:rFonts w:cstheme="minorHAnsi"/>
          <w:i/>
          <w:iCs/>
        </w:rPr>
        <w:t>National Health and Nutrition Examination Survey</w:t>
      </w:r>
      <w:r w:rsidRPr="00D20891">
        <w:rPr>
          <w:rFonts w:cstheme="minorHAnsi"/>
        </w:rPr>
        <w:t xml:space="preserve"> (The National Center for Health Statistics, 1971-201</w:t>
      </w:r>
      <w:r w:rsidR="00CB29D4">
        <w:rPr>
          <w:rFonts w:cstheme="minorHAnsi"/>
        </w:rPr>
        <w:t>8</w:t>
      </w:r>
      <w:r w:rsidRPr="00D20891">
        <w:rPr>
          <w:rFonts w:cstheme="minorHAnsi"/>
        </w:rPr>
        <w:t>). This maximum vertical axis of this graph is 25% for view</w:t>
      </w:r>
      <w:r w:rsidR="00AB293A">
        <w:rPr>
          <w:rFonts w:cstheme="minorHAnsi"/>
        </w:rPr>
        <w:t>ing</w:t>
      </w:r>
      <w:r w:rsidRPr="00D20891">
        <w:rPr>
          <w:rFonts w:cstheme="minorHAnsi"/>
        </w:rPr>
        <w:t xml:space="preserve"> purposes.</w:t>
      </w:r>
    </w:p>
    <w:p w14:paraId="1EC2B654" w14:textId="1D674A48" w:rsidR="005D753E" w:rsidRDefault="005D753E" w:rsidP="00975CA7">
      <w:pPr>
        <w:spacing w:line="480" w:lineRule="auto"/>
        <w:contextualSpacing/>
        <w:rPr>
          <w:rFonts w:cstheme="minorHAnsi"/>
        </w:rPr>
      </w:pPr>
      <w:r>
        <w:rPr>
          <w:rFonts w:cstheme="minorHAnsi"/>
          <w:b/>
          <w:bCs/>
        </w:rPr>
        <w:t>Figure 5</w:t>
      </w:r>
    </w:p>
    <w:p w14:paraId="1E996E9F" w14:textId="54A8F2E4" w:rsidR="005D753E" w:rsidRPr="005D753E" w:rsidRDefault="005D753E" w:rsidP="00975CA7">
      <w:pPr>
        <w:spacing w:line="480" w:lineRule="auto"/>
        <w:contextualSpacing/>
        <w:rPr>
          <w:rFonts w:cstheme="minorHAnsi"/>
        </w:rPr>
      </w:pPr>
      <w:r>
        <w:rPr>
          <w:rFonts w:cstheme="minorHAnsi"/>
          <w:i/>
          <w:iCs/>
        </w:rPr>
        <w:t>Male Obesity Rates by Age Group</w:t>
      </w:r>
    </w:p>
    <w:p w14:paraId="09E31000" w14:textId="77777777" w:rsidR="007375E9" w:rsidRDefault="007375E9" w:rsidP="00975CA7">
      <w:pPr>
        <w:spacing w:line="480" w:lineRule="auto"/>
        <w:contextualSpacing/>
        <w:rPr>
          <w:rFonts w:cstheme="minorHAnsi"/>
        </w:rPr>
      </w:pPr>
      <w:r w:rsidRPr="00D20891">
        <w:rPr>
          <w:rFonts w:cstheme="minorHAnsi"/>
          <w:noProof/>
        </w:rPr>
        <w:drawing>
          <wp:inline distT="0" distB="0" distL="0" distR="0" wp14:anchorId="25158BA3" wp14:editId="692F77C4">
            <wp:extent cx="5400675" cy="2647950"/>
            <wp:effectExtent l="0" t="0" r="0" b="0"/>
            <wp:docPr id="11" name="Chart 11">
              <a:extLst xmlns:a="http://schemas.openxmlformats.org/drawingml/2006/main">
                <a:ext uri="{FF2B5EF4-FFF2-40B4-BE49-F238E27FC236}">
                  <a16:creationId xmlns:a16="http://schemas.microsoft.com/office/drawing/2014/main" id="{3FFFE966-2B70-4172-A255-12D286A6C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96A505" w14:textId="2AB3434C" w:rsidR="007375E9" w:rsidRDefault="005D753E" w:rsidP="00975CA7">
      <w:pPr>
        <w:spacing w:line="480" w:lineRule="auto"/>
        <w:contextualSpacing/>
        <w:rPr>
          <w:rFonts w:cstheme="minorHAnsi"/>
        </w:rPr>
      </w:pPr>
      <w:r>
        <w:rPr>
          <w:rFonts w:cstheme="minorHAnsi"/>
          <w:i/>
          <w:iCs/>
        </w:rPr>
        <w:t>Note.</w:t>
      </w:r>
      <w:r w:rsidR="007375E9" w:rsidRPr="00D20891">
        <w:rPr>
          <w:rFonts w:cstheme="minorHAnsi"/>
        </w:rPr>
        <w:t xml:space="preserve"> Data from </w:t>
      </w:r>
      <w:r w:rsidR="007375E9" w:rsidRPr="00D20891">
        <w:rPr>
          <w:rFonts w:cstheme="minorHAnsi"/>
          <w:i/>
          <w:iCs/>
        </w:rPr>
        <w:t>National Health and Nutrition Examination Survey</w:t>
      </w:r>
      <w:r w:rsidR="007375E9" w:rsidRPr="00D20891">
        <w:rPr>
          <w:rFonts w:cstheme="minorHAnsi"/>
        </w:rPr>
        <w:t xml:space="preserve"> (The National Center for Health Statistics, 1971-201</w:t>
      </w:r>
      <w:r w:rsidR="00CB29D4">
        <w:rPr>
          <w:rFonts w:cstheme="minorHAnsi"/>
        </w:rPr>
        <w:t>8</w:t>
      </w:r>
      <w:r w:rsidR="007375E9" w:rsidRPr="00D20891">
        <w:rPr>
          <w:rFonts w:cstheme="minorHAnsi"/>
        </w:rPr>
        <w:t>). This maximum vertical axis of this graph is 25% for view</w:t>
      </w:r>
      <w:r w:rsidR="00AB293A">
        <w:rPr>
          <w:rFonts w:cstheme="minorHAnsi"/>
        </w:rPr>
        <w:t>ing</w:t>
      </w:r>
      <w:r w:rsidR="007375E9" w:rsidRPr="00D20891">
        <w:rPr>
          <w:rFonts w:cstheme="minorHAnsi"/>
        </w:rPr>
        <w:t xml:space="preserve"> purposes.</w:t>
      </w:r>
    </w:p>
    <w:p w14:paraId="72A22EE5" w14:textId="5163CC04" w:rsidR="001253F5" w:rsidRPr="00691D17" w:rsidRDefault="001253F5" w:rsidP="00975CA7">
      <w:pPr>
        <w:spacing w:line="480" w:lineRule="auto"/>
        <w:ind w:firstLine="720"/>
        <w:contextualSpacing/>
        <w:rPr>
          <w:rFonts w:cstheme="minorHAnsi"/>
        </w:rPr>
      </w:pPr>
      <w:r w:rsidRPr="00691D17">
        <w:rPr>
          <w:rFonts w:cstheme="minorHAnsi"/>
        </w:rPr>
        <w:lastRenderedPageBreak/>
        <w:t xml:space="preserve">The average rate of obesity in children 2-5 is 8.6% with σ=2.7. In children age 6-11 the average is 12.0% with σ=5. For the oldest group, children ages 12-19, the average is 12.7% with σ=5.8. This information shows that the rates for obesity are higher in school-age children, with larger increases over time. The same breakdown of age groups for boys is shown in Figure </w:t>
      </w:r>
      <w:r w:rsidR="00475F4A">
        <w:rPr>
          <w:rFonts w:cstheme="minorHAnsi"/>
        </w:rPr>
        <w:t>5</w:t>
      </w:r>
      <w:r w:rsidRPr="00691D17">
        <w:rPr>
          <w:rFonts w:cstheme="minorHAnsi"/>
        </w:rPr>
        <w:t xml:space="preserve">. The rates for boys are very similar. Boys age 2-5 have an average of 8.3% vs. 8.6% for girls with σ=3.5 and σ=2.7 for girls. There is a similar jump for ages 6-11 and 12-19 compared to the younger group for boys, with the average for ages 6-11 being 13.4% and for ages 12-19 being 13.3%. Compared to the rates for girls, they are slightly higher. </w:t>
      </w:r>
    </w:p>
    <w:p w14:paraId="2D06588B" w14:textId="77777777" w:rsidR="007375E9" w:rsidRDefault="001253F5" w:rsidP="00975CA7">
      <w:pPr>
        <w:spacing w:line="480" w:lineRule="auto"/>
        <w:contextualSpacing/>
        <w:rPr>
          <w:rFonts w:cstheme="minorHAnsi"/>
        </w:rPr>
      </w:pPr>
      <w:r w:rsidRPr="00691D17">
        <w:rPr>
          <w:rFonts w:cstheme="minorHAnsi"/>
        </w:rPr>
        <w:tab/>
        <w:t xml:space="preserve">The largest differences in obesity rates in children are shown in Figure </w:t>
      </w:r>
      <w:r w:rsidR="00475F4A">
        <w:rPr>
          <w:rFonts w:cstheme="minorHAnsi"/>
        </w:rPr>
        <w:t>7</w:t>
      </w:r>
      <w:r w:rsidRPr="00691D17">
        <w:rPr>
          <w:rFonts w:cstheme="minorHAnsi"/>
        </w:rPr>
        <w:t>, Obesity Rates in Children by Race from 1999-2016.</w:t>
      </w:r>
    </w:p>
    <w:p w14:paraId="0C19807C" w14:textId="154192F8" w:rsidR="005D753E" w:rsidRDefault="005D753E" w:rsidP="00975CA7">
      <w:pPr>
        <w:spacing w:line="480" w:lineRule="auto"/>
        <w:contextualSpacing/>
        <w:rPr>
          <w:rFonts w:cstheme="minorHAnsi"/>
        </w:rPr>
      </w:pPr>
      <w:r>
        <w:rPr>
          <w:rFonts w:cstheme="minorHAnsi"/>
          <w:b/>
          <w:bCs/>
        </w:rPr>
        <w:t>Figure 6</w:t>
      </w:r>
    </w:p>
    <w:p w14:paraId="0FAFF97B" w14:textId="455FCCD2" w:rsidR="005D753E" w:rsidRPr="005D753E" w:rsidRDefault="005D753E" w:rsidP="00975CA7">
      <w:pPr>
        <w:spacing w:line="480" w:lineRule="auto"/>
        <w:contextualSpacing/>
        <w:rPr>
          <w:rFonts w:cstheme="minorHAnsi"/>
          <w:i/>
          <w:iCs/>
        </w:rPr>
      </w:pPr>
      <w:r>
        <w:rPr>
          <w:rFonts w:cstheme="minorHAnsi"/>
          <w:i/>
          <w:iCs/>
        </w:rPr>
        <w:t>Obesity Rates in Children by Race 1999-2016</w:t>
      </w:r>
    </w:p>
    <w:p w14:paraId="61C6615F" w14:textId="42AAFDDD" w:rsidR="007375E9" w:rsidRDefault="007375E9" w:rsidP="00975CA7">
      <w:pPr>
        <w:spacing w:line="480" w:lineRule="auto"/>
        <w:contextualSpacing/>
        <w:rPr>
          <w:rFonts w:cstheme="minorHAnsi"/>
        </w:rPr>
      </w:pPr>
      <w:r w:rsidRPr="00D20891">
        <w:rPr>
          <w:rFonts w:cstheme="minorHAnsi"/>
          <w:noProof/>
        </w:rPr>
        <w:drawing>
          <wp:inline distT="0" distB="0" distL="0" distR="0" wp14:anchorId="55FF2E21" wp14:editId="3F67EA50">
            <wp:extent cx="5524500" cy="2971800"/>
            <wp:effectExtent l="0" t="0" r="0" b="0"/>
            <wp:docPr id="12" name="Chart 12">
              <a:extLst xmlns:a="http://schemas.openxmlformats.org/drawingml/2006/main">
                <a:ext uri="{FF2B5EF4-FFF2-40B4-BE49-F238E27FC236}">
                  <a16:creationId xmlns:a16="http://schemas.microsoft.com/office/drawing/2014/main" id="{7910F666-E5B2-4706-A1CF-34B4F2AFB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926C4E" w14:textId="3467E624" w:rsidR="007375E9" w:rsidRPr="00D20891" w:rsidRDefault="005D753E" w:rsidP="00975CA7">
      <w:pPr>
        <w:spacing w:line="480" w:lineRule="auto"/>
        <w:contextualSpacing/>
        <w:rPr>
          <w:rFonts w:cstheme="minorHAnsi"/>
        </w:rPr>
      </w:pPr>
      <w:r>
        <w:rPr>
          <w:rFonts w:cstheme="minorHAnsi"/>
          <w:i/>
          <w:iCs/>
        </w:rPr>
        <w:t>Note.</w:t>
      </w:r>
      <w:r w:rsidR="007375E9" w:rsidRPr="00D20891">
        <w:rPr>
          <w:rFonts w:cstheme="minorHAnsi"/>
        </w:rPr>
        <w:t xml:space="preserve"> Data from </w:t>
      </w:r>
      <w:r w:rsidR="007375E9" w:rsidRPr="00D20891">
        <w:rPr>
          <w:rFonts w:cstheme="minorHAnsi"/>
          <w:i/>
          <w:iCs/>
        </w:rPr>
        <w:t>National Health and Nutrition Examination Survey</w:t>
      </w:r>
      <w:r w:rsidR="007375E9" w:rsidRPr="00D20891">
        <w:rPr>
          <w:rFonts w:cstheme="minorHAnsi"/>
        </w:rPr>
        <w:t xml:space="preserve"> (The National Center for Health Statistics, 1971-2018). This maximum vertical axis of this graph is 25% for view</w:t>
      </w:r>
      <w:r w:rsidR="00AB293A">
        <w:rPr>
          <w:rFonts w:cstheme="minorHAnsi"/>
        </w:rPr>
        <w:t>ing</w:t>
      </w:r>
      <w:r w:rsidR="007375E9" w:rsidRPr="00D20891">
        <w:rPr>
          <w:rFonts w:cstheme="minorHAnsi"/>
        </w:rPr>
        <w:t xml:space="preserve"> purposes. Data for race was not recorded prior to 1999 and obesity rate in Asian children was not available prior to 2011.</w:t>
      </w:r>
    </w:p>
    <w:p w14:paraId="468119C4" w14:textId="1651AA4E" w:rsidR="007375E9" w:rsidRDefault="007375E9" w:rsidP="00975CA7">
      <w:pPr>
        <w:spacing w:line="480" w:lineRule="auto"/>
        <w:contextualSpacing/>
        <w:rPr>
          <w:rFonts w:cstheme="minorHAnsi"/>
        </w:rPr>
      </w:pPr>
    </w:p>
    <w:p w14:paraId="52EDFC01" w14:textId="5D34E6C9" w:rsidR="001253F5" w:rsidRPr="00691D17" w:rsidRDefault="001253F5" w:rsidP="00CB29D4">
      <w:pPr>
        <w:spacing w:line="480" w:lineRule="auto"/>
        <w:ind w:firstLine="720"/>
        <w:contextualSpacing/>
        <w:rPr>
          <w:rFonts w:cstheme="minorHAnsi"/>
        </w:rPr>
      </w:pPr>
      <w:r w:rsidRPr="00691D17">
        <w:rPr>
          <w:rFonts w:cstheme="minorHAnsi"/>
        </w:rPr>
        <w:t xml:space="preserve">The average rate of obesity in Black children is 20.3%, which is </w:t>
      </w:r>
      <w:proofErr w:type="gramStart"/>
      <w:r w:rsidRPr="00691D17">
        <w:rPr>
          <w:rFonts w:cstheme="minorHAnsi"/>
        </w:rPr>
        <w:t>similar to</w:t>
      </w:r>
      <w:proofErr w:type="gramEnd"/>
      <w:r w:rsidRPr="00691D17">
        <w:rPr>
          <w:rFonts w:cstheme="minorHAnsi"/>
        </w:rPr>
        <w:t xml:space="preserve"> the rate of obesity in Hispanic children of 21.3%. Comparatively, White children have an average obesity rate of 14.2% and the average for Asian children is 9.4%. The data that includes information on race was not available prior to the 1999 surveys, so the variance is much lower than when there is data for the full 45 years. Regardless, the data is still powerful in showing that there is a component of obesity</w:t>
      </w:r>
      <w:r w:rsidR="00EE47B1">
        <w:rPr>
          <w:rFonts w:cstheme="minorHAnsi"/>
        </w:rPr>
        <w:t xml:space="preserve"> rates</w:t>
      </w:r>
      <w:r w:rsidRPr="00691D17">
        <w:rPr>
          <w:rFonts w:cstheme="minorHAnsi"/>
        </w:rPr>
        <w:t xml:space="preserve"> that leads to more Hispanic and Black children being obese.</w:t>
      </w:r>
    </w:p>
    <w:p w14:paraId="7C92AC32" w14:textId="408B0310" w:rsidR="007375E9" w:rsidRDefault="001253F5" w:rsidP="00975CA7">
      <w:pPr>
        <w:spacing w:line="480" w:lineRule="auto"/>
        <w:contextualSpacing/>
        <w:rPr>
          <w:rFonts w:cstheme="minorHAnsi"/>
        </w:rPr>
      </w:pPr>
      <w:r w:rsidRPr="00691D17">
        <w:rPr>
          <w:rFonts w:cstheme="minorHAnsi"/>
        </w:rPr>
        <w:tab/>
        <w:t xml:space="preserve">When examining the outcomes of childhood obesity, it is important to </w:t>
      </w:r>
      <w:r w:rsidR="00AB293A">
        <w:rPr>
          <w:rFonts w:cstheme="minorHAnsi"/>
        </w:rPr>
        <w:t xml:space="preserve">observe </w:t>
      </w:r>
      <w:r w:rsidRPr="00691D17">
        <w:rPr>
          <w:rFonts w:cstheme="minorHAnsi"/>
        </w:rPr>
        <w:t>how obesity rates continue into adulthood. The data in Figure 6: Obesity Rate in Children vs. Adults, by Sex 1987-2018 shows that adult obesity rates are double those of children.</w:t>
      </w:r>
    </w:p>
    <w:p w14:paraId="300162B7" w14:textId="5CE444B4" w:rsidR="005D753E" w:rsidRDefault="005D753E" w:rsidP="00975CA7">
      <w:pPr>
        <w:spacing w:line="480" w:lineRule="auto"/>
        <w:contextualSpacing/>
        <w:rPr>
          <w:rFonts w:cstheme="minorHAnsi"/>
          <w:b/>
          <w:bCs/>
        </w:rPr>
      </w:pPr>
      <w:r>
        <w:rPr>
          <w:rFonts w:cstheme="minorHAnsi"/>
          <w:b/>
          <w:bCs/>
        </w:rPr>
        <w:t>Figure 7</w:t>
      </w:r>
    </w:p>
    <w:p w14:paraId="3C2C9E29" w14:textId="76F50BB7" w:rsidR="005D753E" w:rsidRPr="005D753E" w:rsidRDefault="005D753E" w:rsidP="00975CA7">
      <w:pPr>
        <w:spacing w:line="480" w:lineRule="auto"/>
        <w:contextualSpacing/>
        <w:rPr>
          <w:rFonts w:cstheme="minorHAnsi"/>
          <w:i/>
          <w:iCs/>
        </w:rPr>
      </w:pPr>
      <w:r>
        <w:rPr>
          <w:rFonts w:cstheme="minorHAnsi"/>
          <w:i/>
          <w:iCs/>
        </w:rPr>
        <w:t>Obesity Rate in Children vs. Adults, by Sex 1987-2018</w:t>
      </w:r>
    </w:p>
    <w:p w14:paraId="40421B08" w14:textId="77777777" w:rsidR="007375E9" w:rsidRDefault="007375E9" w:rsidP="00975CA7">
      <w:pPr>
        <w:spacing w:line="480" w:lineRule="auto"/>
        <w:contextualSpacing/>
        <w:rPr>
          <w:rFonts w:cstheme="minorHAnsi"/>
        </w:rPr>
      </w:pPr>
      <w:r w:rsidRPr="00D20891">
        <w:rPr>
          <w:rFonts w:cstheme="minorHAnsi"/>
          <w:noProof/>
        </w:rPr>
        <w:drawing>
          <wp:inline distT="0" distB="0" distL="0" distR="0" wp14:anchorId="444A6474" wp14:editId="3C8C6D41">
            <wp:extent cx="5781675" cy="3790950"/>
            <wp:effectExtent l="0" t="0" r="0" b="0"/>
            <wp:docPr id="13" name="Chart 13">
              <a:extLst xmlns:a="http://schemas.openxmlformats.org/drawingml/2006/main">
                <a:ext uri="{FF2B5EF4-FFF2-40B4-BE49-F238E27FC236}">
                  <a16:creationId xmlns:a16="http://schemas.microsoft.com/office/drawing/2014/main" id="{042DF5FE-FCF2-4478-BBE0-6317E1A7BC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13E2DD" w14:textId="15536296" w:rsidR="007375E9" w:rsidRPr="00D20891" w:rsidRDefault="007375E9" w:rsidP="00975CA7">
      <w:pPr>
        <w:spacing w:line="480" w:lineRule="auto"/>
        <w:contextualSpacing/>
        <w:rPr>
          <w:rFonts w:cstheme="minorHAnsi"/>
        </w:rPr>
      </w:pPr>
      <w:r w:rsidRPr="005D753E">
        <w:rPr>
          <w:rFonts w:cstheme="minorHAnsi"/>
          <w:i/>
          <w:iCs/>
        </w:rPr>
        <w:lastRenderedPageBreak/>
        <w:t>Note</w:t>
      </w:r>
      <w:r w:rsidR="005D753E">
        <w:rPr>
          <w:rFonts w:cstheme="minorHAnsi"/>
          <w:i/>
          <w:iCs/>
        </w:rPr>
        <w:t xml:space="preserve">. </w:t>
      </w:r>
      <w:r w:rsidRPr="00D20891">
        <w:rPr>
          <w:rFonts w:cstheme="minorHAnsi"/>
        </w:rPr>
        <w:t xml:space="preserve">Data from </w:t>
      </w:r>
      <w:r w:rsidRPr="00D20891">
        <w:rPr>
          <w:rFonts w:cstheme="minorHAnsi"/>
          <w:i/>
          <w:iCs/>
        </w:rPr>
        <w:t>National Health and Nutrition Examination Survey</w:t>
      </w:r>
      <w:r w:rsidRPr="00D20891">
        <w:rPr>
          <w:rFonts w:cstheme="minorHAnsi"/>
        </w:rPr>
        <w:t xml:space="preserve"> (The National Center for Health Statistics, 1971-2018). Data for adults is not available prior to 1987, so data and averages are based on the 1987-2018 data.</w:t>
      </w:r>
      <w:r w:rsidR="0051570B">
        <w:rPr>
          <w:rFonts w:cstheme="minorHAnsi"/>
        </w:rPr>
        <w:t xml:space="preserve"> </w:t>
      </w:r>
      <w:r w:rsidR="0051570B" w:rsidRPr="00D20891">
        <w:rPr>
          <w:rFonts w:cstheme="minorHAnsi"/>
        </w:rPr>
        <w:t xml:space="preserve">This maximum vertical axis of this graph is </w:t>
      </w:r>
      <w:r w:rsidR="0051570B">
        <w:rPr>
          <w:rFonts w:cstheme="minorHAnsi"/>
        </w:rPr>
        <w:t>50</w:t>
      </w:r>
      <w:r w:rsidR="0051570B" w:rsidRPr="00D20891">
        <w:rPr>
          <w:rFonts w:cstheme="minorHAnsi"/>
        </w:rPr>
        <w:t>% for view</w:t>
      </w:r>
      <w:r w:rsidR="0051570B">
        <w:rPr>
          <w:rFonts w:cstheme="minorHAnsi"/>
        </w:rPr>
        <w:t>ing</w:t>
      </w:r>
      <w:r w:rsidR="0051570B" w:rsidRPr="00D20891">
        <w:rPr>
          <w:rFonts w:cstheme="minorHAnsi"/>
        </w:rPr>
        <w:t xml:space="preserve"> purposes.</w:t>
      </w:r>
    </w:p>
    <w:p w14:paraId="4602BF0D" w14:textId="4CDD3C04" w:rsidR="00200246" w:rsidRDefault="001253F5" w:rsidP="005D753E">
      <w:pPr>
        <w:spacing w:line="480" w:lineRule="auto"/>
        <w:ind w:firstLine="720"/>
        <w:contextualSpacing/>
        <w:rPr>
          <w:rFonts w:cstheme="minorHAnsi"/>
        </w:rPr>
      </w:pPr>
      <w:r w:rsidRPr="00691D17">
        <w:rPr>
          <w:rFonts w:cstheme="minorHAnsi"/>
        </w:rPr>
        <w:t xml:space="preserve">Interestingly, in children the male obesity rate is higher, while in adulthood, the female obesity rate is higher. This may be changing, as the adult male obesity rate is higher than the adult female obesity rate. The obesity rate for men is still lower at 29.8% vs 33.4%, but men have a higher standard of deviation at σ=7.4 and women σ=5.9, showing that the rate has risen </w:t>
      </w:r>
      <w:r w:rsidR="00D20891">
        <w:rPr>
          <w:rFonts w:cstheme="minorHAnsi"/>
        </w:rPr>
        <w:t>at a higher rate</w:t>
      </w:r>
      <w:r w:rsidRPr="00691D17">
        <w:rPr>
          <w:rFonts w:cstheme="minorHAnsi"/>
        </w:rPr>
        <w:t>. The rate has risen 22.8% in men and 16.5% in women since 1987. The data begins in 1987 for adults and since 1987 the rates in children and adults have doubled.</w:t>
      </w:r>
    </w:p>
    <w:p w14:paraId="5E543733" w14:textId="185FF8D0" w:rsidR="005B3920" w:rsidRPr="005B3920" w:rsidRDefault="005B3920" w:rsidP="00975CA7">
      <w:pPr>
        <w:spacing w:line="480" w:lineRule="auto"/>
        <w:contextualSpacing/>
        <w:jc w:val="center"/>
        <w:rPr>
          <w:rFonts w:cstheme="minorHAnsi"/>
          <w:b/>
          <w:bCs/>
        </w:rPr>
      </w:pPr>
      <w:r>
        <w:rPr>
          <w:rFonts w:cstheme="minorHAnsi"/>
          <w:b/>
          <w:bCs/>
        </w:rPr>
        <w:t>Discussion</w:t>
      </w:r>
    </w:p>
    <w:p w14:paraId="25E53766" w14:textId="351D4ED3" w:rsidR="00315E71" w:rsidRDefault="00D5795F" w:rsidP="00975CA7">
      <w:pPr>
        <w:spacing w:line="480" w:lineRule="auto"/>
        <w:contextualSpacing/>
        <w:rPr>
          <w:rFonts w:cstheme="minorHAnsi"/>
        </w:rPr>
      </w:pPr>
      <w:r>
        <w:rPr>
          <w:rFonts w:cstheme="minorHAnsi"/>
          <w:b/>
          <w:bCs/>
        </w:rPr>
        <w:t>Conclusion</w:t>
      </w:r>
    </w:p>
    <w:p w14:paraId="40669029" w14:textId="39B54106" w:rsidR="00CD7C81" w:rsidRDefault="00764484" w:rsidP="00975CA7">
      <w:pPr>
        <w:spacing w:line="480" w:lineRule="auto"/>
        <w:ind w:firstLine="720"/>
        <w:contextualSpacing/>
        <w:rPr>
          <w:rFonts w:eastAsiaTheme="minorEastAsia" w:cstheme="minorHAnsi"/>
          <w:iCs/>
        </w:rPr>
      </w:pPr>
      <w:r>
        <w:rPr>
          <w:rFonts w:eastAsiaTheme="minorEastAsia" w:cstheme="minorHAnsi"/>
          <w:iCs/>
        </w:rPr>
        <w:t xml:space="preserve">It is undeniable that obesity rates have increased at a rapid rate for children and adults alike. </w:t>
      </w:r>
      <w:r>
        <w:rPr>
          <w:rFonts w:cstheme="minorHAnsi"/>
        </w:rPr>
        <w:t xml:space="preserve">The </w:t>
      </w:r>
      <w:r>
        <w:rPr>
          <w:rFonts w:cstheme="minorHAnsi"/>
          <w:i/>
          <w:iCs/>
        </w:rPr>
        <w:t xml:space="preserve">National Health and Nutrition Examination Survey </w:t>
      </w:r>
      <w:r>
        <w:rPr>
          <w:rFonts w:cstheme="minorHAnsi"/>
        </w:rPr>
        <w:t xml:space="preserve">provides data demonstrating the rise in childhood obesity from 5.2% in 1971 to 18.5% in 2016. </w:t>
      </w:r>
      <w:r w:rsidR="00586D7E">
        <w:rPr>
          <w:rFonts w:eastAsiaTheme="minorEastAsia" w:cstheme="minorHAnsi"/>
          <w:iCs/>
        </w:rPr>
        <w:t>“</w:t>
      </w:r>
      <w:r w:rsidR="00EA5778">
        <w:rPr>
          <w:rFonts w:eastAsiaTheme="minorEastAsia" w:cstheme="minorHAnsi"/>
          <w:iCs/>
        </w:rPr>
        <w:t>Today’s children are growing up in an environment filled with fast food, sugary beverages, heavily processed food, a barrage of advertisements, a paucity of opportunities for exercise, and media images of impossible slimness and muscularity” (Hiatt et al., 2007)</w:t>
      </w:r>
      <w:r w:rsidR="000A615A">
        <w:rPr>
          <w:rFonts w:eastAsiaTheme="minorEastAsia" w:cstheme="minorHAnsi"/>
          <w:iCs/>
        </w:rPr>
        <w:t xml:space="preserve">. </w:t>
      </w:r>
      <w:r w:rsidR="00BF0E1C">
        <w:rPr>
          <w:rFonts w:eastAsiaTheme="minorEastAsia" w:cstheme="minorHAnsi"/>
          <w:iCs/>
        </w:rPr>
        <w:t xml:space="preserve"> </w:t>
      </w:r>
      <w:r w:rsidR="000A615A">
        <w:rPr>
          <w:rFonts w:eastAsiaTheme="minorEastAsia" w:cstheme="minorHAnsi"/>
          <w:iCs/>
        </w:rPr>
        <w:t>Children are exposed to many unhealthy dietary and lifestyle options without education about the long-term consequences and are often preyed upon by companies seeking to sell products to a vulnerable population. T</w:t>
      </w:r>
      <w:r w:rsidRPr="00691D17">
        <w:rPr>
          <w:rFonts w:eastAsiaTheme="minorEastAsia" w:cstheme="minorHAnsi"/>
          <w:iCs/>
        </w:rPr>
        <w:t>he higher rates for obesity in boys can be associated partially with the lower amounts of exercise being offered to children in schools. Boys who struggled socially were more likely to be less active and overweight (</w:t>
      </w:r>
      <w:r>
        <w:rPr>
          <w:rFonts w:eastAsiaTheme="minorEastAsia" w:cstheme="minorHAnsi"/>
          <w:iCs/>
        </w:rPr>
        <w:t>Sharma &amp; Ickes, 2008</w:t>
      </w:r>
      <w:r w:rsidRPr="00691D17">
        <w:rPr>
          <w:rFonts w:eastAsiaTheme="minorEastAsia" w:cstheme="minorHAnsi"/>
          <w:iCs/>
        </w:rPr>
        <w:t xml:space="preserve">). </w:t>
      </w:r>
      <w:r w:rsidR="00FE10E9">
        <w:rPr>
          <w:rFonts w:eastAsiaTheme="minorEastAsia" w:cstheme="minorHAnsi"/>
          <w:iCs/>
        </w:rPr>
        <w:t>Socioeconomic factors are a larger factor for girls than for boys, especially among minorities</w:t>
      </w:r>
      <w:r w:rsidRPr="00691D17">
        <w:rPr>
          <w:rFonts w:eastAsiaTheme="minorEastAsia" w:cstheme="minorHAnsi"/>
          <w:iCs/>
        </w:rPr>
        <w:t xml:space="preserve"> (Hiatt et al., </w:t>
      </w:r>
      <w:r>
        <w:rPr>
          <w:rFonts w:eastAsiaTheme="minorEastAsia" w:cstheme="minorHAnsi"/>
          <w:iCs/>
        </w:rPr>
        <w:t>2007</w:t>
      </w:r>
      <w:r w:rsidRPr="00691D17">
        <w:rPr>
          <w:rFonts w:eastAsiaTheme="minorEastAsia" w:cstheme="minorHAnsi"/>
          <w:iCs/>
        </w:rPr>
        <w:t>)</w:t>
      </w:r>
      <w:r>
        <w:rPr>
          <w:rFonts w:eastAsiaTheme="minorEastAsia" w:cstheme="minorHAnsi"/>
          <w:iCs/>
        </w:rPr>
        <w:t>.</w:t>
      </w:r>
      <w:r w:rsidR="00BF0E1C">
        <w:rPr>
          <w:rFonts w:eastAsiaTheme="minorEastAsia" w:cstheme="minorHAnsi"/>
          <w:iCs/>
        </w:rPr>
        <w:t xml:space="preserve"> </w:t>
      </w:r>
    </w:p>
    <w:p w14:paraId="798C4BA2" w14:textId="5103B479" w:rsidR="00CD7C81" w:rsidRPr="007402A8" w:rsidRDefault="00CD7C81" w:rsidP="00975CA7">
      <w:pPr>
        <w:spacing w:line="480" w:lineRule="auto"/>
        <w:ind w:firstLine="720"/>
        <w:contextualSpacing/>
        <w:rPr>
          <w:rFonts w:eastAsiaTheme="minorEastAsia" w:cstheme="minorHAnsi"/>
          <w:iCs/>
        </w:rPr>
      </w:pPr>
      <w:r>
        <w:rPr>
          <w:rFonts w:eastAsiaTheme="minorEastAsia" w:cstheme="minorHAnsi"/>
          <w:iCs/>
        </w:rPr>
        <w:t>Table 2 shows that the high valu</w:t>
      </w:r>
      <w:r w:rsidR="007402A8">
        <w:rPr>
          <w:rFonts w:eastAsiaTheme="minorEastAsia" w:cstheme="minorHAnsi"/>
          <w:iCs/>
        </w:rPr>
        <w:t>e of the test statistic (</w:t>
      </w:r>
      <w:r w:rsidR="007402A8">
        <w:rPr>
          <w:rFonts w:eastAsiaTheme="minorEastAsia" w:cstheme="minorHAnsi"/>
          <w:i/>
        </w:rPr>
        <w:t xml:space="preserve">f = </w:t>
      </w:r>
      <w:r w:rsidR="007402A8">
        <w:rPr>
          <w:rFonts w:eastAsiaTheme="minorEastAsia" w:cstheme="minorHAnsi"/>
          <w:iCs/>
        </w:rPr>
        <w:t xml:space="preserve">273.69) would yield a </w:t>
      </w:r>
      <w:r w:rsidR="007402A8">
        <w:rPr>
          <w:rFonts w:eastAsiaTheme="minorEastAsia" w:cstheme="minorHAnsi"/>
          <w:i/>
        </w:rPr>
        <w:t>p</w:t>
      </w:r>
      <w:r w:rsidR="007402A8">
        <w:rPr>
          <w:rFonts w:eastAsiaTheme="minorEastAsia" w:cstheme="minorHAnsi"/>
          <w:iCs/>
        </w:rPr>
        <w:t xml:space="preserve">-value of approximately 0. At any level of significance, the null hypothesis of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=0</m:t>
        </m:r>
      </m:oMath>
      <w:r w:rsidR="007402A8">
        <w:rPr>
          <w:rFonts w:eastAsiaTheme="minorEastAsia" w:cstheme="minorHAnsi"/>
        </w:rPr>
        <w:t xml:space="preserve"> is rejected, meaning that </w:t>
      </w:r>
      <w:r w:rsidR="007402A8">
        <w:rPr>
          <w:rFonts w:eastAsiaTheme="minorEastAsia" w:cstheme="minorHAnsi"/>
        </w:rPr>
        <w:lastRenderedPageBreak/>
        <w:t>there is a statistically significant amount of change in the obesity rate in children over tim</w:t>
      </w:r>
      <w:r w:rsidR="008655AD">
        <w:rPr>
          <w:rFonts w:eastAsiaTheme="minorEastAsia" w:cstheme="minorHAnsi"/>
        </w:rPr>
        <w:t>e</w:t>
      </w:r>
      <w:r w:rsidR="007402A8">
        <w:rPr>
          <w:rFonts w:eastAsiaTheme="minorEastAsia" w:cstheme="minorHAnsi"/>
        </w:rPr>
        <w:t xml:space="preserve">. </w:t>
      </w:r>
      <w:r w:rsidR="008655AD">
        <w:rPr>
          <w:rFonts w:eastAsiaTheme="minorEastAsia" w:cstheme="minorHAnsi"/>
        </w:rPr>
        <w:t xml:space="preserve">This was demonstrated in </w:t>
      </w:r>
      <w:r w:rsidR="008655AD">
        <w:rPr>
          <w:rFonts w:eastAsiaTheme="minorEastAsia" w:cstheme="minorHAnsi"/>
          <w:iCs/>
        </w:rPr>
        <w:t>t</w:t>
      </w:r>
      <w:r w:rsidR="008655AD">
        <w:rPr>
          <w:rFonts w:eastAsiaTheme="minorEastAsia" w:cstheme="minorHAnsi"/>
          <w:iCs/>
        </w:rPr>
        <w:t>he simple linear regression model (2</w:t>
      </w:r>
      <w:r w:rsidR="008655AD">
        <w:rPr>
          <w:rFonts w:eastAsiaTheme="minorEastAsia" w:cstheme="minorHAnsi"/>
          <w:iCs/>
        </w:rPr>
        <w:t>)</w:t>
      </w:r>
      <w:r w:rsidR="008655AD">
        <w:rPr>
          <w:rFonts w:eastAsiaTheme="minorEastAsia" w:cstheme="minorHAnsi"/>
          <w:iCs/>
        </w:rPr>
        <w:t>, with 96.47% of the variation in the data explained by the model.</w:t>
      </w:r>
      <w:r w:rsidR="008655AD">
        <w:rPr>
          <w:rFonts w:eastAsiaTheme="minorEastAsia" w:cstheme="minorHAnsi"/>
          <w:iCs/>
        </w:rPr>
        <w:t xml:space="preserve"> Based on the model, obesity rates will likely continue to rise unless there are changes to combat the current trends. </w:t>
      </w:r>
    </w:p>
    <w:p w14:paraId="0ED8FAE1" w14:textId="3AF9D707" w:rsidR="00D5795F" w:rsidRDefault="008655AD" w:rsidP="00975CA7">
      <w:pPr>
        <w:spacing w:line="480" w:lineRule="auto"/>
        <w:ind w:firstLine="720"/>
        <w:contextualSpacing/>
        <w:rPr>
          <w:rFonts w:eastAsiaTheme="minorEastAsia" w:cstheme="minorHAnsi"/>
          <w:iCs/>
        </w:rPr>
      </w:pPr>
      <w:r>
        <w:rPr>
          <w:rFonts w:eastAsiaTheme="minorEastAsia" w:cstheme="minorHAnsi"/>
          <w:iCs/>
        </w:rPr>
        <w:t>The children affected most by these trends are minority children</w:t>
      </w:r>
      <w:r w:rsidR="00BF0E1C">
        <w:rPr>
          <w:rFonts w:eastAsiaTheme="minorEastAsia" w:cstheme="minorHAnsi"/>
          <w:iCs/>
        </w:rPr>
        <w:t xml:space="preserve">. Being Black or Hispanic </w:t>
      </w:r>
      <w:r w:rsidR="00234919">
        <w:rPr>
          <w:rFonts w:eastAsiaTheme="minorEastAsia" w:cstheme="minorHAnsi"/>
          <w:iCs/>
        </w:rPr>
        <w:t xml:space="preserve">means a child </w:t>
      </w:r>
      <w:r w:rsidR="00CD7C81">
        <w:rPr>
          <w:rFonts w:eastAsiaTheme="minorEastAsia" w:cstheme="minorHAnsi"/>
          <w:iCs/>
        </w:rPr>
        <w:t>has a higher likelihood of being obese</w:t>
      </w:r>
      <w:r w:rsidR="00234919">
        <w:rPr>
          <w:rFonts w:eastAsiaTheme="minorEastAsia" w:cstheme="minorHAnsi"/>
          <w:iCs/>
        </w:rPr>
        <w:t>. The factors that cause obesity are tied strongly to minorit</w:t>
      </w:r>
      <w:r>
        <w:rPr>
          <w:rFonts w:eastAsiaTheme="minorEastAsia" w:cstheme="minorHAnsi"/>
          <w:iCs/>
        </w:rPr>
        <w:t>y status</w:t>
      </w:r>
      <w:r w:rsidR="00234919">
        <w:rPr>
          <w:rFonts w:eastAsiaTheme="minorEastAsia" w:cstheme="minorHAnsi"/>
          <w:iCs/>
        </w:rPr>
        <w:t xml:space="preserve"> and any solutions need to be </w:t>
      </w:r>
      <w:r>
        <w:rPr>
          <w:rFonts w:eastAsiaTheme="minorEastAsia" w:cstheme="minorHAnsi"/>
          <w:iCs/>
        </w:rPr>
        <w:t>particularly</w:t>
      </w:r>
      <w:r w:rsidR="00234919">
        <w:rPr>
          <w:rFonts w:eastAsiaTheme="minorEastAsia" w:cstheme="minorHAnsi"/>
          <w:iCs/>
        </w:rPr>
        <w:t xml:space="preserve"> impactful for those groups. Focusing on healthy options at school and home as well as limiting advertisements that target children can make great impacts in children’s health. </w:t>
      </w:r>
      <w:r w:rsidR="000A615A">
        <w:rPr>
          <w:rFonts w:eastAsiaTheme="minorEastAsia" w:cstheme="minorHAnsi"/>
          <w:iCs/>
        </w:rPr>
        <w:t xml:space="preserve">Substantial change needs to begin from a young age, particularly when kids are starting school and obesity rates start rising. Combatting obesity can mean </w:t>
      </w:r>
      <w:r w:rsidR="00AB293A">
        <w:rPr>
          <w:rFonts w:eastAsiaTheme="minorEastAsia" w:cstheme="minorHAnsi"/>
          <w:iCs/>
        </w:rPr>
        <w:t>improved</w:t>
      </w:r>
      <w:r w:rsidR="000A615A">
        <w:rPr>
          <w:rFonts w:eastAsiaTheme="minorEastAsia" w:cstheme="minorHAnsi"/>
          <w:iCs/>
        </w:rPr>
        <w:t xml:space="preserve"> school performance and self-esteem as well as much lower risks of serious health issues such as diabetes and heart disease and other health issues that have been on the rise. </w:t>
      </w:r>
      <w:r w:rsidR="008A636E">
        <w:rPr>
          <w:rFonts w:eastAsiaTheme="minorEastAsia" w:cstheme="minorHAnsi"/>
          <w:iCs/>
        </w:rPr>
        <w:t xml:space="preserve">As awareness rises, hopefully education and </w:t>
      </w:r>
      <w:r w:rsidR="00FE10E9">
        <w:rPr>
          <w:rFonts w:eastAsiaTheme="minorEastAsia" w:cstheme="minorHAnsi"/>
          <w:iCs/>
        </w:rPr>
        <w:t>structural change within schools and homes</w:t>
      </w:r>
      <w:r w:rsidR="008A636E">
        <w:rPr>
          <w:rFonts w:eastAsiaTheme="minorEastAsia" w:cstheme="minorHAnsi"/>
          <w:iCs/>
        </w:rPr>
        <w:t xml:space="preserve"> will as well, resulting in a healthier future for our youth</w:t>
      </w:r>
      <w:r w:rsidR="00FE10E9">
        <w:rPr>
          <w:rFonts w:eastAsiaTheme="minorEastAsia" w:cstheme="minorHAnsi"/>
          <w:iCs/>
        </w:rPr>
        <w:t xml:space="preserve"> regardless of minority status</w:t>
      </w:r>
      <w:r w:rsidR="008A636E">
        <w:rPr>
          <w:rFonts w:eastAsiaTheme="minorEastAsia" w:cstheme="minorHAnsi"/>
          <w:iCs/>
        </w:rPr>
        <w:t xml:space="preserve">. </w:t>
      </w:r>
    </w:p>
    <w:p w14:paraId="1DBB0CC6" w14:textId="2BE5CA9E" w:rsidR="0051570B" w:rsidRDefault="0051570B" w:rsidP="00975CA7">
      <w:pPr>
        <w:spacing w:line="480" w:lineRule="auto"/>
        <w:ind w:firstLine="720"/>
        <w:contextualSpacing/>
        <w:rPr>
          <w:rFonts w:eastAsiaTheme="minorEastAsia" w:cstheme="minorHAnsi"/>
          <w:iCs/>
        </w:rPr>
      </w:pPr>
    </w:p>
    <w:p w14:paraId="299ADC34" w14:textId="34FE7156" w:rsidR="0051570B" w:rsidRDefault="0051570B" w:rsidP="00975CA7">
      <w:pPr>
        <w:spacing w:line="480" w:lineRule="auto"/>
        <w:ind w:firstLine="720"/>
        <w:contextualSpacing/>
        <w:rPr>
          <w:rFonts w:eastAsiaTheme="minorEastAsia" w:cstheme="minorHAnsi"/>
          <w:iCs/>
        </w:rPr>
      </w:pPr>
    </w:p>
    <w:p w14:paraId="204EBDCC" w14:textId="07D3EE84" w:rsidR="0051570B" w:rsidRDefault="0051570B" w:rsidP="00975CA7">
      <w:pPr>
        <w:spacing w:line="480" w:lineRule="auto"/>
        <w:ind w:firstLine="720"/>
        <w:contextualSpacing/>
        <w:rPr>
          <w:rFonts w:eastAsiaTheme="minorEastAsia" w:cstheme="minorHAnsi"/>
          <w:iCs/>
        </w:rPr>
      </w:pPr>
    </w:p>
    <w:p w14:paraId="6871E24B" w14:textId="740334C1" w:rsidR="0051570B" w:rsidRDefault="0051570B" w:rsidP="00975CA7">
      <w:pPr>
        <w:spacing w:line="480" w:lineRule="auto"/>
        <w:ind w:firstLine="720"/>
        <w:contextualSpacing/>
        <w:rPr>
          <w:rFonts w:eastAsiaTheme="minorEastAsia" w:cstheme="minorHAnsi"/>
          <w:iCs/>
        </w:rPr>
      </w:pPr>
    </w:p>
    <w:p w14:paraId="3A0BC454" w14:textId="707799DD" w:rsidR="0051570B" w:rsidRDefault="0051570B" w:rsidP="00975CA7">
      <w:pPr>
        <w:spacing w:line="480" w:lineRule="auto"/>
        <w:ind w:firstLine="720"/>
        <w:contextualSpacing/>
        <w:rPr>
          <w:rFonts w:eastAsiaTheme="minorEastAsia" w:cstheme="minorHAnsi"/>
          <w:iCs/>
        </w:rPr>
      </w:pPr>
    </w:p>
    <w:p w14:paraId="37569AD6" w14:textId="107EDEC9" w:rsidR="0051570B" w:rsidRDefault="0051570B" w:rsidP="00975CA7">
      <w:pPr>
        <w:spacing w:line="480" w:lineRule="auto"/>
        <w:ind w:firstLine="720"/>
        <w:contextualSpacing/>
        <w:rPr>
          <w:rFonts w:eastAsiaTheme="minorEastAsia" w:cstheme="minorHAnsi"/>
          <w:iCs/>
        </w:rPr>
      </w:pPr>
    </w:p>
    <w:p w14:paraId="6E356CBB" w14:textId="1299261E" w:rsidR="0051570B" w:rsidRDefault="0051570B" w:rsidP="00975CA7">
      <w:pPr>
        <w:spacing w:line="480" w:lineRule="auto"/>
        <w:ind w:firstLine="720"/>
        <w:contextualSpacing/>
        <w:rPr>
          <w:rFonts w:eastAsiaTheme="minorEastAsia" w:cstheme="minorHAnsi"/>
          <w:iCs/>
        </w:rPr>
      </w:pPr>
    </w:p>
    <w:p w14:paraId="1857FAD5" w14:textId="023E7E1F" w:rsidR="0051570B" w:rsidRDefault="0051570B" w:rsidP="00975CA7">
      <w:pPr>
        <w:spacing w:line="480" w:lineRule="auto"/>
        <w:ind w:firstLine="720"/>
        <w:contextualSpacing/>
        <w:rPr>
          <w:rFonts w:eastAsiaTheme="minorEastAsia" w:cstheme="minorHAnsi"/>
          <w:iCs/>
        </w:rPr>
      </w:pPr>
    </w:p>
    <w:p w14:paraId="32791C57" w14:textId="77777777" w:rsidR="0051570B" w:rsidRPr="00586D7E" w:rsidRDefault="0051570B" w:rsidP="00975CA7">
      <w:pPr>
        <w:spacing w:line="480" w:lineRule="auto"/>
        <w:ind w:firstLine="720"/>
        <w:contextualSpacing/>
        <w:rPr>
          <w:rFonts w:cstheme="minorHAnsi"/>
          <w:i/>
          <w:iCs/>
        </w:rPr>
      </w:pPr>
    </w:p>
    <w:p w14:paraId="06FEA7D9" w14:textId="77777777" w:rsidR="00315E71" w:rsidRPr="00691D17" w:rsidRDefault="00315E71" w:rsidP="00975CA7">
      <w:pPr>
        <w:spacing w:line="480" w:lineRule="auto"/>
        <w:contextualSpacing/>
        <w:rPr>
          <w:rFonts w:cstheme="minorHAnsi"/>
        </w:rPr>
      </w:pPr>
    </w:p>
    <w:p w14:paraId="444B5A0B" w14:textId="7BE3EB70" w:rsidR="00B71719" w:rsidRPr="00AB293A" w:rsidRDefault="00B71719" w:rsidP="00975CA7">
      <w:pPr>
        <w:spacing w:line="480" w:lineRule="auto"/>
        <w:contextualSpacing/>
        <w:jc w:val="center"/>
        <w:rPr>
          <w:rFonts w:cstheme="minorHAnsi"/>
          <w:b/>
          <w:bCs/>
        </w:rPr>
      </w:pPr>
      <w:r w:rsidRPr="00AB293A">
        <w:rPr>
          <w:rFonts w:cstheme="minorHAnsi"/>
          <w:b/>
          <w:bCs/>
        </w:rPr>
        <w:lastRenderedPageBreak/>
        <w:t>References</w:t>
      </w:r>
    </w:p>
    <w:p w14:paraId="6723119A" w14:textId="77777777" w:rsidR="00AB293A" w:rsidRDefault="002C4B39" w:rsidP="00975CA7">
      <w:pPr>
        <w:spacing w:line="480" w:lineRule="auto"/>
        <w:contextualSpacing/>
        <w:rPr>
          <w:rFonts w:cstheme="minorHAnsi"/>
        </w:rPr>
      </w:pPr>
      <w:r w:rsidRPr="00691D17">
        <w:rPr>
          <w:rFonts w:cstheme="minorHAnsi"/>
        </w:rPr>
        <w:t xml:space="preserve">Anderson, P. M., &amp; Butcher, K. F. (2006). Reading, Writing, and Refreshments: Are School Finances </w:t>
      </w:r>
    </w:p>
    <w:p w14:paraId="260AFD89" w14:textId="6911B394" w:rsidR="002C4B39" w:rsidRPr="00691D17" w:rsidRDefault="002C4B39" w:rsidP="00975CA7">
      <w:pPr>
        <w:spacing w:line="480" w:lineRule="auto"/>
        <w:ind w:firstLine="720"/>
        <w:contextualSpacing/>
        <w:rPr>
          <w:rFonts w:cstheme="minorHAnsi"/>
        </w:rPr>
      </w:pPr>
      <w:r w:rsidRPr="00691D17">
        <w:rPr>
          <w:rFonts w:cstheme="minorHAnsi"/>
        </w:rPr>
        <w:t xml:space="preserve">Contributing to Children’s Obesity? </w:t>
      </w:r>
      <w:r w:rsidRPr="00691D17">
        <w:rPr>
          <w:rFonts w:cstheme="minorHAnsi"/>
          <w:i/>
          <w:iCs/>
        </w:rPr>
        <w:t>The Journal of Human Resources, 41</w:t>
      </w:r>
      <w:r w:rsidRPr="00691D17">
        <w:rPr>
          <w:rFonts w:cstheme="minorHAnsi"/>
        </w:rPr>
        <w:t>(3), 467-494.</w:t>
      </w:r>
    </w:p>
    <w:p w14:paraId="65B1FC23" w14:textId="77777777" w:rsidR="00AB293A" w:rsidRDefault="001F6E22" w:rsidP="00975CA7">
      <w:pPr>
        <w:spacing w:line="480" w:lineRule="auto"/>
        <w:contextualSpacing/>
        <w:rPr>
          <w:rFonts w:cstheme="minorHAnsi"/>
          <w:i/>
          <w:iCs/>
        </w:rPr>
      </w:pPr>
      <w:r w:rsidRPr="00691D17">
        <w:rPr>
          <w:rFonts w:cstheme="minorHAnsi"/>
        </w:rPr>
        <w:t xml:space="preserve">Davis, K. (2011). </w:t>
      </w:r>
      <w:r w:rsidR="00ED7AD4" w:rsidRPr="00691D17">
        <w:rPr>
          <w:rFonts w:cstheme="minorHAnsi"/>
        </w:rPr>
        <w:t xml:space="preserve">Racial Disparities in Childhood Obesity: Causes, Consequences, and Solutions. </w:t>
      </w:r>
      <w:r w:rsidR="00ED7AD4" w:rsidRPr="00691D17">
        <w:rPr>
          <w:rFonts w:cstheme="minorHAnsi"/>
          <w:i/>
          <w:iCs/>
        </w:rPr>
        <w:t xml:space="preserve">University </w:t>
      </w:r>
    </w:p>
    <w:p w14:paraId="3881516D" w14:textId="035EC4D6" w:rsidR="001F6E22" w:rsidRPr="00691D17" w:rsidRDefault="00ED7AD4" w:rsidP="00975CA7">
      <w:pPr>
        <w:spacing w:line="480" w:lineRule="auto"/>
        <w:ind w:firstLine="720"/>
        <w:contextualSpacing/>
        <w:rPr>
          <w:rFonts w:cstheme="minorHAnsi"/>
        </w:rPr>
      </w:pPr>
      <w:r w:rsidRPr="00691D17">
        <w:rPr>
          <w:rFonts w:cstheme="minorHAnsi"/>
          <w:i/>
          <w:iCs/>
        </w:rPr>
        <w:t>of Pennsylvania Journal of Law and Social Change.</w:t>
      </w:r>
      <w:r w:rsidRPr="00691D17">
        <w:rPr>
          <w:rFonts w:cstheme="minorHAnsi"/>
        </w:rPr>
        <w:t xml:space="preserve"> </w:t>
      </w:r>
      <w:r w:rsidRPr="00691D17">
        <w:rPr>
          <w:rFonts w:cstheme="minorHAnsi"/>
          <w:i/>
          <w:iCs/>
        </w:rPr>
        <w:t>14</w:t>
      </w:r>
      <w:r w:rsidRPr="00691D17">
        <w:rPr>
          <w:rFonts w:cstheme="minorHAnsi"/>
        </w:rPr>
        <w:t xml:space="preserve">, 313-352. </w:t>
      </w:r>
    </w:p>
    <w:p w14:paraId="7A19D622" w14:textId="77777777" w:rsidR="00AB293A" w:rsidRDefault="005650AD" w:rsidP="00975CA7">
      <w:pPr>
        <w:spacing w:line="480" w:lineRule="auto"/>
        <w:contextualSpacing/>
        <w:rPr>
          <w:rFonts w:cstheme="minorHAnsi"/>
        </w:rPr>
      </w:pPr>
      <w:r w:rsidRPr="00691D17">
        <w:rPr>
          <w:rFonts w:cstheme="minorHAnsi"/>
        </w:rPr>
        <w:t xml:space="preserve">Hiatt, K., </w:t>
      </w:r>
      <w:proofErr w:type="spellStart"/>
      <w:r w:rsidRPr="00691D17">
        <w:rPr>
          <w:rFonts w:cstheme="minorHAnsi"/>
        </w:rPr>
        <w:t>Riebel</w:t>
      </w:r>
      <w:proofErr w:type="spellEnd"/>
      <w:r w:rsidRPr="00691D17">
        <w:rPr>
          <w:rFonts w:cstheme="minorHAnsi"/>
        </w:rPr>
        <w:t xml:space="preserve">, L., &amp; Friedman, H. (2007). The Gap Between What We Know and What We Do About </w:t>
      </w:r>
    </w:p>
    <w:p w14:paraId="45A21141" w14:textId="4C38C70B" w:rsidR="005650AD" w:rsidRPr="00691D17" w:rsidRDefault="005650AD" w:rsidP="00975CA7">
      <w:pPr>
        <w:spacing w:line="480" w:lineRule="auto"/>
        <w:ind w:left="720"/>
        <w:contextualSpacing/>
        <w:rPr>
          <w:rFonts w:cstheme="minorHAnsi"/>
        </w:rPr>
      </w:pPr>
      <w:r w:rsidRPr="00691D17">
        <w:rPr>
          <w:rFonts w:cstheme="minorHAnsi"/>
        </w:rPr>
        <w:t xml:space="preserve">Childhood Obesity: A Multi-factor Model for Assessment, Intervention, and Prevention. </w:t>
      </w:r>
      <w:r w:rsidRPr="00691D17">
        <w:rPr>
          <w:rFonts w:cstheme="minorHAnsi"/>
          <w:i/>
          <w:iCs/>
        </w:rPr>
        <w:t>Journal of Social, Behavioral, and Health Sciences, 1</w:t>
      </w:r>
      <w:r w:rsidRPr="00691D17">
        <w:rPr>
          <w:rFonts w:cstheme="minorHAnsi"/>
        </w:rPr>
        <w:t xml:space="preserve">(1), 1-23. </w:t>
      </w:r>
    </w:p>
    <w:p w14:paraId="0AE532E8" w14:textId="77777777" w:rsidR="00AB293A" w:rsidRDefault="00B71719" w:rsidP="00975CA7">
      <w:pPr>
        <w:spacing w:line="480" w:lineRule="auto"/>
        <w:contextualSpacing/>
        <w:rPr>
          <w:rFonts w:cstheme="minorHAnsi"/>
        </w:rPr>
      </w:pPr>
      <w:r w:rsidRPr="00691D17">
        <w:rPr>
          <w:rFonts w:cstheme="minorHAnsi"/>
        </w:rPr>
        <w:t xml:space="preserve">Li, J., &amp; O’Connell, A. A. (2012). Obesity, High-Calorie Food Intake, and Academic Achievement Trends </w:t>
      </w:r>
    </w:p>
    <w:p w14:paraId="3C7FD17A" w14:textId="61EE37F2" w:rsidR="00B71719" w:rsidRPr="00691D17" w:rsidRDefault="00B71719" w:rsidP="00975CA7">
      <w:pPr>
        <w:spacing w:line="480" w:lineRule="auto"/>
        <w:ind w:firstLine="720"/>
        <w:contextualSpacing/>
        <w:rPr>
          <w:rFonts w:cstheme="minorHAnsi"/>
        </w:rPr>
      </w:pPr>
      <w:r w:rsidRPr="00691D17">
        <w:rPr>
          <w:rFonts w:cstheme="minorHAnsi"/>
        </w:rPr>
        <w:t xml:space="preserve">Among U.S. School Children. </w:t>
      </w:r>
      <w:r w:rsidRPr="00691D17">
        <w:rPr>
          <w:rFonts w:cstheme="minorHAnsi"/>
          <w:i/>
          <w:iCs/>
        </w:rPr>
        <w:t>The Journal of Educational Research, 105</w:t>
      </w:r>
      <w:r w:rsidRPr="00691D17">
        <w:rPr>
          <w:rFonts w:cstheme="minorHAnsi"/>
        </w:rPr>
        <w:t xml:space="preserve">, 391-403. </w:t>
      </w:r>
    </w:p>
    <w:p w14:paraId="43A8F449" w14:textId="77777777" w:rsidR="00AB293A" w:rsidRDefault="005650AD" w:rsidP="00975CA7">
      <w:pPr>
        <w:spacing w:line="480" w:lineRule="auto"/>
        <w:contextualSpacing/>
        <w:rPr>
          <w:rFonts w:cstheme="minorHAnsi"/>
          <w:i/>
          <w:iCs/>
        </w:rPr>
      </w:pPr>
      <w:r w:rsidRPr="00691D17">
        <w:rPr>
          <w:rFonts w:cstheme="minorHAnsi"/>
        </w:rPr>
        <w:t xml:space="preserve">Sharma, M. &amp; Ickes, M. (2008). Psychosocial Determinants of Childhood and Adolescent Obesity. </w:t>
      </w:r>
      <w:r w:rsidRPr="00691D17">
        <w:rPr>
          <w:rFonts w:cstheme="minorHAnsi"/>
          <w:i/>
          <w:iCs/>
        </w:rPr>
        <w:t xml:space="preserve">Journal </w:t>
      </w:r>
    </w:p>
    <w:p w14:paraId="333036D0" w14:textId="05986D62" w:rsidR="005650AD" w:rsidRPr="00691D17" w:rsidRDefault="005650AD" w:rsidP="00975CA7">
      <w:pPr>
        <w:spacing w:line="480" w:lineRule="auto"/>
        <w:ind w:firstLine="720"/>
        <w:contextualSpacing/>
        <w:rPr>
          <w:rFonts w:cstheme="minorHAnsi"/>
        </w:rPr>
      </w:pPr>
      <w:r w:rsidRPr="00691D17">
        <w:rPr>
          <w:rFonts w:cstheme="minorHAnsi"/>
          <w:i/>
          <w:iCs/>
        </w:rPr>
        <w:t>of Social, Behavioral, and Health Sciences</w:t>
      </w:r>
      <w:r w:rsidRPr="00691D17">
        <w:rPr>
          <w:rFonts w:cstheme="minorHAnsi"/>
        </w:rPr>
        <w:t xml:space="preserve">, </w:t>
      </w:r>
      <w:r w:rsidRPr="00691D17">
        <w:rPr>
          <w:rFonts w:cstheme="minorHAnsi"/>
          <w:i/>
          <w:iCs/>
        </w:rPr>
        <w:t>2</w:t>
      </w:r>
      <w:r w:rsidRPr="00691D17">
        <w:rPr>
          <w:rFonts w:cstheme="minorHAnsi"/>
        </w:rPr>
        <w:t>(1), 33-49.</w:t>
      </w:r>
    </w:p>
    <w:p w14:paraId="437AFA62" w14:textId="77777777" w:rsidR="00AB293A" w:rsidRDefault="00CF3E06" w:rsidP="00975CA7">
      <w:pPr>
        <w:spacing w:line="480" w:lineRule="auto"/>
        <w:contextualSpacing/>
        <w:rPr>
          <w:rFonts w:cstheme="minorHAnsi"/>
          <w:i/>
          <w:iCs/>
        </w:rPr>
      </w:pPr>
      <w:r w:rsidRPr="00691D17">
        <w:rPr>
          <w:rFonts w:cstheme="minorHAnsi"/>
        </w:rPr>
        <w:t xml:space="preserve">The National Center for Health Statistics. (1971-2018). </w:t>
      </w:r>
      <w:r w:rsidRPr="00691D17">
        <w:rPr>
          <w:rFonts w:cstheme="minorHAnsi"/>
          <w:i/>
          <w:iCs/>
        </w:rPr>
        <w:t xml:space="preserve">National Health and Nutrition Examination Survey </w:t>
      </w:r>
    </w:p>
    <w:p w14:paraId="3ACF2199" w14:textId="2A895AF1" w:rsidR="00CF3E06" w:rsidRPr="00AB293A" w:rsidRDefault="00CF3E06" w:rsidP="00975CA7">
      <w:pPr>
        <w:spacing w:line="480" w:lineRule="auto"/>
        <w:ind w:left="720"/>
        <w:contextualSpacing/>
        <w:rPr>
          <w:rFonts w:cstheme="minorHAnsi"/>
          <w:i/>
          <w:iCs/>
        </w:rPr>
      </w:pPr>
      <w:r w:rsidRPr="00691D17">
        <w:rPr>
          <w:rFonts w:cstheme="minorHAnsi"/>
        </w:rPr>
        <w:t>[Data Set]. Centers for Disease Control and Prevention.</w:t>
      </w:r>
      <w:r w:rsidR="00AB293A">
        <w:rPr>
          <w:rFonts w:cstheme="minorHAnsi"/>
        </w:rPr>
        <w:t xml:space="preserve"> </w:t>
      </w:r>
      <w:hyperlink r:id="rId17" w:history="1">
        <w:r w:rsidR="00AB293A" w:rsidRPr="0055068E">
          <w:rPr>
            <w:rStyle w:val="Hyperlink"/>
            <w:rFonts w:cstheme="minorHAnsi"/>
          </w:rPr>
          <w:t>https://wwwn.cdc.gov/nchs/nhanes/Default.</w:t>
        </w:r>
      </w:hyperlink>
      <w:hyperlink r:id="rId18" w:history="1">
        <w:r w:rsidRPr="00691D17">
          <w:rPr>
            <w:rStyle w:val="Hyperlink"/>
            <w:rFonts w:cstheme="minorHAnsi"/>
          </w:rPr>
          <w:t>aspx</w:t>
        </w:r>
      </w:hyperlink>
    </w:p>
    <w:p w14:paraId="047259DA" w14:textId="77777777" w:rsidR="00AB293A" w:rsidRDefault="00CF3E06" w:rsidP="00975CA7">
      <w:pPr>
        <w:spacing w:line="480" w:lineRule="auto"/>
        <w:contextualSpacing/>
        <w:rPr>
          <w:rFonts w:cstheme="minorHAnsi"/>
          <w:i/>
          <w:iCs/>
        </w:rPr>
      </w:pPr>
      <w:r w:rsidRPr="00691D17">
        <w:rPr>
          <w:rFonts w:cstheme="minorHAnsi"/>
        </w:rPr>
        <w:t xml:space="preserve">Weinstock, M. (2017). The Impacts of Childhood Obesity on Adult Health and Quality of Life. </w:t>
      </w:r>
      <w:r w:rsidRPr="00691D17">
        <w:rPr>
          <w:rFonts w:cstheme="minorHAnsi"/>
          <w:i/>
          <w:iCs/>
        </w:rPr>
        <w:t xml:space="preserve">The Science </w:t>
      </w:r>
    </w:p>
    <w:p w14:paraId="4B63C220" w14:textId="2B194B81" w:rsidR="00F77C9A" w:rsidRDefault="00CF3E06" w:rsidP="00975CA7">
      <w:pPr>
        <w:spacing w:line="480" w:lineRule="auto"/>
        <w:ind w:firstLine="720"/>
        <w:contextualSpacing/>
        <w:rPr>
          <w:rFonts w:cstheme="minorHAnsi"/>
        </w:rPr>
      </w:pPr>
      <w:r w:rsidRPr="00691D17">
        <w:rPr>
          <w:rFonts w:cstheme="minorHAnsi"/>
          <w:i/>
          <w:iCs/>
        </w:rPr>
        <w:t>Journal of the Lander College of Arts and Sciences, 10</w:t>
      </w:r>
      <w:r w:rsidRPr="00691D17">
        <w:rPr>
          <w:rFonts w:cstheme="minorHAnsi"/>
        </w:rPr>
        <w:t xml:space="preserve">(2). </w:t>
      </w:r>
    </w:p>
    <w:p w14:paraId="24F1C5A3" w14:textId="6A37C2B2" w:rsidR="00F77C9A" w:rsidRDefault="00F77C9A" w:rsidP="00975CA7">
      <w:pPr>
        <w:spacing w:line="480" w:lineRule="auto"/>
        <w:contextualSpacing/>
        <w:rPr>
          <w:rFonts w:cstheme="minorHAnsi"/>
        </w:rPr>
      </w:pPr>
    </w:p>
    <w:p w14:paraId="3868219A" w14:textId="77777777" w:rsidR="00D20891" w:rsidRPr="00315E71" w:rsidRDefault="00D20891" w:rsidP="00975CA7">
      <w:pPr>
        <w:spacing w:line="480" w:lineRule="auto"/>
        <w:contextualSpacing/>
        <w:rPr>
          <w:rFonts w:cstheme="minorHAnsi"/>
        </w:rPr>
      </w:pPr>
    </w:p>
    <w:sectPr w:rsidR="00D20891" w:rsidRPr="00315E71" w:rsidSect="00372C2B">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EBDE0" w14:textId="77777777" w:rsidR="00041385" w:rsidRDefault="00041385" w:rsidP="00372C2B">
      <w:pPr>
        <w:spacing w:after="0" w:line="240" w:lineRule="auto"/>
      </w:pPr>
      <w:r>
        <w:separator/>
      </w:r>
    </w:p>
  </w:endnote>
  <w:endnote w:type="continuationSeparator" w:id="0">
    <w:p w14:paraId="622B348E" w14:textId="77777777" w:rsidR="00041385" w:rsidRDefault="00041385" w:rsidP="0037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DABD8" w14:textId="77777777" w:rsidR="00041385" w:rsidRDefault="00041385" w:rsidP="00372C2B">
      <w:pPr>
        <w:spacing w:after="0" w:line="240" w:lineRule="auto"/>
      </w:pPr>
      <w:r>
        <w:separator/>
      </w:r>
    </w:p>
  </w:footnote>
  <w:footnote w:type="continuationSeparator" w:id="0">
    <w:p w14:paraId="308AF15B" w14:textId="77777777" w:rsidR="00041385" w:rsidRDefault="00041385" w:rsidP="0037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6036327"/>
      <w:docPartObj>
        <w:docPartGallery w:val="Page Numbers (Top of Page)"/>
        <w:docPartUnique/>
      </w:docPartObj>
    </w:sdtPr>
    <w:sdtEndPr>
      <w:rPr>
        <w:noProof/>
      </w:rPr>
    </w:sdtEndPr>
    <w:sdtContent>
      <w:p w14:paraId="0795DA49" w14:textId="77399D74" w:rsidR="00372C2B" w:rsidRDefault="00372C2B" w:rsidP="00372C2B">
        <w:pPr>
          <w:pStyle w:val="Header"/>
        </w:pPr>
        <w:r>
          <w:t>CHILDHOOD OBESITY</w:t>
        </w:r>
        <w:r>
          <w:tab/>
        </w:r>
        <w:r>
          <w:tab/>
        </w:r>
        <w:r>
          <w:fldChar w:fldCharType="begin"/>
        </w:r>
        <w:r>
          <w:instrText xml:space="preserve"> PAGE   \* MERGEFORMAT </w:instrText>
        </w:r>
        <w:r>
          <w:fldChar w:fldCharType="separate"/>
        </w:r>
        <w:r>
          <w:rPr>
            <w:noProof/>
          </w:rPr>
          <w:t>2</w:t>
        </w:r>
        <w:r>
          <w:rPr>
            <w:noProof/>
          </w:rPr>
          <w:fldChar w:fldCharType="end"/>
        </w:r>
      </w:p>
    </w:sdtContent>
  </w:sdt>
  <w:p w14:paraId="3F997DE9" w14:textId="07489C03" w:rsidR="00372C2B" w:rsidRDefault="00372C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908777"/>
      <w:docPartObj>
        <w:docPartGallery w:val="Page Numbers (Top of Page)"/>
        <w:docPartUnique/>
      </w:docPartObj>
    </w:sdtPr>
    <w:sdtEndPr>
      <w:rPr>
        <w:noProof/>
      </w:rPr>
    </w:sdtEndPr>
    <w:sdtContent>
      <w:p w14:paraId="65AD51B3" w14:textId="36BEBFB5" w:rsidR="00372C2B" w:rsidRDefault="00372C2B" w:rsidP="00372C2B">
        <w:pPr>
          <w:pStyle w:val="Header"/>
        </w:pPr>
        <w:r>
          <w:t xml:space="preserve">CHILDHOOD OBESITY </w:t>
        </w:r>
        <w:r>
          <w:tab/>
        </w:r>
        <w:r>
          <w:tab/>
        </w:r>
        <w:r>
          <w:fldChar w:fldCharType="begin"/>
        </w:r>
        <w:r>
          <w:instrText xml:space="preserve"> PAGE   \* MERGEFORMAT </w:instrText>
        </w:r>
        <w:r>
          <w:fldChar w:fldCharType="separate"/>
        </w:r>
        <w:r>
          <w:rPr>
            <w:noProof/>
          </w:rPr>
          <w:t>2</w:t>
        </w:r>
        <w:r>
          <w:rPr>
            <w:noProof/>
          </w:rPr>
          <w:fldChar w:fldCharType="end"/>
        </w:r>
      </w:p>
    </w:sdtContent>
  </w:sdt>
  <w:p w14:paraId="2F13B279" w14:textId="77777777" w:rsidR="00372C2B" w:rsidRDefault="00372C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16"/>
    <w:rsid w:val="00041385"/>
    <w:rsid w:val="0007174B"/>
    <w:rsid w:val="000A615A"/>
    <w:rsid w:val="000B4085"/>
    <w:rsid w:val="000B71CC"/>
    <w:rsid w:val="000F3057"/>
    <w:rsid w:val="000F4B8B"/>
    <w:rsid w:val="00102F6B"/>
    <w:rsid w:val="00120C42"/>
    <w:rsid w:val="001253F5"/>
    <w:rsid w:val="001357B4"/>
    <w:rsid w:val="00135B4E"/>
    <w:rsid w:val="0013776A"/>
    <w:rsid w:val="00165B6F"/>
    <w:rsid w:val="001C502B"/>
    <w:rsid w:val="001F6E22"/>
    <w:rsid w:val="00200246"/>
    <w:rsid w:val="00221064"/>
    <w:rsid w:val="00234919"/>
    <w:rsid w:val="002466CA"/>
    <w:rsid w:val="00252220"/>
    <w:rsid w:val="00287AF8"/>
    <w:rsid w:val="002C4B39"/>
    <w:rsid w:val="00300789"/>
    <w:rsid w:val="00315E71"/>
    <w:rsid w:val="0032345B"/>
    <w:rsid w:val="00345C6E"/>
    <w:rsid w:val="00372C2B"/>
    <w:rsid w:val="003B6233"/>
    <w:rsid w:val="003E2854"/>
    <w:rsid w:val="00441810"/>
    <w:rsid w:val="00445561"/>
    <w:rsid w:val="00470830"/>
    <w:rsid w:val="00475F4A"/>
    <w:rsid w:val="004B384A"/>
    <w:rsid w:val="004C673C"/>
    <w:rsid w:val="004C7F6A"/>
    <w:rsid w:val="004E0F8E"/>
    <w:rsid w:val="004F7E50"/>
    <w:rsid w:val="0051570B"/>
    <w:rsid w:val="005353D9"/>
    <w:rsid w:val="005650AD"/>
    <w:rsid w:val="005727AD"/>
    <w:rsid w:val="00574A18"/>
    <w:rsid w:val="00586D7E"/>
    <w:rsid w:val="00592409"/>
    <w:rsid w:val="005B3920"/>
    <w:rsid w:val="005D0E70"/>
    <w:rsid w:val="005D753E"/>
    <w:rsid w:val="005E3D42"/>
    <w:rsid w:val="005E48A4"/>
    <w:rsid w:val="005F4615"/>
    <w:rsid w:val="005F640C"/>
    <w:rsid w:val="00600E95"/>
    <w:rsid w:val="0060711A"/>
    <w:rsid w:val="00626E3C"/>
    <w:rsid w:val="00627BEA"/>
    <w:rsid w:val="00633ECA"/>
    <w:rsid w:val="00691D17"/>
    <w:rsid w:val="006A1460"/>
    <w:rsid w:val="006A3521"/>
    <w:rsid w:val="006A6D39"/>
    <w:rsid w:val="007122B8"/>
    <w:rsid w:val="0071296A"/>
    <w:rsid w:val="007375E9"/>
    <w:rsid w:val="007402A8"/>
    <w:rsid w:val="00764484"/>
    <w:rsid w:val="00774E68"/>
    <w:rsid w:val="007A08B7"/>
    <w:rsid w:val="00821509"/>
    <w:rsid w:val="00860DD9"/>
    <w:rsid w:val="008655AD"/>
    <w:rsid w:val="008912E1"/>
    <w:rsid w:val="008973CF"/>
    <w:rsid w:val="008A636E"/>
    <w:rsid w:val="008C343C"/>
    <w:rsid w:val="00917E56"/>
    <w:rsid w:val="00970BB1"/>
    <w:rsid w:val="00975CA7"/>
    <w:rsid w:val="009B2216"/>
    <w:rsid w:val="00A72620"/>
    <w:rsid w:val="00AB293A"/>
    <w:rsid w:val="00AF2E39"/>
    <w:rsid w:val="00B40659"/>
    <w:rsid w:val="00B60AE9"/>
    <w:rsid w:val="00B71719"/>
    <w:rsid w:val="00B8550C"/>
    <w:rsid w:val="00B953C2"/>
    <w:rsid w:val="00BB1515"/>
    <w:rsid w:val="00BD2C4F"/>
    <w:rsid w:val="00BF0BAD"/>
    <w:rsid w:val="00BF0E1C"/>
    <w:rsid w:val="00C06C86"/>
    <w:rsid w:val="00C07AD3"/>
    <w:rsid w:val="00C7696B"/>
    <w:rsid w:val="00CB29D4"/>
    <w:rsid w:val="00CD2E9C"/>
    <w:rsid w:val="00CD7C81"/>
    <w:rsid w:val="00CF3E06"/>
    <w:rsid w:val="00D130CF"/>
    <w:rsid w:val="00D20891"/>
    <w:rsid w:val="00D21E36"/>
    <w:rsid w:val="00D5795F"/>
    <w:rsid w:val="00E22045"/>
    <w:rsid w:val="00E916AB"/>
    <w:rsid w:val="00EA5778"/>
    <w:rsid w:val="00EA6329"/>
    <w:rsid w:val="00EC40F2"/>
    <w:rsid w:val="00ED6AE7"/>
    <w:rsid w:val="00ED7AD4"/>
    <w:rsid w:val="00EE47B1"/>
    <w:rsid w:val="00EF2C7B"/>
    <w:rsid w:val="00F06259"/>
    <w:rsid w:val="00F576CF"/>
    <w:rsid w:val="00F67816"/>
    <w:rsid w:val="00F77C9A"/>
    <w:rsid w:val="00F84A25"/>
    <w:rsid w:val="00FE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B9AB"/>
  <w15:chartTrackingRefBased/>
  <w15:docId w15:val="{365C4DC6-AC1C-44CF-816E-2FD4D33B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C2B"/>
  </w:style>
  <w:style w:type="paragraph" w:styleId="Footer">
    <w:name w:val="footer"/>
    <w:basedOn w:val="Normal"/>
    <w:link w:val="FooterChar"/>
    <w:uiPriority w:val="99"/>
    <w:unhideWhenUsed/>
    <w:rsid w:val="00372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C2B"/>
  </w:style>
  <w:style w:type="character" w:styleId="Emphasis">
    <w:name w:val="Emphasis"/>
    <w:basedOn w:val="DefaultParagraphFont"/>
    <w:uiPriority w:val="20"/>
    <w:qFormat/>
    <w:rsid w:val="00B953C2"/>
    <w:rPr>
      <w:i/>
      <w:iCs/>
    </w:rPr>
  </w:style>
  <w:style w:type="character" w:styleId="Hyperlink">
    <w:name w:val="Hyperlink"/>
    <w:basedOn w:val="DefaultParagraphFont"/>
    <w:uiPriority w:val="99"/>
    <w:unhideWhenUsed/>
    <w:rsid w:val="00CF3E06"/>
    <w:rPr>
      <w:color w:val="0563C1" w:themeColor="hyperlink"/>
      <w:u w:val="single"/>
    </w:rPr>
  </w:style>
  <w:style w:type="character" w:styleId="UnresolvedMention">
    <w:name w:val="Unresolved Mention"/>
    <w:basedOn w:val="DefaultParagraphFont"/>
    <w:uiPriority w:val="99"/>
    <w:semiHidden/>
    <w:unhideWhenUsed/>
    <w:rsid w:val="00CF3E06"/>
    <w:rPr>
      <w:color w:val="605E5C"/>
      <w:shd w:val="clear" w:color="auto" w:fill="E1DFDD"/>
    </w:rPr>
  </w:style>
  <w:style w:type="table" w:styleId="TableGrid">
    <w:name w:val="Table Grid"/>
    <w:basedOn w:val="TableNormal"/>
    <w:uiPriority w:val="39"/>
    <w:rsid w:val="00F7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0A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15903">
      <w:bodyDiv w:val="1"/>
      <w:marLeft w:val="0"/>
      <w:marRight w:val="0"/>
      <w:marTop w:val="0"/>
      <w:marBottom w:val="0"/>
      <w:divBdr>
        <w:top w:val="none" w:sz="0" w:space="0" w:color="auto"/>
        <w:left w:val="none" w:sz="0" w:space="0" w:color="auto"/>
        <w:bottom w:val="none" w:sz="0" w:space="0" w:color="auto"/>
        <w:right w:val="none" w:sz="0" w:space="0" w:color="auto"/>
      </w:divBdr>
    </w:div>
    <w:div w:id="840852830">
      <w:bodyDiv w:val="1"/>
      <w:marLeft w:val="0"/>
      <w:marRight w:val="0"/>
      <w:marTop w:val="0"/>
      <w:marBottom w:val="0"/>
      <w:divBdr>
        <w:top w:val="none" w:sz="0" w:space="0" w:color="auto"/>
        <w:left w:val="none" w:sz="0" w:space="0" w:color="auto"/>
        <w:bottom w:val="none" w:sz="0" w:space="0" w:color="auto"/>
        <w:right w:val="none" w:sz="0" w:space="0" w:color="auto"/>
      </w:divBdr>
    </w:div>
    <w:div w:id="875387191">
      <w:bodyDiv w:val="1"/>
      <w:marLeft w:val="0"/>
      <w:marRight w:val="0"/>
      <w:marTop w:val="0"/>
      <w:marBottom w:val="0"/>
      <w:divBdr>
        <w:top w:val="none" w:sz="0" w:space="0" w:color="auto"/>
        <w:left w:val="none" w:sz="0" w:space="0" w:color="auto"/>
        <w:bottom w:val="none" w:sz="0" w:space="0" w:color="auto"/>
        <w:right w:val="none" w:sz="0" w:space="0" w:color="auto"/>
      </w:divBdr>
    </w:div>
    <w:div w:id="905452158">
      <w:bodyDiv w:val="1"/>
      <w:marLeft w:val="0"/>
      <w:marRight w:val="0"/>
      <w:marTop w:val="0"/>
      <w:marBottom w:val="0"/>
      <w:divBdr>
        <w:top w:val="none" w:sz="0" w:space="0" w:color="auto"/>
        <w:left w:val="none" w:sz="0" w:space="0" w:color="auto"/>
        <w:bottom w:val="none" w:sz="0" w:space="0" w:color="auto"/>
        <w:right w:val="none" w:sz="0" w:space="0" w:color="auto"/>
      </w:divBdr>
    </w:div>
    <w:div w:id="1641569454">
      <w:bodyDiv w:val="1"/>
      <w:marLeft w:val="0"/>
      <w:marRight w:val="0"/>
      <w:marTop w:val="0"/>
      <w:marBottom w:val="0"/>
      <w:divBdr>
        <w:top w:val="none" w:sz="0" w:space="0" w:color="auto"/>
        <w:left w:val="none" w:sz="0" w:space="0" w:color="auto"/>
        <w:bottom w:val="none" w:sz="0" w:space="0" w:color="auto"/>
        <w:right w:val="none" w:sz="0" w:space="0" w:color="auto"/>
      </w:divBdr>
    </w:div>
    <w:div w:id="1857962743">
      <w:bodyDiv w:val="1"/>
      <w:marLeft w:val="0"/>
      <w:marRight w:val="0"/>
      <w:marTop w:val="0"/>
      <w:marBottom w:val="0"/>
      <w:divBdr>
        <w:top w:val="none" w:sz="0" w:space="0" w:color="auto"/>
        <w:left w:val="none" w:sz="0" w:space="0" w:color="auto"/>
        <w:bottom w:val="none" w:sz="0" w:space="0" w:color="auto"/>
        <w:right w:val="none" w:sz="0" w:space="0" w:color="auto"/>
      </w:divBdr>
    </w:div>
    <w:div w:id="198142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hyperlink" Target="https://wwwn.cdc.gov/nchs/nhanes/Default.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hyperlink" Target="https://wwwn.cdc.gov/nchs/nhanes/Default." TargetMode="Externa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dyBug\Documents\Data%20obes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dyBug\Documents\Data%20obesit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2">
                  <a:lumMod val="75000"/>
                </a:schemeClr>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Sheet1!$A$23:$L$23</c:f>
              <c:numCache>
                <c:formatCode>General</c:formatCode>
                <c:ptCount val="12"/>
                <c:pt idx="0">
                  <c:v>0</c:v>
                </c:pt>
                <c:pt idx="1">
                  <c:v>5</c:v>
                </c:pt>
                <c:pt idx="2">
                  <c:v>17</c:v>
                </c:pt>
                <c:pt idx="3">
                  <c:v>28</c:v>
                </c:pt>
                <c:pt idx="4">
                  <c:v>30</c:v>
                </c:pt>
                <c:pt idx="5">
                  <c:v>32</c:v>
                </c:pt>
                <c:pt idx="6">
                  <c:v>34</c:v>
                </c:pt>
                <c:pt idx="7">
                  <c:v>36</c:v>
                </c:pt>
                <c:pt idx="8">
                  <c:v>38</c:v>
                </c:pt>
                <c:pt idx="9">
                  <c:v>40</c:v>
                </c:pt>
                <c:pt idx="10">
                  <c:v>42</c:v>
                </c:pt>
                <c:pt idx="11">
                  <c:v>44</c:v>
                </c:pt>
              </c:numCache>
            </c:numRef>
          </c:xVal>
          <c:yVal>
            <c:numRef>
              <c:f>Sheet1!$A$24:$L$24</c:f>
              <c:numCache>
                <c:formatCode>General</c:formatCode>
                <c:ptCount val="12"/>
                <c:pt idx="0">
                  <c:v>5.2</c:v>
                </c:pt>
                <c:pt idx="1">
                  <c:v>5.5</c:v>
                </c:pt>
                <c:pt idx="2">
                  <c:v>10</c:v>
                </c:pt>
                <c:pt idx="3">
                  <c:v>13.9</c:v>
                </c:pt>
                <c:pt idx="4">
                  <c:v>15.4</c:v>
                </c:pt>
                <c:pt idx="5">
                  <c:v>17.100000000000001</c:v>
                </c:pt>
                <c:pt idx="6">
                  <c:v>15.4</c:v>
                </c:pt>
                <c:pt idx="7">
                  <c:v>16.8</c:v>
                </c:pt>
                <c:pt idx="8">
                  <c:v>16.899999999999999</c:v>
                </c:pt>
                <c:pt idx="9">
                  <c:v>16.899999999999999</c:v>
                </c:pt>
                <c:pt idx="10">
                  <c:v>17.2</c:v>
                </c:pt>
                <c:pt idx="11">
                  <c:v>18.5</c:v>
                </c:pt>
              </c:numCache>
            </c:numRef>
          </c:yVal>
          <c:smooth val="0"/>
          <c:extLst>
            <c:ext xmlns:c16="http://schemas.microsoft.com/office/drawing/2014/chart" uri="{C3380CC4-5D6E-409C-BE32-E72D297353CC}">
              <c16:uniqueId val="{00000000-AE08-498B-A692-028932D464F0}"/>
            </c:ext>
          </c:extLst>
        </c:ser>
        <c:dLbls>
          <c:dLblPos val="t"/>
          <c:showLegendKey val="0"/>
          <c:showVal val="1"/>
          <c:showCatName val="0"/>
          <c:showSerName val="0"/>
          <c:showPercent val="0"/>
          <c:showBubbleSize val="0"/>
        </c:dLbls>
        <c:axId val="1285896479"/>
        <c:axId val="883906959"/>
      </c:scatterChart>
      <c:valAx>
        <c:axId val="1285896479"/>
        <c:scaling>
          <c:orientation val="minMax"/>
          <c:max val="4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 since 1971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906959"/>
        <c:crosses val="autoZero"/>
        <c:crossBetween val="midCat"/>
      </c:valAx>
      <c:valAx>
        <c:axId val="88390695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Obese Children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8964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Sheet1!$A$1:$W$1</c:f>
              <c:strCache>
                <c:ptCount val="23"/>
                <c:pt idx="0">
                  <c:v>1971-1972</c:v>
                </c:pt>
                <c:pt idx="1">
                  <c:v>1973-1974</c:v>
                </c:pt>
                <c:pt idx="2">
                  <c:v>1975-1976</c:v>
                </c:pt>
                <c:pt idx="3">
                  <c:v>1977-1978</c:v>
                </c:pt>
                <c:pt idx="4">
                  <c:v>1979-1980</c:v>
                </c:pt>
                <c:pt idx="5">
                  <c:v>1981-1982</c:v>
                </c:pt>
                <c:pt idx="6">
                  <c:v>1983-1984</c:v>
                </c:pt>
                <c:pt idx="7">
                  <c:v>1985-1986</c:v>
                </c:pt>
                <c:pt idx="8">
                  <c:v>1987-1988</c:v>
                </c:pt>
                <c:pt idx="9">
                  <c:v>1989-1990</c:v>
                </c:pt>
                <c:pt idx="10">
                  <c:v>1991-1992</c:v>
                </c:pt>
                <c:pt idx="11">
                  <c:v>1993-1994</c:v>
                </c:pt>
                <c:pt idx="12">
                  <c:v>1995-1996</c:v>
                </c:pt>
                <c:pt idx="13">
                  <c:v>1997-1998</c:v>
                </c:pt>
                <c:pt idx="14">
                  <c:v>1999-2000</c:v>
                </c:pt>
                <c:pt idx="15">
                  <c:v>2001-2002</c:v>
                </c:pt>
                <c:pt idx="16">
                  <c:v>2003-2004</c:v>
                </c:pt>
                <c:pt idx="17">
                  <c:v>2005-2006</c:v>
                </c:pt>
                <c:pt idx="18">
                  <c:v>2007-2008</c:v>
                </c:pt>
                <c:pt idx="19">
                  <c:v>2009-2010</c:v>
                </c:pt>
                <c:pt idx="20">
                  <c:v>2011-2012</c:v>
                </c:pt>
                <c:pt idx="21">
                  <c:v>2013-2014</c:v>
                </c:pt>
                <c:pt idx="22">
                  <c:v>2015-2016</c:v>
                </c:pt>
              </c:strCache>
            </c:strRef>
          </c:cat>
          <c:val>
            <c:numRef>
              <c:f>Sheet1!$A$2:$W$2</c:f>
              <c:numCache>
                <c:formatCode>General</c:formatCode>
                <c:ptCount val="23"/>
                <c:pt idx="0">
                  <c:v>5.2</c:v>
                </c:pt>
                <c:pt idx="1">
                  <c:v>5.2</c:v>
                </c:pt>
                <c:pt idx="2">
                  <c:v>5.5</c:v>
                </c:pt>
                <c:pt idx="3">
                  <c:v>5.5</c:v>
                </c:pt>
                <c:pt idx="4">
                  <c:v>5.5</c:v>
                </c:pt>
                <c:pt idx="8">
                  <c:v>10</c:v>
                </c:pt>
                <c:pt idx="9">
                  <c:v>10</c:v>
                </c:pt>
                <c:pt idx="10">
                  <c:v>10</c:v>
                </c:pt>
                <c:pt idx="11">
                  <c:v>10</c:v>
                </c:pt>
                <c:pt idx="14">
                  <c:v>13.9</c:v>
                </c:pt>
                <c:pt idx="15">
                  <c:v>15.4</c:v>
                </c:pt>
                <c:pt idx="16">
                  <c:v>17.100000000000001</c:v>
                </c:pt>
                <c:pt idx="17">
                  <c:v>15.4</c:v>
                </c:pt>
                <c:pt idx="18">
                  <c:v>16.8</c:v>
                </c:pt>
                <c:pt idx="19">
                  <c:v>16.899999999999999</c:v>
                </c:pt>
                <c:pt idx="20">
                  <c:v>16.899999999999999</c:v>
                </c:pt>
                <c:pt idx="21">
                  <c:v>17.2</c:v>
                </c:pt>
                <c:pt idx="22">
                  <c:v>18.5</c:v>
                </c:pt>
              </c:numCache>
            </c:numRef>
          </c:val>
          <c:smooth val="0"/>
          <c:extLst>
            <c:ext xmlns:c16="http://schemas.microsoft.com/office/drawing/2014/chart" uri="{C3380CC4-5D6E-409C-BE32-E72D297353CC}">
              <c16:uniqueId val="{00000000-A367-47BA-B290-58125641BEC5}"/>
            </c:ext>
          </c:extLst>
        </c:ser>
        <c:dLbls>
          <c:dLblPos val="t"/>
          <c:showLegendKey val="0"/>
          <c:showVal val="1"/>
          <c:showCatName val="0"/>
          <c:showSerName val="0"/>
          <c:showPercent val="0"/>
          <c:showBubbleSize val="0"/>
        </c:dLbls>
        <c:marker val="1"/>
        <c:smooth val="0"/>
        <c:axId val="2043548448"/>
        <c:axId val="2040334224"/>
      </c:lineChart>
      <c:catAx>
        <c:axId val="204354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334224"/>
        <c:crosses val="autoZero"/>
        <c:auto val="1"/>
        <c:lblAlgn val="ctr"/>
        <c:lblOffset val="100"/>
        <c:noMultiLvlLbl val="0"/>
      </c:catAx>
      <c:valAx>
        <c:axId val="204033422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Percentage of Obese Children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548448"/>
        <c:crosses val="autoZero"/>
        <c:crossBetween val="between"/>
      </c:valAx>
      <c:spPr>
        <a:solidFill>
          <a:schemeClr val="bg1"/>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Girls</c:v>
          </c:tx>
          <c:spPr>
            <a:ln w="22225" cap="rnd">
              <a:solidFill>
                <a:srgbClr val="7030A0"/>
              </a:solidFill>
              <a:round/>
            </a:ln>
            <a:effectLst/>
          </c:spPr>
          <c:marker>
            <c:symbol val="circle"/>
            <c:size val="5"/>
            <c:spPr>
              <a:solidFill>
                <a:srgbClr val="7030A0"/>
              </a:solidFill>
              <a:ln w="9525">
                <a:solidFill>
                  <a:srgbClr val="7030A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7030A0"/>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Sheet1!$A$1:$W$1</c:f>
              <c:strCache>
                <c:ptCount val="23"/>
                <c:pt idx="0">
                  <c:v>1971-1972</c:v>
                </c:pt>
                <c:pt idx="1">
                  <c:v>1973-1974</c:v>
                </c:pt>
                <c:pt idx="2">
                  <c:v>1975-1976</c:v>
                </c:pt>
                <c:pt idx="3">
                  <c:v>1977-1978</c:v>
                </c:pt>
                <c:pt idx="4">
                  <c:v>1979-1980</c:v>
                </c:pt>
                <c:pt idx="5">
                  <c:v>1981-1982</c:v>
                </c:pt>
                <c:pt idx="6">
                  <c:v>1983-1984</c:v>
                </c:pt>
                <c:pt idx="7">
                  <c:v>1985-1986</c:v>
                </c:pt>
                <c:pt idx="8">
                  <c:v>1987-1988</c:v>
                </c:pt>
                <c:pt idx="9">
                  <c:v>1989-1990</c:v>
                </c:pt>
                <c:pt idx="10">
                  <c:v>1991-1992</c:v>
                </c:pt>
                <c:pt idx="11">
                  <c:v>1993-1994</c:v>
                </c:pt>
                <c:pt idx="12">
                  <c:v>1995-1996</c:v>
                </c:pt>
                <c:pt idx="13">
                  <c:v>1997-1998</c:v>
                </c:pt>
                <c:pt idx="14">
                  <c:v>1999-2000</c:v>
                </c:pt>
                <c:pt idx="15">
                  <c:v>2001-2002</c:v>
                </c:pt>
                <c:pt idx="16">
                  <c:v>2003-2004</c:v>
                </c:pt>
                <c:pt idx="17">
                  <c:v>2005-2006</c:v>
                </c:pt>
                <c:pt idx="18">
                  <c:v>2007-2008</c:v>
                </c:pt>
                <c:pt idx="19">
                  <c:v>2009-2010</c:v>
                </c:pt>
                <c:pt idx="20">
                  <c:v>2011-2012</c:v>
                </c:pt>
                <c:pt idx="21">
                  <c:v>2013-2014</c:v>
                </c:pt>
                <c:pt idx="22">
                  <c:v>2015-2016</c:v>
                </c:pt>
              </c:strCache>
            </c:strRef>
          </c:cat>
          <c:val>
            <c:numRef>
              <c:f>Sheet1!$A$17:$W$17</c:f>
              <c:numCache>
                <c:formatCode>General</c:formatCode>
                <c:ptCount val="23"/>
                <c:pt idx="0">
                  <c:v>5.0999999999999996</c:v>
                </c:pt>
                <c:pt idx="1">
                  <c:v>5.0999999999999996</c:v>
                </c:pt>
                <c:pt idx="2">
                  <c:v>5.6</c:v>
                </c:pt>
                <c:pt idx="3">
                  <c:v>5.6</c:v>
                </c:pt>
                <c:pt idx="4">
                  <c:v>5.6</c:v>
                </c:pt>
                <c:pt idx="8">
                  <c:v>9.8000000000000007</c:v>
                </c:pt>
                <c:pt idx="9">
                  <c:v>9.8000000000000007</c:v>
                </c:pt>
                <c:pt idx="10">
                  <c:v>9.8000000000000007</c:v>
                </c:pt>
                <c:pt idx="11">
                  <c:v>9.8000000000000007</c:v>
                </c:pt>
                <c:pt idx="14">
                  <c:v>13.8</c:v>
                </c:pt>
                <c:pt idx="15">
                  <c:v>14.3</c:v>
                </c:pt>
                <c:pt idx="16">
                  <c:v>16</c:v>
                </c:pt>
                <c:pt idx="17">
                  <c:v>14.9</c:v>
                </c:pt>
                <c:pt idx="18">
                  <c:v>15.9</c:v>
                </c:pt>
                <c:pt idx="19">
                  <c:v>15</c:v>
                </c:pt>
                <c:pt idx="20">
                  <c:v>17.2</c:v>
                </c:pt>
                <c:pt idx="21">
                  <c:v>17.100000000000001</c:v>
                </c:pt>
                <c:pt idx="22">
                  <c:v>17.8</c:v>
                </c:pt>
              </c:numCache>
            </c:numRef>
          </c:val>
          <c:smooth val="0"/>
          <c:extLst>
            <c:ext xmlns:c16="http://schemas.microsoft.com/office/drawing/2014/chart" uri="{C3380CC4-5D6E-409C-BE32-E72D297353CC}">
              <c16:uniqueId val="{00000000-557A-4795-B97A-2449BD09A7B0}"/>
            </c:ext>
          </c:extLst>
        </c:ser>
        <c:ser>
          <c:idx val="1"/>
          <c:order val="1"/>
          <c:tx>
            <c:v>Boys</c:v>
          </c:tx>
          <c:spPr>
            <a:ln w="2222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6">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Sheet1!$A$1:$W$1</c:f>
              <c:strCache>
                <c:ptCount val="23"/>
                <c:pt idx="0">
                  <c:v>1971-1972</c:v>
                </c:pt>
                <c:pt idx="1">
                  <c:v>1973-1974</c:v>
                </c:pt>
                <c:pt idx="2">
                  <c:v>1975-1976</c:v>
                </c:pt>
                <c:pt idx="3">
                  <c:v>1977-1978</c:v>
                </c:pt>
                <c:pt idx="4">
                  <c:v>1979-1980</c:v>
                </c:pt>
                <c:pt idx="5">
                  <c:v>1981-1982</c:v>
                </c:pt>
                <c:pt idx="6">
                  <c:v>1983-1984</c:v>
                </c:pt>
                <c:pt idx="7">
                  <c:v>1985-1986</c:v>
                </c:pt>
                <c:pt idx="8">
                  <c:v>1987-1988</c:v>
                </c:pt>
                <c:pt idx="9">
                  <c:v>1989-1990</c:v>
                </c:pt>
                <c:pt idx="10">
                  <c:v>1991-1992</c:v>
                </c:pt>
                <c:pt idx="11">
                  <c:v>1993-1994</c:v>
                </c:pt>
                <c:pt idx="12">
                  <c:v>1995-1996</c:v>
                </c:pt>
                <c:pt idx="13">
                  <c:v>1997-1998</c:v>
                </c:pt>
                <c:pt idx="14">
                  <c:v>1999-2000</c:v>
                </c:pt>
                <c:pt idx="15">
                  <c:v>2001-2002</c:v>
                </c:pt>
                <c:pt idx="16">
                  <c:v>2003-2004</c:v>
                </c:pt>
                <c:pt idx="17">
                  <c:v>2005-2006</c:v>
                </c:pt>
                <c:pt idx="18">
                  <c:v>2007-2008</c:v>
                </c:pt>
                <c:pt idx="19">
                  <c:v>2009-2010</c:v>
                </c:pt>
                <c:pt idx="20">
                  <c:v>2011-2012</c:v>
                </c:pt>
                <c:pt idx="21">
                  <c:v>2013-2014</c:v>
                </c:pt>
                <c:pt idx="22">
                  <c:v>2015-2016</c:v>
                </c:pt>
              </c:strCache>
            </c:strRef>
          </c:cat>
          <c:val>
            <c:numRef>
              <c:f>Sheet1!$A$18:$W$18</c:f>
              <c:numCache>
                <c:formatCode>General</c:formatCode>
                <c:ptCount val="23"/>
                <c:pt idx="0">
                  <c:v>5.3</c:v>
                </c:pt>
                <c:pt idx="1">
                  <c:v>5.3</c:v>
                </c:pt>
                <c:pt idx="2">
                  <c:v>5.4</c:v>
                </c:pt>
                <c:pt idx="3">
                  <c:v>5.4</c:v>
                </c:pt>
                <c:pt idx="4">
                  <c:v>5.4</c:v>
                </c:pt>
                <c:pt idx="8">
                  <c:v>10.199999999999999</c:v>
                </c:pt>
                <c:pt idx="9">
                  <c:v>10.199999999999999</c:v>
                </c:pt>
                <c:pt idx="10">
                  <c:v>10.199999999999999</c:v>
                </c:pt>
                <c:pt idx="11">
                  <c:v>10.199999999999999</c:v>
                </c:pt>
                <c:pt idx="14">
                  <c:v>14</c:v>
                </c:pt>
                <c:pt idx="15">
                  <c:v>16.399999999999999</c:v>
                </c:pt>
                <c:pt idx="16">
                  <c:v>18.2</c:v>
                </c:pt>
                <c:pt idx="17">
                  <c:v>15.9</c:v>
                </c:pt>
                <c:pt idx="18">
                  <c:v>17.7</c:v>
                </c:pt>
                <c:pt idx="19">
                  <c:v>18.600000000000001</c:v>
                </c:pt>
                <c:pt idx="20">
                  <c:v>16.7</c:v>
                </c:pt>
                <c:pt idx="21">
                  <c:v>17.2</c:v>
                </c:pt>
                <c:pt idx="22">
                  <c:v>19.100000000000001</c:v>
                </c:pt>
              </c:numCache>
            </c:numRef>
          </c:val>
          <c:smooth val="0"/>
          <c:extLst>
            <c:ext xmlns:c16="http://schemas.microsoft.com/office/drawing/2014/chart" uri="{C3380CC4-5D6E-409C-BE32-E72D297353CC}">
              <c16:uniqueId val="{00000001-557A-4795-B97A-2449BD09A7B0}"/>
            </c:ext>
          </c:extLst>
        </c:ser>
        <c:dLbls>
          <c:showLegendKey val="0"/>
          <c:showVal val="0"/>
          <c:showCatName val="0"/>
          <c:showSerName val="0"/>
          <c:showPercent val="0"/>
          <c:showBubbleSize val="0"/>
        </c:dLbls>
        <c:marker val="1"/>
        <c:smooth val="0"/>
        <c:axId val="1564386687"/>
        <c:axId val="1422283599"/>
      </c:lineChart>
      <c:catAx>
        <c:axId val="1564386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283599"/>
        <c:crosses val="autoZero"/>
        <c:auto val="1"/>
        <c:lblAlgn val="ctr"/>
        <c:lblOffset val="100"/>
        <c:noMultiLvlLbl val="0"/>
      </c:catAx>
      <c:valAx>
        <c:axId val="1422283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Obese Children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438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Females 2-5</c:v>
          </c:tx>
          <c:spPr>
            <a:ln w="19050" cap="rnd">
              <a:solidFill>
                <a:schemeClr val="accent1">
                  <a:lumMod val="60000"/>
                  <a:lumOff val="40000"/>
                </a:schemeClr>
              </a:solidFill>
              <a:round/>
            </a:ln>
            <a:effectLst/>
          </c:spPr>
          <c:marker>
            <c:symbol val="circle"/>
            <c:size val="5"/>
            <c:spPr>
              <a:solidFill>
                <a:schemeClr val="accent1">
                  <a:lumMod val="40000"/>
                  <a:lumOff val="60000"/>
                </a:schemeClr>
              </a:solidFill>
              <a:ln w="9525">
                <a:solidFill>
                  <a:schemeClr val="accent1">
                    <a:lumMod val="40000"/>
                    <a:lumOff val="60000"/>
                    <a:alpha val="96000"/>
                  </a:schemeClr>
                </a:solidFill>
              </a:ln>
              <a:effectLst/>
            </c:spPr>
          </c:marker>
          <c:cat>
            <c:strRef>
              <c:f>Sheet1!$A$1:$W$1</c:f>
              <c:strCache>
                <c:ptCount val="23"/>
                <c:pt idx="0">
                  <c:v>1971-1972</c:v>
                </c:pt>
                <c:pt idx="1">
                  <c:v>1973-1974</c:v>
                </c:pt>
                <c:pt idx="2">
                  <c:v>1975-1976</c:v>
                </c:pt>
                <c:pt idx="3">
                  <c:v>1977-1978</c:v>
                </c:pt>
                <c:pt idx="4">
                  <c:v>1979-1980</c:v>
                </c:pt>
                <c:pt idx="5">
                  <c:v>1981-1982</c:v>
                </c:pt>
                <c:pt idx="6">
                  <c:v>1983-1984</c:v>
                </c:pt>
                <c:pt idx="7">
                  <c:v>1985-1986</c:v>
                </c:pt>
                <c:pt idx="8">
                  <c:v>1987-1988</c:v>
                </c:pt>
                <c:pt idx="9">
                  <c:v>1989-1990</c:v>
                </c:pt>
                <c:pt idx="10">
                  <c:v>1991-1992</c:v>
                </c:pt>
                <c:pt idx="11">
                  <c:v>1993-1994</c:v>
                </c:pt>
                <c:pt idx="12">
                  <c:v>1995-1996</c:v>
                </c:pt>
                <c:pt idx="13">
                  <c:v>1997-1998</c:v>
                </c:pt>
                <c:pt idx="14">
                  <c:v>1999-2000</c:v>
                </c:pt>
                <c:pt idx="15">
                  <c:v>2001-2002</c:v>
                </c:pt>
                <c:pt idx="16">
                  <c:v>2003-2004</c:v>
                </c:pt>
                <c:pt idx="17">
                  <c:v>2005-2006</c:v>
                </c:pt>
                <c:pt idx="18">
                  <c:v>2007-2008</c:v>
                </c:pt>
                <c:pt idx="19">
                  <c:v>2009-2010</c:v>
                </c:pt>
                <c:pt idx="20">
                  <c:v>2011-2012</c:v>
                </c:pt>
                <c:pt idx="21">
                  <c:v>2013-2014</c:v>
                </c:pt>
                <c:pt idx="22">
                  <c:v>2015-2016</c:v>
                </c:pt>
              </c:strCache>
            </c:strRef>
          </c:cat>
          <c:val>
            <c:numRef>
              <c:f>Sheet1!$A$5:$W$5</c:f>
              <c:numCache>
                <c:formatCode>General</c:formatCode>
                <c:ptCount val="23"/>
                <c:pt idx="0">
                  <c:v>4.9000000000000004</c:v>
                </c:pt>
                <c:pt idx="1">
                  <c:v>4.9000000000000004</c:v>
                </c:pt>
                <c:pt idx="2">
                  <c:v>5.3</c:v>
                </c:pt>
                <c:pt idx="3">
                  <c:v>5.3</c:v>
                </c:pt>
                <c:pt idx="4">
                  <c:v>5.3</c:v>
                </c:pt>
                <c:pt idx="8">
                  <c:v>8.1999999999999993</c:v>
                </c:pt>
                <c:pt idx="9">
                  <c:v>8.1999999999999993</c:v>
                </c:pt>
                <c:pt idx="10">
                  <c:v>8.1999999999999993</c:v>
                </c:pt>
                <c:pt idx="11">
                  <c:v>8.1999999999999993</c:v>
                </c:pt>
                <c:pt idx="14">
                  <c:v>11.2</c:v>
                </c:pt>
                <c:pt idx="15">
                  <c:v>10.5</c:v>
                </c:pt>
                <c:pt idx="16">
                  <c:v>12.7</c:v>
                </c:pt>
                <c:pt idx="17">
                  <c:v>11</c:v>
                </c:pt>
                <c:pt idx="18">
                  <c:v>10.9</c:v>
                </c:pt>
                <c:pt idx="19">
                  <c:v>9.6</c:v>
                </c:pt>
                <c:pt idx="20">
                  <c:v>7.2</c:v>
                </c:pt>
                <c:pt idx="21">
                  <c:v>10</c:v>
                </c:pt>
                <c:pt idx="22">
                  <c:v>13.5</c:v>
                </c:pt>
              </c:numCache>
            </c:numRef>
          </c:val>
          <c:smooth val="0"/>
          <c:extLst>
            <c:ext xmlns:c16="http://schemas.microsoft.com/office/drawing/2014/chart" uri="{C3380CC4-5D6E-409C-BE32-E72D297353CC}">
              <c16:uniqueId val="{00000000-F135-4008-860C-090D47F244E6}"/>
            </c:ext>
          </c:extLst>
        </c:ser>
        <c:ser>
          <c:idx val="1"/>
          <c:order val="1"/>
          <c:tx>
            <c:v>Females 6-11</c:v>
          </c:tx>
          <c:spPr>
            <a:ln w="22225" cap="rnd">
              <a:solidFill>
                <a:schemeClr val="accent3">
                  <a:lumMod val="75000"/>
                </a:schemeClr>
              </a:solidFill>
              <a:round/>
            </a:ln>
            <a:effectLst/>
          </c:spPr>
          <c:marker>
            <c:symbol val="circle"/>
            <c:size val="5"/>
            <c:spPr>
              <a:solidFill>
                <a:schemeClr val="bg2">
                  <a:lumMod val="50000"/>
                </a:schemeClr>
              </a:solidFill>
              <a:ln w="9525">
                <a:solidFill>
                  <a:schemeClr val="bg2">
                    <a:lumMod val="50000"/>
                  </a:schemeClr>
                </a:solidFill>
              </a:ln>
              <a:effectLst/>
            </c:spPr>
          </c:marker>
          <c:cat>
            <c:strRef>
              <c:f>Sheet1!$A$1:$W$1</c:f>
              <c:strCache>
                <c:ptCount val="23"/>
                <c:pt idx="0">
                  <c:v>1971-1972</c:v>
                </c:pt>
                <c:pt idx="1">
                  <c:v>1973-1974</c:v>
                </c:pt>
                <c:pt idx="2">
                  <c:v>1975-1976</c:v>
                </c:pt>
                <c:pt idx="3">
                  <c:v>1977-1978</c:v>
                </c:pt>
                <c:pt idx="4">
                  <c:v>1979-1980</c:v>
                </c:pt>
                <c:pt idx="5">
                  <c:v>1981-1982</c:v>
                </c:pt>
                <c:pt idx="6">
                  <c:v>1983-1984</c:v>
                </c:pt>
                <c:pt idx="7">
                  <c:v>1985-1986</c:v>
                </c:pt>
                <c:pt idx="8">
                  <c:v>1987-1988</c:v>
                </c:pt>
                <c:pt idx="9">
                  <c:v>1989-1990</c:v>
                </c:pt>
                <c:pt idx="10">
                  <c:v>1991-1992</c:v>
                </c:pt>
                <c:pt idx="11">
                  <c:v>1993-1994</c:v>
                </c:pt>
                <c:pt idx="12">
                  <c:v>1995-1996</c:v>
                </c:pt>
                <c:pt idx="13">
                  <c:v>1997-1998</c:v>
                </c:pt>
                <c:pt idx="14">
                  <c:v>1999-2000</c:v>
                </c:pt>
                <c:pt idx="15">
                  <c:v>2001-2002</c:v>
                </c:pt>
                <c:pt idx="16">
                  <c:v>2003-2004</c:v>
                </c:pt>
                <c:pt idx="17">
                  <c:v>2005-2006</c:v>
                </c:pt>
                <c:pt idx="18">
                  <c:v>2007-2008</c:v>
                </c:pt>
                <c:pt idx="19">
                  <c:v>2009-2010</c:v>
                </c:pt>
                <c:pt idx="20">
                  <c:v>2011-2012</c:v>
                </c:pt>
                <c:pt idx="21">
                  <c:v>2013-2014</c:v>
                </c:pt>
                <c:pt idx="22">
                  <c:v>2015-2016</c:v>
                </c:pt>
              </c:strCache>
            </c:strRef>
          </c:cat>
          <c:val>
            <c:numRef>
              <c:f>Sheet1!$A$6:$W$6</c:f>
              <c:numCache>
                <c:formatCode>General</c:formatCode>
                <c:ptCount val="23"/>
                <c:pt idx="0">
                  <c:v>3.6</c:v>
                </c:pt>
                <c:pt idx="1">
                  <c:v>3.6</c:v>
                </c:pt>
                <c:pt idx="2">
                  <c:v>6.4</c:v>
                </c:pt>
                <c:pt idx="3">
                  <c:v>6.4</c:v>
                </c:pt>
                <c:pt idx="4">
                  <c:v>6.4</c:v>
                </c:pt>
                <c:pt idx="8">
                  <c:v>11</c:v>
                </c:pt>
                <c:pt idx="9">
                  <c:v>11</c:v>
                </c:pt>
                <c:pt idx="10">
                  <c:v>11</c:v>
                </c:pt>
                <c:pt idx="11">
                  <c:v>11</c:v>
                </c:pt>
                <c:pt idx="14">
                  <c:v>14.3</c:v>
                </c:pt>
                <c:pt idx="15">
                  <c:v>14.8</c:v>
                </c:pt>
                <c:pt idx="16">
                  <c:v>17.600000000000001</c:v>
                </c:pt>
                <c:pt idx="17">
                  <c:v>14.1</c:v>
                </c:pt>
                <c:pt idx="18">
                  <c:v>18</c:v>
                </c:pt>
                <c:pt idx="19">
                  <c:v>15.7</c:v>
                </c:pt>
                <c:pt idx="20">
                  <c:v>19.100000000000001</c:v>
                </c:pt>
                <c:pt idx="21">
                  <c:v>15.9</c:v>
                </c:pt>
                <c:pt idx="22">
                  <c:v>16.3</c:v>
                </c:pt>
              </c:numCache>
            </c:numRef>
          </c:val>
          <c:smooth val="0"/>
          <c:extLst>
            <c:ext xmlns:c16="http://schemas.microsoft.com/office/drawing/2014/chart" uri="{C3380CC4-5D6E-409C-BE32-E72D297353CC}">
              <c16:uniqueId val="{00000001-F135-4008-860C-090D47F244E6}"/>
            </c:ext>
          </c:extLst>
        </c:ser>
        <c:ser>
          <c:idx val="2"/>
          <c:order val="2"/>
          <c:tx>
            <c:v>Females 12-19</c:v>
          </c:tx>
          <c:spPr>
            <a:ln w="2222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strRef>
              <c:f>Sheet1!$A$1:$W$1</c:f>
              <c:strCache>
                <c:ptCount val="23"/>
                <c:pt idx="0">
                  <c:v>1971-1972</c:v>
                </c:pt>
                <c:pt idx="1">
                  <c:v>1973-1974</c:v>
                </c:pt>
                <c:pt idx="2">
                  <c:v>1975-1976</c:v>
                </c:pt>
                <c:pt idx="3">
                  <c:v>1977-1978</c:v>
                </c:pt>
                <c:pt idx="4">
                  <c:v>1979-1980</c:v>
                </c:pt>
                <c:pt idx="5">
                  <c:v>1981-1982</c:v>
                </c:pt>
                <c:pt idx="6">
                  <c:v>1983-1984</c:v>
                </c:pt>
                <c:pt idx="7">
                  <c:v>1985-1986</c:v>
                </c:pt>
                <c:pt idx="8">
                  <c:v>1987-1988</c:v>
                </c:pt>
                <c:pt idx="9">
                  <c:v>1989-1990</c:v>
                </c:pt>
                <c:pt idx="10">
                  <c:v>1991-1992</c:v>
                </c:pt>
                <c:pt idx="11">
                  <c:v>1993-1994</c:v>
                </c:pt>
                <c:pt idx="12">
                  <c:v>1995-1996</c:v>
                </c:pt>
                <c:pt idx="13">
                  <c:v>1997-1998</c:v>
                </c:pt>
                <c:pt idx="14">
                  <c:v>1999-2000</c:v>
                </c:pt>
                <c:pt idx="15">
                  <c:v>2001-2002</c:v>
                </c:pt>
                <c:pt idx="16">
                  <c:v>2003-2004</c:v>
                </c:pt>
                <c:pt idx="17">
                  <c:v>2005-2006</c:v>
                </c:pt>
                <c:pt idx="18">
                  <c:v>2007-2008</c:v>
                </c:pt>
                <c:pt idx="19">
                  <c:v>2009-2010</c:v>
                </c:pt>
                <c:pt idx="20">
                  <c:v>2011-2012</c:v>
                </c:pt>
                <c:pt idx="21">
                  <c:v>2013-2014</c:v>
                </c:pt>
                <c:pt idx="22">
                  <c:v>2015-2016</c:v>
                </c:pt>
              </c:strCache>
            </c:strRef>
          </c:cat>
          <c:val>
            <c:numRef>
              <c:f>Sheet1!$A$7:$W$7</c:f>
              <c:numCache>
                <c:formatCode>General</c:formatCode>
                <c:ptCount val="23"/>
                <c:pt idx="0">
                  <c:v>6.2</c:v>
                </c:pt>
                <c:pt idx="1">
                  <c:v>6.2</c:v>
                </c:pt>
                <c:pt idx="2">
                  <c:v>5.3</c:v>
                </c:pt>
                <c:pt idx="3">
                  <c:v>5.3</c:v>
                </c:pt>
                <c:pt idx="4">
                  <c:v>5.3</c:v>
                </c:pt>
                <c:pt idx="8">
                  <c:v>9.6999999999999993</c:v>
                </c:pt>
                <c:pt idx="9">
                  <c:v>9.6999999999999993</c:v>
                </c:pt>
                <c:pt idx="10">
                  <c:v>9.6999999999999993</c:v>
                </c:pt>
                <c:pt idx="11">
                  <c:v>9.6999999999999993</c:v>
                </c:pt>
                <c:pt idx="14">
                  <c:v>14.8</c:v>
                </c:pt>
                <c:pt idx="15">
                  <c:v>15.7</c:v>
                </c:pt>
                <c:pt idx="16">
                  <c:v>16.399999999999999</c:v>
                </c:pt>
                <c:pt idx="17">
                  <c:v>17.3</c:v>
                </c:pt>
                <c:pt idx="18">
                  <c:v>16.8</c:v>
                </c:pt>
                <c:pt idx="19">
                  <c:v>17.100000000000001</c:v>
                </c:pt>
                <c:pt idx="20">
                  <c:v>20.7</c:v>
                </c:pt>
                <c:pt idx="21">
                  <c:v>21.4</c:v>
                </c:pt>
                <c:pt idx="22">
                  <c:v>20.9</c:v>
                </c:pt>
              </c:numCache>
            </c:numRef>
          </c:val>
          <c:smooth val="0"/>
          <c:extLst>
            <c:ext xmlns:c16="http://schemas.microsoft.com/office/drawing/2014/chart" uri="{C3380CC4-5D6E-409C-BE32-E72D297353CC}">
              <c16:uniqueId val="{00000002-F135-4008-860C-090D47F244E6}"/>
            </c:ext>
          </c:extLst>
        </c:ser>
        <c:dLbls>
          <c:showLegendKey val="0"/>
          <c:showVal val="0"/>
          <c:showCatName val="0"/>
          <c:showSerName val="0"/>
          <c:showPercent val="0"/>
          <c:showBubbleSize val="0"/>
        </c:dLbls>
        <c:marker val="1"/>
        <c:smooth val="0"/>
        <c:axId val="190802000"/>
        <c:axId val="1910093264"/>
      </c:lineChart>
      <c:catAx>
        <c:axId val="19080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093264"/>
        <c:crosses val="autoZero"/>
        <c:auto val="1"/>
        <c:lblAlgn val="ctr"/>
        <c:lblOffset val="100"/>
        <c:noMultiLvlLbl val="0"/>
      </c:catAx>
      <c:valAx>
        <c:axId val="191009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Percentage of Obese Children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0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Males Age 2-5</c:v>
          </c:tx>
          <c:spPr>
            <a:ln w="22225"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cat>
            <c:strRef>
              <c:f>Sheet1!$A$1:$W$1</c:f>
              <c:strCache>
                <c:ptCount val="23"/>
                <c:pt idx="0">
                  <c:v>1971-1972</c:v>
                </c:pt>
                <c:pt idx="1">
                  <c:v>1973-1974</c:v>
                </c:pt>
                <c:pt idx="2">
                  <c:v>1975-1976</c:v>
                </c:pt>
                <c:pt idx="3">
                  <c:v>1977-1978</c:v>
                </c:pt>
                <c:pt idx="4">
                  <c:v>1979-1980</c:v>
                </c:pt>
                <c:pt idx="5">
                  <c:v>1981-1982</c:v>
                </c:pt>
                <c:pt idx="6">
                  <c:v>1983-1984</c:v>
                </c:pt>
                <c:pt idx="7">
                  <c:v>1985-1986</c:v>
                </c:pt>
                <c:pt idx="8">
                  <c:v>1987-1988</c:v>
                </c:pt>
                <c:pt idx="9">
                  <c:v>1989-1990</c:v>
                </c:pt>
                <c:pt idx="10">
                  <c:v>1991-1992</c:v>
                </c:pt>
                <c:pt idx="11">
                  <c:v>1993-1994</c:v>
                </c:pt>
                <c:pt idx="12">
                  <c:v>1995-1996</c:v>
                </c:pt>
                <c:pt idx="13">
                  <c:v>1997-1998</c:v>
                </c:pt>
                <c:pt idx="14">
                  <c:v>1999-2000</c:v>
                </c:pt>
                <c:pt idx="15">
                  <c:v>2001-2002</c:v>
                </c:pt>
                <c:pt idx="16">
                  <c:v>2003-2004</c:v>
                </c:pt>
                <c:pt idx="17">
                  <c:v>2005-2006</c:v>
                </c:pt>
                <c:pt idx="18">
                  <c:v>2007-2008</c:v>
                </c:pt>
                <c:pt idx="19">
                  <c:v>2009-2010</c:v>
                </c:pt>
                <c:pt idx="20">
                  <c:v>2011-2012</c:v>
                </c:pt>
                <c:pt idx="21">
                  <c:v>2013-2014</c:v>
                </c:pt>
                <c:pt idx="22">
                  <c:v>2015-2016</c:v>
                </c:pt>
              </c:strCache>
            </c:strRef>
          </c:cat>
          <c:val>
            <c:numRef>
              <c:f>Sheet1!$A$2:$W$2</c:f>
              <c:numCache>
                <c:formatCode>General</c:formatCode>
                <c:ptCount val="23"/>
                <c:pt idx="0">
                  <c:v>5</c:v>
                </c:pt>
                <c:pt idx="1">
                  <c:v>5</c:v>
                </c:pt>
                <c:pt idx="2">
                  <c:v>4.7</c:v>
                </c:pt>
                <c:pt idx="3">
                  <c:v>4.7</c:v>
                </c:pt>
                <c:pt idx="4">
                  <c:v>4.7</c:v>
                </c:pt>
                <c:pt idx="8">
                  <c:v>6.2</c:v>
                </c:pt>
                <c:pt idx="9">
                  <c:v>6.2</c:v>
                </c:pt>
                <c:pt idx="10">
                  <c:v>6.2</c:v>
                </c:pt>
                <c:pt idx="11">
                  <c:v>6.2</c:v>
                </c:pt>
                <c:pt idx="14">
                  <c:v>9.5</c:v>
                </c:pt>
                <c:pt idx="15">
                  <c:v>10.7</c:v>
                </c:pt>
                <c:pt idx="16">
                  <c:v>15.1</c:v>
                </c:pt>
                <c:pt idx="17">
                  <c:v>10.4</c:v>
                </c:pt>
                <c:pt idx="18">
                  <c:v>9.3000000000000007</c:v>
                </c:pt>
                <c:pt idx="19">
                  <c:v>14.4</c:v>
                </c:pt>
                <c:pt idx="20">
                  <c:v>9.5</c:v>
                </c:pt>
                <c:pt idx="21">
                  <c:v>8.8000000000000007</c:v>
                </c:pt>
                <c:pt idx="22">
                  <c:v>14.3</c:v>
                </c:pt>
              </c:numCache>
            </c:numRef>
          </c:val>
          <c:smooth val="0"/>
          <c:extLst>
            <c:ext xmlns:c16="http://schemas.microsoft.com/office/drawing/2014/chart" uri="{C3380CC4-5D6E-409C-BE32-E72D297353CC}">
              <c16:uniqueId val="{00000000-1AB5-49DC-B735-F2AD00D1DC7B}"/>
            </c:ext>
          </c:extLst>
        </c:ser>
        <c:ser>
          <c:idx val="1"/>
          <c:order val="1"/>
          <c:tx>
            <c:v>Males Age 6-11</c:v>
          </c:tx>
          <c:spPr>
            <a:ln w="22225" cap="rnd">
              <a:solidFill>
                <a:schemeClr val="bg2">
                  <a:lumMod val="75000"/>
                </a:schemeClr>
              </a:solidFill>
              <a:round/>
            </a:ln>
            <a:effectLst/>
          </c:spPr>
          <c:marker>
            <c:symbol val="circle"/>
            <c:size val="5"/>
            <c:spPr>
              <a:solidFill>
                <a:schemeClr val="bg1">
                  <a:lumMod val="65000"/>
                </a:schemeClr>
              </a:solidFill>
              <a:ln w="9525">
                <a:solidFill>
                  <a:schemeClr val="bg2">
                    <a:lumMod val="75000"/>
                  </a:schemeClr>
                </a:solidFill>
              </a:ln>
              <a:effectLst/>
            </c:spPr>
          </c:marker>
          <c:cat>
            <c:strRef>
              <c:f>Sheet1!$A$1:$W$1</c:f>
              <c:strCache>
                <c:ptCount val="23"/>
                <c:pt idx="0">
                  <c:v>1971-1972</c:v>
                </c:pt>
                <c:pt idx="1">
                  <c:v>1973-1974</c:v>
                </c:pt>
                <c:pt idx="2">
                  <c:v>1975-1976</c:v>
                </c:pt>
                <c:pt idx="3">
                  <c:v>1977-1978</c:v>
                </c:pt>
                <c:pt idx="4">
                  <c:v>1979-1980</c:v>
                </c:pt>
                <c:pt idx="5">
                  <c:v>1981-1982</c:v>
                </c:pt>
                <c:pt idx="6">
                  <c:v>1983-1984</c:v>
                </c:pt>
                <c:pt idx="7">
                  <c:v>1985-1986</c:v>
                </c:pt>
                <c:pt idx="8">
                  <c:v>1987-1988</c:v>
                </c:pt>
                <c:pt idx="9">
                  <c:v>1989-1990</c:v>
                </c:pt>
                <c:pt idx="10">
                  <c:v>1991-1992</c:v>
                </c:pt>
                <c:pt idx="11">
                  <c:v>1993-1994</c:v>
                </c:pt>
                <c:pt idx="12">
                  <c:v>1995-1996</c:v>
                </c:pt>
                <c:pt idx="13">
                  <c:v>1997-1998</c:v>
                </c:pt>
                <c:pt idx="14">
                  <c:v>1999-2000</c:v>
                </c:pt>
                <c:pt idx="15">
                  <c:v>2001-2002</c:v>
                </c:pt>
                <c:pt idx="16">
                  <c:v>2003-2004</c:v>
                </c:pt>
                <c:pt idx="17">
                  <c:v>2005-2006</c:v>
                </c:pt>
                <c:pt idx="18">
                  <c:v>2007-2008</c:v>
                </c:pt>
                <c:pt idx="19">
                  <c:v>2009-2010</c:v>
                </c:pt>
                <c:pt idx="20">
                  <c:v>2011-2012</c:v>
                </c:pt>
                <c:pt idx="21">
                  <c:v>2013-2014</c:v>
                </c:pt>
                <c:pt idx="22">
                  <c:v>2015-2016</c:v>
                </c:pt>
              </c:strCache>
            </c:strRef>
          </c:cat>
          <c:val>
            <c:numRef>
              <c:f>Sheet1!$A$3:$W$3</c:f>
              <c:numCache>
                <c:formatCode>General</c:formatCode>
                <c:ptCount val="23"/>
                <c:pt idx="0">
                  <c:v>4.3</c:v>
                </c:pt>
                <c:pt idx="1">
                  <c:v>4.3</c:v>
                </c:pt>
                <c:pt idx="2">
                  <c:v>6.6</c:v>
                </c:pt>
                <c:pt idx="3">
                  <c:v>6.6</c:v>
                </c:pt>
                <c:pt idx="4">
                  <c:v>6.6</c:v>
                </c:pt>
                <c:pt idx="8">
                  <c:v>11.6</c:v>
                </c:pt>
                <c:pt idx="9">
                  <c:v>11.6</c:v>
                </c:pt>
                <c:pt idx="10">
                  <c:v>11.6</c:v>
                </c:pt>
                <c:pt idx="11">
                  <c:v>11.6</c:v>
                </c:pt>
                <c:pt idx="14">
                  <c:v>15.8</c:v>
                </c:pt>
                <c:pt idx="15">
                  <c:v>17.5</c:v>
                </c:pt>
                <c:pt idx="16">
                  <c:v>19.899999999999999</c:v>
                </c:pt>
                <c:pt idx="17">
                  <c:v>16.2</c:v>
                </c:pt>
                <c:pt idx="18">
                  <c:v>21.2</c:v>
                </c:pt>
                <c:pt idx="19">
                  <c:v>20.100000000000001</c:v>
                </c:pt>
                <c:pt idx="20">
                  <c:v>16.399999999999999</c:v>
                </c:pt>
                <c:pt idx="21">
                  <c:v>18.8</c:v>
                </c:pt>
                <c:pt idx="22">
                  <c:v>20.399999999999999</c:v>
                </c:pt>
              </c:numCache>
            </c:numRef>
          </c:val>
          <c:smooth val="0"/>
          <c:extLst>
            <c:ext xmlns:c16="http://schemas.microsoft.com/office/drawing/2014/chart" uri="{C3380CC4-5D6E-409C-BE32-E72D297353CC}">
              <c16:uniqueId val="{00000001-1AB5-49DC-B735-F2AD00D1DC7B}"/>
            </c:ext>
          </c:extLst>
        </c:ser>
        <c:ser>
          <c:idx val="2"/>
          <c:order val="2"/>
          <c:tx>
            <c:v>Males Age 12-19</c:v>
          </c:tx>
          <c:spPr>
            <a:ln w="2222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cat>
            <c:strRef>
              <c:f>Sheet1!$A$1:$W$1</c:f>
              <c:strCache>
                <c:ptCount val="23"/>
                <c:pt idx="0">
                  <c:v>1971-1972</c:v>
                </c:pt>
                <c:pt idx="1">
                  <c:v>1973-1974</c:v>
                </c:pt>
                <c:pt idx="2">
                  <c:v>1975-1976</c:v>
                </c:pt>
                <c:pt idx="3">
                  <c:v>1977-1978</c:v>
                </c:pt>
                <c:pt idx="4">
                  <c:v>1979-1980</c:v>
                </c:pt>
                <c:pt idx="5">
                  <c:v>1981-1982</c:v>
                </c:pt>
                <c:pt idx="6">
                  <c:v>1983-1984</c:v>
                </c:pt>
                <c:pt idx="7">
                  <c:v>1985-1986</c:v>
                </c:pt>
                <c:pt idx="8">
                  <c:v>1987-1988</c:v>
                </c:pt>
                <c:pt idx="9">
                  <c:v>1989-1990</c:v>
                </c:pt>
                <c:pt idx="10">
                  <c:v>1991-1992</c:v>
                </c:pt>
                <c:pt idx="11">
                  <c:v>1993-1994</c:v>
                </c:pt>
                <c:pt idx="12">
                  <c:v>1995-1996</c:v>
                </c:pt>
                <c:pt idx="13">
                  <c:v>1997-1998</c:v>
                </c:pt>
                <c:pt idx="14">
                  <c:v>1999-2000</c:v>
                </c:pt>
                <c:pt idx="15">
                  <c:v>2001-2002</c:v>
                </c:pt>
                <c:pt idx="16">
                  <c:v>2003-2004</c:v>
                </c:pt>
                <c:pt idx="17">
                  <c:v>2005-2006</c:v>
                </c:pt>
                <c:pt idx="18">
                  <c:v>2007-2008</c:v>
                </c:pt>
                <c:pt idx="19">
                  <c:v>2009-2010</c:v>
                </c:pt>
                <c:pt idx="20">
                  <c:v>2011-2012</c:v>
                </c:pt>
                <c:pt idx="21">
                  <c:v>2013-2014</c:v>
                </c:pt>
                <c:pt idx="22">
                  <c:v>2015-2016</c:v>
                </c:pt>
              </c:strCache>
            </c:strRef>
          </c:cat>
          <c:val>
            <c:numRef>
              <c:f>Sheet1!$A$4:$W$4</c:f>
              <c:numCache>
                <c:formatCode>General</c:formatCode>
                <c:ptCount val="23"/>
                <c:pt idx="0">
                  <c:v>6.1</c:v>
                </c:pt>
                <c:pt idx="1">
                  <c:v>6.1</c:v>
                </c:pt>
                <c:pt idx="2">
                  <c:v>4.8</c:v>
                </c:pt>
                <c:pt idx="3">
                  <c:v>4.8</c:v>
                </c:pt>
                <c:pt idx="4">
                  <c:v>4.8</c:v>
                </c:pt>
                <c:pt idx="8">
                  <c:v>11.3</c:v>
                </c:pt>
                <c:pt idx="9">
                  <c:v>11.3</c:v>
                </c:pt>
                <c:pt idx="10">
                  <c:v>11.3</c:v>
                </c:pt>
                <c:pt idx="11">
                  <c:v>11.3</c:v>
                </c:pt>
                <c:pt idx="14">
                  <c:v>14.8</c:v>
                </c:pt>
                <c:pt idx="15">
                  <c:v>17.600000000000001</c:v>
                </c:pt>
                <c:pt idx="16">
                  <c:v>18.2</c:v>
                </c:pt>
                <c:pt idx="17">
                  <c:v>18.2</c:v>
                </c:pt>
                <c:pt idx="18">
                  <c:v>19.3</c:v>
                </c:pt>
                <c:pt idx="19">
                  <c:v>19.600000000000001</c:v>
                </c:pt>
                <c:pt idx="20">
                  <c:v>20.3</c:v>
                </c:pt>
                <c:pt idx="21">
                  <c:v>19.8</c:v>
                </c:pt>
                <c:pt idx="22">
                  <c:v>20.2</c:v>
                </c:pt>
              </c:numCache>
            </c:numRef>
          </c:val>
          <c:smooth val="0"/>
          <c:extLst>
            <c:ext xmlns:c16="http://schemas.microsoft.com/office/drawing/2014/chart" uri="{C3380CC4-5D6E-409C-BE32-E72D297353CC}">
              <c16:uniqueId val="{00000002-1AB5-49DC-B735-F2AD00D1DC7B}"/>
            </c:ext>
          </c:extLst>
        </c:ser>
        <c:dLbls>
          <c:showLegendKey val="0"/>
          <c:showVal val="0"/>
          <c:showCatName val="0"/>
          <c:showSerName val="0"/>
          <c:showPercent val="0"/>
          <c:showBubbleSize val="0"/>
        </c:dLbls>
        <c:marker val="1"/>
        <c:smooth val="0"/>
        <c:axId val="1752167919"/>
        <c:axId val="1841690671"/>
      </c:lineChart>
      <c:catAx>
        <c:axId val="1752167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690671"/>
        <c:crosses val="autoZero"/>
        <c:auto val="1"/>
        <c:lblAlgn val="ctr"/>
        <c:lblOffset val="100"/>
        <c:noMultiLvlLbl val="0"/>
      </c:catAx>
      <c:valAx>
        <c:axId val="184169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Obese Children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167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Black</c:v>
          </c:tx>
          <c:spPr>
            <a:ln w="22225" cap="rnd">
              <a:solidFill>
                <a:schemeClr val="tx2">
                  <a:lumMod val="40000"/>
                  <a:lumOff val="60000"/>
                </a:schemeClr>
              </a:solidFill>
              <a:round/>
            </a:ln>
            <a:effectLst/>
          </c:spPr>
          <c:marker>
            <c:symbol val="circle"/>
            <c:size val="5"/>
            <c:spPr>
              <a:solidFill>
                <a:schemeClr val="tx2">
                  <a:lumMod val="40000"/>
                  <a:lumOff val="60000"/>
                </a:schemeClr>
              </a:solidFill>
              <a:ln w="9525">
                <a:solidFill>
                  <a:schemeClr val="tx2">
                    <a:lumMod val="40000"/>
                    <a:lumOff val="60000"/>
                  </a:schemeClr>
                </a:solidFill>
              </a:ln>
              <a:effectLst/>
            </c:spPr>
          </c:marker>
          <c:cat>
            <c:strRef>
              <c:f>Sheet1!$O$1:$W$1</c:f>
              <c:strCache>
                <c:ptCount val="9"/>
                <c:pt idx="0">
                  <c:v>1999-2000</c:v>
                </c:pt>
                <c:pt idx="1">
                  <c:v>2001-2002</c:v>
                </c:pt>
                <c:pt idx="2">
                  <c:v>2003-2004</c:v>
                </c:pt>
                <c:pt idx="3">
                  <c:v>2005-2006</c:v>
                </c:pt>
                <c:pt idx="4">
                  <c:v>2007-2008</c:v>
                </c:pt>
                <c:pt idx="5">
                  <c:v>2009-2010</c:v>
                </c:pt>
                <c:pt idx="6">
                  <c:v>2011-2012</c:v>
                </c:pt>
                <c:pt idx="7">
                  <c:v>2013-2014</c:v>
                </c:pt>
                <c:pt idx="8">
                  <c:v>2015-2016</c:v>
                </c:pt>
              </c:strCache>
            </c:strRef>
          </c:cat>
          <c:val>
            <c:numRef>
              <c:f>Sheet1!$O$9:$W$9</c:f>
              <c:numCache>
                <c:formatCode>General</c:formatCode>
                <c:ptCount val="9"/>
                <c:pt idx="0">
                  <c:v>18.8</c:v>
                </c:pt>
                <c:pt idx="1">
                  <c:v>17.5</c:v>
                </c:pt>
                <c:pt idx="2">
                  <c:v>20</c:v>
                </c:pt>
                <c:pt idx="3">
                  <c:v>20.7</c:v>
                </c:pt>
                <c:pt idx="4">
                  <c:v>20</c:v>
                </c:pt>
                <c:pt idx="5">
                  <c:v>24.3</c:v>
                </c:pt>
                <c:pt idx="6">
                  <c:v>20.2</c:v>
                </c:pt>
                <c:pt idx="7">
                  <c:v>19.5</c:v>
                </c:pt>
                <c:pt idx="8">
                  <c:v>22</c:v>
                </c:pt>
              </c:numCache>
            </c:numRef>
          </c:val>
          <c:smooth val="0"/>
          <c:extLst>
            <c:ext xmlns:c16="http://schemas.microsoft.com/office/drawing/2014/chart" uri="{C3380CC4-5D6E-409C-BE32-E72D297353CC}">
              <c16:uniqueId val="{00000000-F8A5-418D-A40B-F79F2DEF21D5}"/>
            </c:ext>
          </c:extLst>
        </c:ser>
        <c:ser>
          <c:idx val="1"/>
          <c:order val="1"/>
          <c:tx>
            <c:v>Hispanic</c:v>
          </c:tx>
          <c:spPr>
            <a:ln w="2222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cat>
            <c:strRef>
              <c:f>Sheet1!$O$1:$W$1</c:f>
              <c:strCache>
                <c:ptCount val="9"/>
                <c:pt idx="0">
                  <c:v>1999-2000</c:v>
                </c:pt>
                <c:pt idx="1">
                  <c:v>2001-2002</c:v>
                </c:pt>
                <c:pt idx="2">
                  <c:v>2003-2004</c:v>
                </c:pt>
                <c:pt idx="3">
                  <c:v>2005-2006</c:v>
                </c:pt>
                <c:pt idx="4">
                  <c:v>2007-2008</c:v>
                </c:pt>
                <c:pt idx="5">
                  <c:v>2009-2010</c:v>
                </c:pt>
                <c:pt idx="6">
                  <c:v>2011-2012</c:v>
                </c:pt>
                <c:pt idx="7">
                  <c:v>2013-2014</c:v>
                </c:pt>
                <c:pt idx="8">
                  <c:v>2015-2016</c:v>
                </c:pt>
              </c:strCache>
            </c:strRef>
          </c:cat>
          <c:val>
            <c:numRef>
              <c:f>Sheet1!$O$10:$W$10</c:f>
              <c:numCache>
                <c:formatCode>General</c:formatCode>
                <c:ptCount val="9"/>
                <c:pt idx="0">
                  <c:v>20.2</c:v>
                </c:pt>
                <c:pt idx="1">
                  <c:v>19.5</c:v>
                </c:pt>
                <c:pt idx="2">
                  <c:v>19.2</c:v>
                </c:pt>
                <c:pt idx="3">
                  <c:v>20.9</c:v>
                </c:pt>
                <c:pt idx="4">
                  <c:v>20.9</c:v>
                </c:pt>
                <c:pt idx="5">
                  <c:v>21.2</c:v>
                </c:pt>
                <c:pt idx="6">
                  <c:v>22.4</c:v>
                </c:pt>
                <c:pt idx="7">
                  <c:v>21.9</c:v>
                </c:pt>
                <c:pt idx="8">
                  <c:v>25.8</c:v>
                </c:pt>
              </c:numCache>
            </c:numRef>
          </c:val>
          <c:smooth val="0"/>
          <c:extLst>
            <c:ext xmlns:c16="http://schemas.microsoft.com/office/drawing/2014/chart" uri="{C3380CC4-5D6E-409C-BE32-E72D297353CC}">
              <c16:uniqueId val="{00000001-F8A5-418D-A40B-F79F2DEF21D5}"/>
            </c:ext>
          </c:extLst>
        </c:ser>
        <c:ser>
          <c:idx val="2"/>
          <c:order val="2"/>
          <c:tx>
            <c:v>White</c:v>
          </c:tx>
          <c:spPr>
            <a:ln w="2222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cat>
            <c:strRef>
              <c:f>Sheet1!$O$1:$W$1</c:f>
              <c:strCache>
                <c:ptCount val="9"/>
                <c:pt idx="0">
                  <c:v>1999-2000</c:v>
                </c:pt>
                <c:pt idx="1">
                  <c:v>2001-2002</c:v>
                </c:pt>
                <c:pt idx="2">
                  <c:v>2003-2004</c:v>
                </c:pt>
                <c:pt idx="3">
                  <c:v>2005-2006</c:v>
                </c:pt>
                <c:pt idx="4">
                  <c:v>2007-2008</c:v>
                </c:pt>
                <c:pt idx="5">
                  <c:v>2009-2010</c:v>
                </c:pt>
                <c:pt idx="6">
                  <c:v>2011-2012</c:v>
                </c:pt>
                <c:pt idx="7">
                  <c:v>2013-2014</c:v>
                </c:pt>
                <c:pt idx="8">
                  <c:v>2015-2016</c:v>
                </c:pt>
              </c:strCache>
            </c:strRef>
          </c:cat>
          <c:val>
            <c:numRef>
              <c:f>Sheet1!$O$11:$W$11</c:f>
              <c:numCache>
                <c:formatCode>General</c:formatCode>
                <c:ptCount val="9"/>
                <c:pt idx="0">
                  <c:v>11</c:v>
                </c:pt>
                <c:pt idx="1">
                  <c:v>13.9</c:v>
                </c:pt>
                <c:pt idx="2">
                  <c:v>16.3</c:v>
                </c:pt>
                <c:pt idx="3">
                  <c:v>14.6</c:v>
                </c:pt>
                <c:pt idx="4">
                  <c:v>15.3</c:v>
                </c:pt>
                <c:pt idx="5">
                  <c:v>14</c:v>
                </c:pt>
                <c:pt idx="6">
                  <c:v>14.1</c:v>
                </c:pt>
                <c:pt idx="7">
                  <c:v>14.7</c:v>
                </c:pt>
                <c:pt idx="8">
                  <c:v>14.1</c:v>
                </c:pt>
              </c:numCache>
            </c:numRef>
          </c:val>
          <c:smooth val="0"/>
          <c:extLst>
            <c:ext xmlns:c16="http://schemas.microsoft.com/office/drawing/2014/chart" uri="{C3380CC4-5D6E-409C-BE32-E72D297353CC}">
              <c16:uniqueId val="{00000002-F8A5-418D-A40B-F79F2DEF21D5}"/>
            </c:ext>
          </c:extLst>
        </c:ser>
        <c:ser>
          <c:idx val="3"/>
          <c:order val="3"/>
          <c:tx>
            <c:v>Asian</c:v>
          </c:tx>
          <c:spPr>
            <a:ln w="22225" cap="rnd">
              <a:solidFill>
                <a:srgbClr val="002060"/>
              </a:solidFill>
              <a:round/>
            </a:ln>
            <a:effectLst/>
          </c:spPr>
          <c:marker>
            <c:symbol val="circle"/>
            <c:size val="5"/>
            <c:spPr>
              <a:solidFill>
                <a:srgbClr val="002060"/>
              </a:solidFill>
              <a:ln w="9525">
                <a:solidFill>
                  <a:srgbClr val="002060"/>
                </a:solidFill>
              </a:ln>
              <a:effectLst/>
            </c:spPr>
          </c:marker>
          <c:cat>
            <c:strRef>
              <c:f>Sheet1!$O$1:$W$1</c:f>
              <c:strCache>
                <c:ptCount val="9"/>
                <c:pt idx="0">
                  <c:v>1999-2000</c:v>
                </c:pt>
                <c:pt idx="1">
                  <c:v>2001-2002</c:v>
                </c:pt>
                <c:pt idx="2">
                  <c:v>2003-2004</c:v>
                </c:pt>
                <c:pt idx="3">
                  <c:v>2005-2006</c:v>
                </c:pt>
                <c:pt idx="4">
                  <c:v>2007-2008</c:v>
                </c:pt>
                <c:pt idx="5">
                  <c:v>2009-2010</c:v>
                </c:pt>
                <c:pt idx="6">
                  <c:v>2011-2012</c:v>
                </c:pt>
                <c:pt idx="7">
                  <c:v>2013-2014</c:v>
                </c:pt>
                <c:pt idx="8">
                  <c:v>2015-2016</c:v>
                </c:pt>
              </c:strCache>
            </c:strRef>
          </c:cat>
          <c:val>
            <c:numRef>
              <c:f>Sheet1!$O$12:$W$12</c:f>
              <c:numCache>
                <c:formatCode>General</c:formatCode>
                <c:ptCount val="9"/>
                <c:pt idx="6">
                  <c:v>8.6</c:v>
                </c:pt>
                <c:pt idx="7">
                  <c:v>8.6</c:v>
                </c:pt>
                <c:pt idx="8">
                  <c:v>11</c:v>
                </c:pt>
              </c:numCache>
            </c:numRef>
          </c:val>
          <c:smooth val="0"/>
          <c:extLst>
            <c:ext xmlns:c16="http://schemas.microsoft.com/office/drawing/2014/chart" uri="{C3380CC4-5D6E-409C-BE32-E72D297353CC}">
              <c16:uniqueId val="{00000003-F8A5-418D-A40B-F79F2DEF21D5}"/>
            </c:ext>
          </c:extLst>
        </c:ser>
        <c:dLbls>
          <c:showLegendKey val="0"/>
          <c:showVal val="0"/>
          <c:showCatName val="0"/>
          <c:showSerName val="0"/>
          <c:showPercent val="0"/>
          <c:showBubbleSize val="0"/>
        </c:dLbls>
        <c:marker val="1"/>
        <c:smooth val="0"/>
        <c:axId val="1761371039"/>
        <c:axId val="1755873711"/>
      </c:lineChart>
      <c:catAx>
        <c:axId val="1761371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73711"/>
        <c:crosses val="autoZero"/>
        <c:auto val="1"/>
        <c:lblAlgn val="ctr"/>
        <c:lblOffset val="100"/>
        <c:noMultiLvlLbl val="0"/>
      </c:catAx>
      <c:valAx>
        <c:axId val="175587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Obese Children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371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91483960146817E-2"/>
          <c:y val="0.10149241665718099"/>
          <c:w val="0.8827855772239388"/>
          <c:h val="0.70329332916688725"/>
        </c:manualLayout>
      </c:layout>
      <c:lineChart>
        <c:grouping val="standard"/>
        <c:varyColors val="0"/>
        <c:ser>
          <c:idx val="0"/>
          <c:order val="0"/>
          <c:tx>
            <c:v>Adult Females</c:v>
          </c:tx>
          <c:spPr>
            <a:ln w="22225" cap="rnd">
              <a:solidFill>
                <a:srgbClr val="7030A0"/>
              </a:solidFill>
              <a:round/>
            </a:ln>
            <a:effectLst/>
          </c:spPr>
          <c:marker>
            <c:symbol val="circle"/>
            <c:size val="5"/>
            <c:spPr>
              <a:solidFill>
                <a:srgbClr val="7030A0"/>
              </a:solidFill>
              <a:ln w="9525">
                <a:solidFill>
                  <a:srgbClr val="7030A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7030A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Sheet1!$I$1:$X$1</c:f>
              <c:strCache>
                <c:ptCount val="16"/>
                <c:pt idx="0">
                  <c:v>1987-1988</c:v>
                </c:pt>
                <c:pt idx="1">
                  <c:v>1989-1990</c:v>
                </c:pt>
                <c:pt idx="2">
                  <c:v>1991-1992</c:v>
                </c:pt>
                <c:pt idx="3">
                  <c:v>1993-1994</c:v>
                </c:pt>
                <c:pt idx="4">
                  <c:v>1995-1996</c:v>
                </c:pt>
                <c:pt idx="5">
                  <c:v>1997-1998</c:v>
                </c:pt>
                <c:pt idx="6">
                  <c:v>1999-2000</c:v>
                </c:pt>
                <c:pt idx="7">
                  <c:v>2001-2002</c:v>
                </c:pt>
                <c:pt idx="8">
                  <c:v>2003-2004</c:v>
                </c:pt>
                <c:pt idx="9">
                  <c:v>2005-2006</c:v>
                </c:pt>
                <c:pt idx="10">
                  <c:v>2007-2008</c:v>
                </c:pt>
                <c:pt idx="11">
                  <c:v>2009-2010</c:v>
                </c:pt>
                <c:pt idx="12">
                  <c:v>2011-2012</c:v>
                </c:pt>
                <c:pt idx="13">
                  <c:v>2013-2014</c:v>
                </c:pt>
                <c:pt idx="14">
                  <c:v>2015-2016</c:v>
                </c:pt>
                <c:pt idx="15">
                  <c:v>2017-2018</c:v>
                </c:pt>
              </c:strCache>
            </c:strRef>
          </c:cat>
          <c:val>
            <c:numRef>
              <c:f>Sheet1!$I$13:$X$13</c:f>
              <c:numCache>
                <c:formatCode>General</c:formatCode>
                <c:ptCount val="16"/>
                <c:pt idx="0">
                  <c:v>25.4</c:v>
                </c:pt>
                <c:pt idx="1">
                  <c:v>25.4</c:v>
                </c:pt>
                <c:pt idx="2">
                  <c:v>25.4</c:v>
                </c:pt>
                <c:pt idx="3">
                  <c:v>25.4</c:v>
                </c:pt>
                <c:pt idx="6">
                  <c:v>33.4</c:v>
                </c:pt>
                <c:pt idx="7">
                  <c:v>33.200000000000003</c:v>
                </c:pt>
                <c:pt idx="8">
                  <c:v>33.200000000000003</c:v>
                </c:pt>
                <c:pt idx="9">
                  <c:v>35.299999999999997</c:v>
                </c:pt>
                <c:pt idx="10">
                  <c:v>35.4</c:v>
                </c:pt>
                <c:pt idx="11">
                  <c:v>35.799999999999997</c:v>
                </c:pt>
                <c:pt idx="12">
                  <c:v>36.1</c:v>
                </c:pt>
                <c:pt idx="13">
                  <c:v>40.4</c:v>
                </c:pt>
                <c:pt idx="14">
                  <c:v>41.1</c:v>
                </c:pt>
                <c:pt idx="15">
                  <c:v>41.9</c:v>
                </c:pt>
              </c:numCache>
            </c:numRef>
          </c:val>
          <c:smooth val="0"/>
          <c:extLst>
            <c:ext xmlns:c16="http://schemas.microsoft.com/office/drawing/2014/chart" uri="{C3380CC4-5D6E-409C-BE32-E72D297353CC}">
              <c16:uniqueId val="{00000000-784D-4F0F-8DE9-9ED6392F7013}"/>
            </c:ext>
          </c:extLst>
        </c:ser>
        <c:ser>
          <c:idx val="1"/>
          <c:order val="1"/>
          <c:tx>
            <c:v>Adult Males</c:v>
          </c:tx>
          <c:spPr>
            <a:ln w="2222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dLbls>
            <c:spPr>
              <a:noFill/>
              <a:ln>
                <a:noFill/>
              </a:ln>
              <a:effectLst/>
            </c:spPr>
            <c:txPr>
              <a:bodyPr rot="0" spcFirstLastPara="1" vertOverflow="ellipsis" horzOverflow="clip" vert="horz" wrap="square" lIns="38100" tIns="0" rIns="38100" bIns="19050" anchor="ctr" anchorCtr="1">
                <a:spAutoFit/>
              </a:bodyPr>
              <a:lstStyle/>
              <a:p>
                <a:pPr>
                  <a:defRPr sz="900" b="0" i="0" u="none" strike="noStrike" kern="1200" baseline="0">
                    <a:solidFill>
                      <a:schemeClr val="accent6">
                        <a:lumMod val="50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Sheet1!$I$1:$X$1</c:f>
              <c:strCache>
                <c:ptCount val="16"/>
                <c:pt idx="0">
                  <c:v>1987-1988</c:v>
                </c:pt>
                <c:pt idx="1">
                  <c:v>1989-1990</c:v>
                </c:pt>
                <c:pt idx="2">
                  <c:v>1991-1992</c:v>
                </c:pt>
                <c:pt idx="3">
                  <c:v>1993-1994</c:v>
                </c:pt>
                <c:pt idx="4">
                  <c:v>1995-1996</c:v>
                </c:pt>
                <c:pt idx="5">
                  <c:v>1997-1998</c:v>
                </c:pt>
                <c:pt idx="6">
                  <c:v>1999-2000</c:v>
                </c:pt>
                <c:pt idx="7">
                  <c:v>2001-2002</c:v>
                </c:pt>
                <c:pt idx="8">
                  <c:v>2003-2004</c:v>
                </c:pt>
                <c:pt idx="9">
                  <c:v>2005-2006</c:v>
                </c:pt>
                <c:pt idx="10">
                  <c:v>2007-2008</c:v>
                </c:pt>
                <c:pt idx="11">
                  <c:v>2009-2010</c:v>
                </c:pt>
                <c:pt idx="12">
                  <c:v>2011-2012</c:v>
                </c:pt>
                <c:pt idx="13">
                  <c:v>2013-2014</c:v>
                </c:pt>
                <c:pt idx="14">
                  <c:v>2015-2016</c:v>
                </c:pt>
                <c:pt idx="15">
                  <c:v>2017-2018</c:v>
                </c:pt>
              </c:strCache>
            </c:strRef>
          </c:cat>
          <c:val>
            <c:numRef>
              <c:f>Sheet1!$I$14:$X$14</c:f>
              <c:numCache>
                <c:formatCode>General</c:formatCode>
                <c:ptCount val="16"/>
                <c:pt idx="0">
                  <c:v>20.2</c:v>
                </c:pt>
                <c:pt idx="1">
                  <c:v>20.2</c:v>
                </c:pt>
                <c:pt idx="2">
                  <c:v>20.2</c:v>
                </c:pt>
                <c:pt idx="3">
                  <c:v>20.2</c:v>
                </c:pt>
                <c:pt idx="6">
                  <c:v>27.5</c:v>
                </c:pt>
                <c:pt idx="7">
                  <c:v>27.7</c:v>
                </c:pt>
                <c:pt idx="8">
                  <c:v>31.1</c:v>
                </c:pt>
                <c:pt idx="9">
                  <c:v>33.299999999999997</c:v>
                </c:pt>
                <c:pt idx="10">
                  <c:v>32.200000000000003</c:v>
                </c:pt>
                <c:pt idx="11">
                  <c:v>35.5</c:v>
                </c:pt>
                <c:pt idx="12">
                  <c:v>33.5</c:v>
                </c:pt>
                <c:pt idx="13">
                  <c:v>35</c:v>
                </c:pt>
                <c:pt idx="14">
                  <c:v>37.9</c:v>
                </c:pt>
                <c:pt idx="15">
                  <c:v>43</c:v>
                </c:pt>
              </c:numCache>
            </c:numRef>
          </c:val>
          <c:smooth val="0"/>
          <c:extLst>
            <c:ext xmlns:c16="http://schemas.microsoft.com/office/drawing/2014/chart" uri="{C3380CC4-5D6E-409C-BE32-E72D297353CC}">
              <c16:uniqueId val="{00000001-784D-4F0F-8DE9-9ED6392F7013}"/>
            </c:ext>
          </c:extLst>
        </c:ser>
        <c:ser>
          <c:idx val="2"/>
          <c:order val="2"/>
          <c:tx>
            <c:v>Female Children</c:v>
          </c:tx>
          <c:spPr>
            <a:ln w="22225" cap="rnd">
              <a:solidFill>
                <a:srgbClr val="A570DA"/>
              </a:solidFill>
              <a:round/>
            </a:ln>
            <a:effectLst/>
          </c:spPr>
          <c:marker>
            <c:symbol val="circle"/>
            <c:size val="5"/>
            <c:spPr>
              <a:solidFill>
                <a:srgbClr val="A570DA"/>
              </a:solidFill>
              <a:ln w="9525">
                <a:solidFill>
                  <a:srgbClr val="A570DA"/>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A570DA"/>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Sheet1!$I$1:$X$1</c:f>
              <c:strCache>
                <c:ptCount val="16"/>
                <c:pt idx="0">
                  <c:v>1987-1988</c:v>
                </c:pt>
                <c:pt idx="1">
                  <c:v>1989-1990</c:v>
                </c:pt>
                <c:pt idx="2">
                  <c:v>1991-1992</c:v>
                </c:pt>
                <c:pt idx="3">
                  <c:v>1993-1994</c:v>
                </c:pt>
                <c:pt idx="4">
                  <c:v>1995-1996</c:v>
                </c:pt>
                <c:pt idx="5">
                  <c:v>1997-1998</c:v>
                </c:pt>
                <c:pt idx="6">
                  <c:v>1999-2000</c:v>
                </c:pt>
                <c:pt idx="7">
                  <c:v>2001-2002</c:v>
                </c:pt>
                <c:pt idx="8">
                  <c:v>2003-2004</c:v>
                </c:pt>
                <c:pt idx="9">
                  <c:v>2005-2006</c:v>
                </c:pt>
                <c:pt idx="10">
                  <c:v>2007-2008</c:v>
                </c:pt>
                <c:pt idx="11">
                  <c:v>2009-2010</c:v>
                </c:pt>
                <c:pt idx="12">
                  <c:v>2011-2012</c:v>
                </c:pt>
                <c:pt idx="13">
                  <c:v>2013-2014</c:v>
                </c:pt>
                <c:pt idx="14">
                  <c:v>2015-2016</c:v>
                </c:pt>
                <c:pt idx="15">
                  <c:v>2017-2018</c:v>
                </c:pt>
              </c:strCache>
            </c:strRef>
          </c:cat>
          <c:val>
            <c:numRef>
              <c:f>Sheet1!$I$15:$X$15</c:f>
              <c:numCache>
                <c:formatCode>General</c:formatCode>
                <c:ptCount val="16"/>
                <c:pt idx="0">
                  <c:v>9.8000000000000007</c:v>
                </c:pt>
                <c:pt idx="1">
                  <c:v>9.8000000000000007</c:v>
                </c:pt>
                <c:pt idx="2">
                  <c:v>9.8000000000000007</c:v>
                </c:pt>
                <c:pt idx="3">
                  <c:v>9.8000000000000007</c:v>
                </c:pt>
                <c:pt idx="6">
                  <c:v>13.8</c:v>
                </c:pt>
                <c:pt idx="7">
                  <c:v>14.3</c:v>
                </c:pt>
                <c:pt idx="8">
                  <c:v>16</c:v>
                </c:pt>
                <c:pt idx="9">
                  <c:v>14.9</c:v>
                </c:pt>
                <c:pt idx="10">
                  <c:v>15.9</c:v>
                </c:pt>
                <c:pt idx="11">
                  <c:v>15</c:v>
                </c:pt>
                <c:pt idx="12">
                  <c:v>17.2</c:v>
                </c:pt>
                <c:pt idx="13">
                  <c:v>17.100000000000001</c:v>
                </c:pt>
                <c:pt idx="14">
                  <c:v>17.8</c:v>
                </c:pt>
              </c:numCache>
            </c:numRef>
          </c:val>
          <c:smooth val="0"/>
          <c:extLst>
            <c:ext xmlns:c16="http://schemas.microsoft.com/office/drawing/2014/chart" uri="{C3380CC4-5D6E-409C-BE32-E72D297353CC}">
              <c16:uniqueId val="{00000002-784D-4F0F-8DE9-9ED6392F7013}"/>
            </c:ext>
          </c:extLst>
        </c:ser>
        <c:ser>
          <c:idx val="3"/>
          <c:order val="3"/>
          <c:tx>
            <c:v>Male Children</c:v>
          </c:tx>
          <c:spPr>
            <a:ln w="22225" cap="rnd">
              <a:solidFill>
                <a:srgbClr val="92D050"/>
              </a:solidFill>
              <a:round/>
            </a:ln>
            <a:effectLst/>
          </c:spPr>
          <c:marker>
            <c:symbol val="circle"/>
            <c:size val="5"/>
            <c:spPr>
              <a:solidFill>
                <a:srgbClr val="92D050"/>
              </a:solidFill>
              <a:ln w="9525">
                <a:solidFill>
                  <a:srgbClr val="92D050"/>
                </a:solidFill>
              </a:ln>
              <a:effectLst/>
            </c:spPr>
          </c:marker>
          <c:dLbls>
            <c:dLbl>
              <c:idx val="0"/>
              <c:layout>
                <c:manualLayout>
                  <c:x val="-3.3322684327876093E-2"/>
                  <c:y val="-1.99408717033048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84D-4F0F-8DE9-9ED6392F7013}"/>
                </c:ext>
              </c:extLst>
            </c:dLbl>
            <c:dLbl>
              <c:idx val="1"/>
              <c:layout>
                <c:manualLayout>
                  <c:x val="-3.3322684327876113E-2"/>
                  <c:y val="-1.99408717033048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84D-4F0F-8DE9-9ED6392F7013}"/>
                </c:ext>
              </c:extLst>
            </c:dLbl>
            <c:dLbl>
              <c:idx val="2"/>
              <c:layout>
                <c:manualLayout>
                  <c:x val="-3.3322684327876072E-2"/>
                  <c:y val="-1.99408717033048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84D-4F0F-8DE9-9ED6392F7013}"/>
                </c:ext>
              </c:extLst>
            </c:dLbl>
            <c:dLbl>
              <c:idx val="3"/>
              <c:layout>
                <c:manualLayout>
                  <c:x val="-3.3322684327876072E-2"/>
                  <c:y val="-1.99408717033048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84D-4F0F-8DE9-9ED6392F7013}"/>
                </c:ext>
              </c:extLst>
            </c:dLbl>
            <c:spPr>
              <a:noFill/>
              <a:ln>
                <a:noFill/>
              </a:ln>
              <a:effectLst/>
            </c:spPr>
            <c:txPr>
              <a:bodyPr rot="0" spcFirstLastPara="1" vertOverflow="ellipsis" horzOverflow="clip" vert="horz" wrap="square" lIns="38100" tIns="0" rIns="38100" bIns="19050" anchor="b" anchorCtr="1">
                <a:spAutoFit/>
              </a:bodyPr>
              <a:lstStyle/>
              <a:p>
                <a:pPr>
                  <a:defRPr sz="900" b="0" i="0" u="none" strike="noStrike" kern="1200" baseline="0">
                    <a:solidFill>
                      <a:srgbClr val="92D05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Sheet1!$I$1:$X$1</c:f>
              <c:strCache>
                <c:ptCount val="16"/>
                <c:pt idx="0">
                  <c:v>1987-1988</c:v>
                </c:pt>
                <c:pt idx="1">
                  <c:v>1989-1990</c:v>
                </c:pt>
                <c:pt idx="2">
                  <c:v>1991-1992</c:v>
                </c:pt>
                <c:pt idx="3">
                  <c:v>1993-1994</c:v>
                </c:pt>
                <c:pt idx="4">
                  <c:v>1995-1996</c:v>
                </c:pt>
                <c:pt idx="5">
                  <c:v>1997-1998</c:v>
                </c:pt>
                <c:pt idx="6">
                  <c:v>1999-2000</c:v>
                </c:pt>
                <c:pt idx="7">
                  <c:v>2001-2002</c:v>
                </c:pt>
                <c:pt idx="8">
                  <c:v>2003-2004</c:v>
                </c:pt>
                <c:pt idx="9">
                  <c:v>2005-2006</c:v>
                </c:pt>
                <c:pt idx="10">
                  <c:v>2007-2008</c:v>
                </c:pt>
                <c:pt idx="11">
                  <c:v>2009-2010</c:v>
                </c:pt>
                <c:pt idx="12">
                  <c:v>2011-2012</c:v>
                </c:pt>
                <c:pt idx="13">
                  <c:v>2013-2014</c:v>
                </c:pt>
                <c:pt idx="14">
                  <c:v>2015-2016</c:v>
                </c:pt>
                <c:pt idx="15">
                  <c:v>2017-2018</c:v>
                </c:pt>
              </c:strCache>
            </c:strRef>
          </c:cat>
          <c:val>
            <c:numRef>
              <c:f>Sheet1!$I$16:$X$16</c:f>
              <c:numCache>
                <c:formatCode>General</c:formatCode>
                <c:ptCount val="16"/>
                <c:pt idx="0">
                  <c:v>10.199999999999999</c:v>
                </c:pt>
                <c:pt idx="1">
                  <c:v>10.199999999999999</c:v>
                </c:pt>
                <c:pt idx="2">
                  <c:v>10.199999999999999</c:v>
                </c:pt>
                <c:pt idx="3">
                  <c:v>10.199999999999999</c:v>
                </c:pt>
                <c:pt idx="6">
                  <c:v>14</c:v>
                </c:pt>
                <c:pt idx="7">
                  <c:v>16.399999999999999</c:v>
                </c:pt>
                <c:pt idx="8">
                  <c:v>18.2</c:v>
                </c:pt>
                <c:pt idx="9">
                  <c:v>15.9</c:v>
                </c:pt>
                <c:pt idx="10">
                  <c:v>17.7</c:v>
                </c:pt>
                <c:pt idx="11">
                  <c:v>18.600000000000001</c:v>
                </c:pt>
                <c:pt idx="12">
                  <c:v>16.7</c:v>
                </c:pt>
                <c:pt idx="13">
                  <c:v>17.2</c:v>
                </c:pt>
                <c:pt idx="14">
                  <c:v>19.100000000000001</c:v>
                </c:pt>
              </c:numCache>
            </c:numRef>
          </c:val>
          <c:smooth val="0"/>
          <c:extLst>
            <c:ext xmlns:c16="http://schemas.microsoft.com/office/drawing/2014/chart" uri="{C3380CC4-5D6E-409C-BE32-E72D297353CC}">
              <c16:uniqueId val="{00000007-784D-4F0F-8DE9-9ED6392F7013}"/>
            </c:ext>
          </c:extLst>
        </c:ser>
        <c:dLbls>
          <c:dLblPos val="t"/>
          <c:showLegendKey val="0"/>
          <c:showVal val="1"/>
          <c:showCatName val="0"/>
          <c:showSerName val="0"/>
          <c:showPercent val="0"/>
          <c:showBubbleSize val="0"/>
        </c:dLbls>
        <c:marker val="1"/>
        <c:smooth val="0"/>
        <c:axId val="1847404079"/>
        <c:axId val="1755876623"/>
      </c:lineChart>
      <c:catAx>
        <c:axId val="1847404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76623"/>
        <c:crosses val="autoZero"/>
        <c:auto val="1"/>
        <c:lblAlgn val="ctr"/>
        <c:lblOffset val="100"/>
        <c:noMultiLvlLbl val="0"/>
      </c:catAx>
      <c:valAx>
        <c:axId val="1755876623"/>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Obesity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404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DEB3B5FB87445B0C85F4FF94009F7" ma:contentTypeVersion="4" ma:contentTypeDescription="Create a new document." ma:contentTypeScope="" ma:versionID="bd9ba9cf394f167669917164b766b277">
  <xsd:schema xmlns:xsd="http://www.w3.org/2001/XMLSchema" xmlns:xs="http://www.w3.org/2001/XMLSchema" xmlns:p="http://schemas.microsoft.com/office/2006/metadata/properties" xmlns:ns3="33523b51-7a53-4158-ab12-765cb3c8a6f1" targetNamespace="http://schemas.microsoft.com/office/2006/metadata/properties" ma:root="true" ma:fieldsID="318623e5d3550f8c7af172ba5239bc56" ns3:_="">
    <xsd:import namespace="33523b51-7a53-4158-ab12-765cb3c8a6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23b51-7a53-4158-ab12-765cb3c8a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BAB430-DB7F-4058-B426-593417C07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23b51-7a53-4158-ab12-765cb3c8a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674406-7D8A-4404-9B11-9B8D3647DE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18D0D8-D094-48C8-99A4-FBB8E9021500}">
  <ds:schemaRefs>
    <ds:schemaRef ds:uri="http://schemas.openxmlformats.org/officeDocument/2006/bibliography"/>
  </ds:schemaRefs>
</ds:datastoreItem>
</file>

<file path=customXml/itemProps4.xml><?xml version="1.0" encoding="utf-8"?>
<ds:datastoreItem xmlns:ds="http://schemas.openxmlformats.org/officeDocument/2006/customXml" ds:itemID="{329349E5-9074-4588-9203-2B263DD62A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3934</Words>
  <Characters>22426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T Oakes</dc:creator>
  <cp:keywords/>
  <dc:description/>
  <cp:lastModifiedBy>Isabella T Oakes</cp:lastModifiedBy>
  <cp:revision>3</cp:revision>
  <cp:lastPrinted>2020-10-19T04:03:00Z</cp:lastPrinted>
  <dcterms:created xsi:type="dcterms:W3CDTF">2020-10-26T00:03:00Z</dcterms:created>
  <dcterms:modified xsi:type="dcterms:W3CDTF">2020-10-26T00:39:00Z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0x0101008D8DEB3B5FB87445B0C85F4FF94009F7</vt:lpwstr>
  </property>
</Properties>
</file>