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Relatório de Vendas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1) Sumário Executivo</w:t>
      </w:r>
    </w:p>
    <w:p w:rsidR="00000000" w:rsidDel="00000000" w:rsidP="00000000" w:rsidRDefault="00000000" w:rsidRPr="00000000" w14:paraId="00000003">
      <w:pPr>
        <w:spacing w:after="120" w:lineRule="auto"/>
        <w:rPr/>
      </w:pPr>
      <w:r>
        <w:t>No período de 01/01/2025 a 31/03/2025, as lojas analisadas registraram um total de vendas de R$ 106.085,13. A categoria com maior faturamento foi Mercearia com R$ 30.981,82. O ticket médio por transação foi de R$ 14,95.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2) Gráficos de Vendas</w:t>
      </w:r>
    </w:p>
    <w:p w:rsidR="00000000" w:rsidDel="00000000" w:rsidP="00000000" w:rsidRDefault="00000000" w:rsidRPr="00000000" w14:paraId="00000005">
      <w:pPr>
        <w:rPr/>
      </w:pPr>
      <w:r/>
      <w:r>
        <w:drawing>
          <wp:inline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vend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6">
      <w:pPr>
        <w:rPr/>
      </w:pPr>
      <w:r/>
      <w:r>
        <w:drawing>
          <wp:inline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evolucao_ven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7">
      <w:pPr>
        <w:rPr/>
      </w:pPr>
      <w:r/>
      <w:r>
        <w:drawing>
          <wp:inline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etodos_pag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3) Tabela/Indicadores</w:t>
      </w:r>
    </w:p>
    <w:p w:rsidR="00000000" w:rsidDel="00000000" w:rsidP="00000000" w:rsidRDefault="00000000" w:rsidRPr="00000000" w14:paraId="00000009">
      <w:pPr>
        <w:rPr/>
      </w:pP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Loja</w:t>
            </w:r>
          </w:p>
        </w:tc>
        <w:tc>
          <w:tcPr>
            <w:tcW w:type="dxa" w:w="2160"/>
          </w:tcPr>
          <w:p>
            <w:r>
              <w:t>Faturamento Total</w:t>
            </w:r>
          </w:p>
        </w:tc>
        <w:tc>
          <w:tcPr>
            <w:tcW w:type="dxa" w:w="2160"/>
          </w:tcPr>
          <w:p>
            <w:r>
              <w:t>Nº Transações</w:t>
            </w:r>
          </w:p>
        </w:tc>
        <w:tc>
          <w:tcPr>
            <w:tcW w:type="dxa" w:w="2160"/>
          </w:tcPr>
          <w:p>
            <w:r>
              <w:t>Margem Total</w:t>
            </w:r>
          </w:p>
        </w:tc>
      </w:tr>
      <w:tr>
        <w:tc>
          <w:tcPr>
            <w:tcW w:type="dxa" w:w="2160"/>
          </w:tcPr>
          <w:p>
            <w:r>
              <w:t>Loja Centro</w:t>
            </w:r>
          </w:p>
        </w:tc>
        <w:tc>
          <w:tcPr>
            <w:tcW w:type="dxa" w:w="2160"/>
          </w:tcPr>
          <w:p>
            <w:r>
              <w:t>21.307,97</w:t>
            </w:r>
          </w:p>
        </w:tc>
        <w:tc>
          <w:tcPr>
            <w:tcW w:type="dxa" w:w="2160"/>
          </w:tcPr>
          <w:p>
            <w:r>
              <w:t>1444</w:t>
            </w:r>
          </w:p>
        </w:tc>
        <w:tc>
          <w:tcPr>
            <w:tcW w:type="dxa" w:w="2160"/>
          </w:tcPr>
          <w:p>
            <w:r>
              <w:t>13.652,27</w:t>
            </w:r>
          </w:p>
        </w:tc>
      </w:tr>
      <w:tr>
        <w:tc>
          <w:tcPr>
            <w:tcW w:type="dxa" w:w="2160"/>
          </w:tcPr>
          <w:p>
            <w:r>
              <w:t>Loja Leste</w:t>
            </w:r>
          </w:p>
        </w:tc>
        <w:tc>
          <w:tcPr>
            <w:tcW w:type="dxa" w:w="2160"/>
          </w:tcPr>
          <w:p>
            <w:r>
              <w:t>21.347,13</w:t>
            </w:r>
          </w:p>
        </w:tc>
        <w:tc>
          <w:tcPr>
            <w:tcW w:type="dxa" w:w="2160"/>
          </w:tcPr>
          <w:p>
            <w:r>
              <w:t>1441</w:t>
            </w:r>
          </w:p>
        </w:tc>
        <w:tc>
          <w:tcPr>
            <w:tcW w:type="dxa" w:w="2160"/>
          </w:tcPr>
          <w:p>
            <w:r>
              <w:t>13.734,73</w:t>
            </w:r>
          </w:p>
        </w:tc>
      </w:tr>
      <w:tr>
        <w:tc>
          <w:tcPr>
            <w:tcW w:type="dxa" w:w="2160"/>
          </w:tcPr>
          <w:p>
            <w:r>
              <w:t>Loja Norte</w:t>
            </w:r>
          </w:p>
        </w:tc>
        <w:tc>
          <w:tcPr>
            <w:tcW w:type="dxa" w:w="2160"/>
          </w:tcPr>
          <w:p>
            <w:r>
              <w:t>21.544,58</w:t>
            </w:r>
          </w:p>
        </w:tc>
        <w:tc>
          <w:tcPr>
            <w:tcW w:type="dxa" w:w="2160"/>
          </w:tcPr>
          <w:p>
            <w:r>
              <w:t>1426</w:t>
            </w:r>
          </w:p>
        </w:tc>
        <w:tc>
          <w:tcPr>
            <w:tcW w:type="dxa" w:w="2160"/>
          </w:tcPr>
          <w:p>
            <w:r>
              <w:t>13.884,28</w:t>
            </w:r>
          </w:p>
        </w:tc>
      </w:tr>
      <w:tr>
        <w:tc>
          <w:tcPr>
            <w:tcW w:type="dxa" w:w="2160"/>
          </w:tcPr>
          <w:p>
            <w:r>
              <w:t>Loja Oeste</w:t>
            </w:r>
          </w:p>
        </w:tc>
        <w:tc>
          <w:tcPr>
            <w:tcW w:type="dxa" w:w="2160"/>
          </w:tcPr>
          <w:p>
            <w:r>
              <w:t>21.773,57</w:t>
            </w:r>
          </w:p>
        </w:tc>
        <w:tc>
          <w:tcPr>
            <w:tcW w:type="dxa" w:w="2160"/>
          </w:tcPr>
          <w:p>
            <w:r>
              <w:t>1422</w:t>
            </w:r>
          </w:p>
        </w:tc>
        <w:tc>
          <w:tcPr>
            <w:tcW w:type="dxa" w:w="2160"/>
          </w:tcPr>
          <w:p>
            <w:r>
              <w:t>14.020,07</w:t>
            </w:r>
          </w:p>
        </w:tc>
      </w:tr>
      <w:tr>
        <w:tc>
          <w:tcPr>
            <w:tcW w:type="dxa" w:w="2160"/>
          </w:tcPr>
          <w:p>
            <w:r>
              <w:t>Loja Sul</w:t>
            </w:r>
          </w:p>
        </w:tc>
        <w:tc>
          <w:tcPr>
            <w:tcW w:type="dxa" w:w="2160"/>
          </w:tcPr>
          <w:p>
            <w:r>
              <w:t>20.111,88</w:t>
            </w:r>
          </w:p>
        </w:tc>
        <w:tc>
          <w:tcPr>
            <w:tcW w:type="dxa" w:w="2160"/>
          </w:tcPr>
          <w:p>
            <w:r>
              <w:t>1362</w:t>
            </w:r>
          </w:p>
        </w:tc>
        <w:tc>
          <w:tcPr>
            <w:tcW w:type="dxa" w:w="2160"/>
          </w:tcPr>
          <w:p>
            <w:r>
              <w:t>12.908,28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4) Análise Qualitativa (Gerada por LLM)</w:t>
      </w:r>
    </w:p>
    <w:p w:rsidR="00000000" w:rsidDel="00000000" w:rsidP="00000000" w:rsidRDefault="00000000" w:rsidRPr="00000000" w14:paraId="0000000B">
      <w:pPr>
        <w:rPr/>
      </w:pPr>
      <w:r>
        <w:t>No período de 01/01/2025 a 31/03/2025, as vendas totais alcançaram R$ 106.085,13, com destaque para a categoria de Mercearia, que representou R$ 30.981,82. O ticket médio foi de R$ 14,95. Isso indica uma base de clientes fiéis e uma boa performance da loja. Um próximo passo de investigação seria analisar a variação sazonal das vendas para identificar oportunidades de crescimento. Além disso, é importante investigar quais produtos específicos dentro da categoria de Mercearia estão impulsionando essas vendas, para potencializar esses itens e aumentar a receita.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t>Assinatura: Isabella — 23/11/2025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GsSkeMKFBoAfERJBnrUkggtyA==">CgMxLjA4AHIhMUE4UVVtdmllR1J4Uk9XeDNaT1gtTjZOZzluOHd4X0lh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