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acote-de-defesa-em-auditoria-do-irs"/>
    <w:p>
      <w:pPr>
        <w:pStyle w:val="Heading1"/>
      </w:pPr>
      <w:r>
        <w:t xml:space="preserve">PACOTE DE DEFESA EM AUDITORIA DO IRS</w:t>
      </w:r>
    </w:p>
    <w:bookmarkStart w:id="20" w:name="Xb1c43d738453f8ed03a9956ea637adcf2f5bbde"/>
    <w:p>
      <w:pPr>
        <w:pStyle w:val="Heading2"/>
      </w:pPr>
      <w:r>
        <w:t xml:space="preserve">ELIANA MACHADO DE ALMEIDA | ANO FISCAL 2024 | CARTA 566-T (Letter 566-T)</w:t>
      </w:r>
    </w:p>
    <w:p>
      <w:pPr>
        <w:pStyle w:val="FirstParagraph"/>
      </w:pPr>
      <w:r>
        <w:rPr>
          <w:bCs/>
          <w:b/>
        </w:rPr>
        <w:t xml:space="preserve">Elaborado por:</w:t>
      </w:r>
      <w:r>
        <w:t xml:space="preserve"> </w:t>
      </w:r>
      <w:r>
        <w:t xml:space="preserve">Eliana Machado de Almeida, Pro Se (Contribuinte sem representação)</w:t>
      </w:r>
      <w:r>
        <w:t xml:space="preserve"> </w:t>
      </w:r>
      <w:r>
        <w:rPr>
          <w:bCs/>
          <w:b/>
        </w:rPr>
        <w:t xml:space="preserve">Data:</w:t>
      </w:r>
      <w:r>
        <w:t xml:space="preserve"> </w:t>
      </w:r>
      <w:r>
        <w:t xml:space="preserve">June 7, 2026</w:t>
      </w:r>
      <w:r>
        <w:t xml:space="preserve"> </w:t>
      </w:r>
      <w:r>
        <w:rPr>
          <w:bCs/>
          <w:b/>
        </w:rPr>
        <w:t xml:space="preserve">Prazo de Resposta:</w:t>
      </w:r>
      <w:r>
        <w:t xml:space="preserve"> </w:t>
      </w:r>
      <w:r>
        <w:t xml:space="preserve">June 17, 2026</w:t>
      </w:r>
      <w:r>
        <w:t xml:space="preserve"> </w:t>
      </w:r>
      <w:r>
        <w:rPr>
          <w:bCs/>
          <w:b/>
        </w:rPr>
        <w:t xml:space="preserve">Endereço do IRS:</w:t>
      </w:r>
      <w:r>
        <w:t xml:space="preserve"> </w:t>
      </w:r>
      <w:r>
        <w:t xml:space="preserve">Internal Revenue Service, P.O. Box 309011, AMC 8236, Memphis TN 38130-0911</w:t>
      </w:r>
    </w:p>
    <w:p>
      <w:r>
        <w:pict>
          <v:rect style="width:0;height:1.5pt" o:hralign="center" o:hrstd="t" o:hr="t"/>
        </w:pict>
      </w:r>
    </w:p>
    <w:bookmarkEnd w:id="20"/>
    <w:bookmarkStart w:id="21" w:name="sumário"/>
    <w:p>
      <w:pPr>
        <w:pStyle w:val="Heading2"/>
      </w:pPr>
      <w:r>
        <w:t xml:space="preserve">SUMÁRIO</w:t>
      </w:r>
    </w:p>
    <w:p>
      <w:pPr>
        <w:numPr>
          <w:ilvl w:val="0"/>
          <w:numId w:val="1001"/>
        </w:numPr>
        <w:pStyle w:val="Compact"/>
      </w:pPr>
      <w:r>
        <w:t xml:space="preserve">Resumo Executivo</w:t>
      </w:r>
    </w:p>
    <w:p>
      <w:pPr>
        <w:numPr>
          <w:ilvl w:val="0"/>
          <w:numId w:val="1001"/>
        </w:numPr>
        <w:pStyle w:val="Compact"/>
      </w:pPr>
      <w:r>
        <w:t xml:space="preserve">Reconciliação de Juros Hipotecários (Totalmente Resolvida)</w:t>
      </w:r>
    </w:p>
    <w:p>
      <w:pPr>
        <w:numPr>
          <w:ilvl w:val="0"/>
          <w:numId w:val="1001"/>
        </w:numPr>
        <w:pStyle w:val="Compact"/>
      </w:pPr>
      <w:r>
        <w:t xml:space="preserve">Form 14900 — Planilha Preenchida e Análise</w:t>
      </w:r>
    </w:p>
    <w:p>
      <w:pPr>
        <w:numPr>
          <w:ilvl w:val="0"/>
          <w:numId w:val="1001"/>
        </w:numPr>
        <w:pStyle w:val="Compact"/>
      </w:pPr>
      <w:r>
        <w:t xml:space="preserve">Análise da Dedutibilidade dos Pontos Hipotecários (points)</w:t>
      </w:r>
    </w:p>
    <w:p>
      <w:pPr>
        <w:numPr>
          <w:ilvl w:val="0"/>
          <w:numId w:val="1001"/>
        </w:numPr>
        <w:pStyle w:val="Compact"/>
      </w:pPr>
      <w:r>
        <w:t xml:space="preserve">Impacto sobre o QBID (Form 14997)</w:t>
      </w:r>
    </w:p>
    <w:p>
      <w:pPr>
        <w:numPr>
          <w:ilvl w:val="0"/>
          <w:numId w:val="1001"/>
        </w:numPr>
        <w:pStyle w:val="Compact"/>
      </w:pPr>
      <w:r>
        <w:t xml:space="preserve">Carta de Apresentação ao IRS (Minuta)</w:t>
      </w:r>
    </w:p>
    <w:p>
      <w:pPr>
        <w:numPr>
          <w:ilvl w:val="0"/>
          <w:numId w:val="1001"/>
        </w:numPr>
        <w:pStyle w:val="Compact"/>
      </w:pPr>
      <w:r>
        <w:t xml:space="preserve">Comentários ao Form 14817</w:t>
      </w:r>
    </w:p>
    <w:p>
      <w:pPr>
        <w:numPr>
          <w:ilvl w:val="0"/>
          <w:numId w:val="1001"/>
        </w:numPr>
        <w:pStyle w:val="Compact"/>
      </w:pPr>
      <w:r>
        <w:t xml:space="preserve">Índice de Anexos</w:t>
      </w:r>
    </w:p>
    <w:p>
      <w:pPr>
        <w:numPr>
          <w:ilvl w:val="0"/>
          <w:numId w:val="1001"/>
        </w:numPr>
        <w:pStyle w:val="Compact"/>
      </w:pPr>
      <w:r>
        <w:t xml:space="preserve">Lista de Verificação para Envio</w:t>
      </w:r>
    </w:p>
    <w:p>
      <w:r>
        <w:pict>
          <v:rect style="width:0;height:1.5pt" o:hralign="center" o:hrstd="t" o:hr="t"/>
        </w:pict>
      </w:r>
    </w:p>
    <w:p>
      <w:r>
        <w:pict>
          <v:rect style="width:0;height:1.5pt" o:hralign="center" o:hrstd="t" o:hr="t"/>
        </w:pict>
      </w:r>
    </w:p>
    <w:bookmarkEnd w:id="21"/>
    <w:bookmarkEnd w:id="22"/>
    <w:bookmarkStart w:id="28" w:name="seção-1-resumo-executivo"/>
    <w:p>
      <w:pPr>
        <w:pStyle w:val="Heading1"/>
      </w:pPr>
      <w:r>
        <w:t xml:space="preserve">SEÇÃO 1 — RESUMO EXECUTIVO</w:t>
      </w:r>
    </w:p>
    <w:p>
      <w:pPr>
        <w:pStyle w:val="FirstParagraph"/>
      </w:pPr>
      <w:r>
        <w:rPr>
          <w:bCs/>
          <w:b/>
        </w:rPr>
        <w:t xml:space="preserve">Contribuinte:</w:t>
      </w:r>
      <w:r>
        <w:t xml:space="preserve"> </w:t>
      </w:r>
      <w:r>
        <w:t xml:space="preserve">ELIANA MACHADO DE ALMEIDA</w:t>
      </w:r>
      <w:r>
        <w:t xml:space="preserve"> </w:t>
      </w:r>
      <w:r>
        <w:rPr>
          <w:bCs/>
          <w:b/>
        </w:rPr>
        <w:t xml:space="preserve">CPF/SSN (últimos 4 dígitos):</w:t>
      </w:r>
      <w:r>
        <w:t xml:space="preserve"> </w:t>
      </w:r>
      <w:r>
        <w:t xml:space="preserve">6336</w:t>
      </w:r>
      <w:r>
        <w:t xml:space="preserve"> </w:t>
      </w:r>
      <w:r>
        <w:rPr>
          <w:bCs/>
          <w:b/>
        </w:rPr>
        <w:t xml:space="preserve">Ano Fiscal:</w:t>
      </w:r>
      <w:r>
        <w:t xml:space="preserve"> </w:t>
      </w:r>
      <w:r>
        <w:t xml:space="preserve">2024</w:t>
      </w:r>
      <w:r>
        <w:t xml:space="preserve"> </w:t>
      </w:r>
      <w:r>
        <w:rPr>
          <w:bCs/>
          <w:b/>
        </w:rPr>
        <w:t xml:space="preserve">Imóvel:</w:t>
      </w:r>
      <w:r>
        <w:t xml:space="preserve"> </w:t>
      </w:r>
      <w:r>
        <w:t xml:space="preserve">4 Laura’s Way, Edgartown, MA 02539</w:t>
      </w:r>
      <w:r>
        <w:t xml:space="preserve"> </w:t>
      </w:r>
      <w:r>
        <w:rPr>
          <w:bCs/>
          <w:b/>
        </w:rPr>
        <w:t xml:space="preserve">Notificação do IRS:</w:t>
      </w:r>
      <w:r>
        <w:t xml:space="preserve"> </w:t>
      </w:r>
      <w:r>
        <w:t xml:space="preserve">Carta 566-T (Letter 566-T), datada de May 18, 2026</w:t>
      </w:r>
      <w:r>
        <w:t xml:space="preserve"> </w:t>
      </w:r>
      <w:r>
        <w:rPr>
          <w:bCs/>
          <w:b/>
        </w:rPr>
        <w:t xml:space="preserve">Questão em Exame:</w:t>
      </w:r>
      <w:r>
        <w:t xml:space="preserve"> </w:t>
      </w:r>
      <w:r>
        <w:t xml:space="preserve">Anexo A (Schedule A), Linha 8a — Juros Hipotecários e Pontos Hipotecários (points) sobre Imóvel Residencial ($114,034)</w:t>
      </w:r>
    </w:p>
    <w:p>
      <w:r>
        <w:pict>
          <v:rect style="width:0;height:1.5pt" o:hralign="center" o:hrstd="t" o:hr="t"/>
        </w:pict>
      </w:r>
    </w:p>
    <w:bookmarkStart w:id="23" w:name="histórico"/>
    <w:p>
      <w:pPr>
        <w:pStyle w:val="Heading3"/>
      </w:pPr>
      <w:r>
        <w:t xml:space="preserve">Histórico</w:t>
      </w:r>
    </w:p>
    <w:p>
      <w:pPr>
        <w:pStyle w:val="FirstParagraph"/>
      </w:pPr>
      <w:r>
        <w:t xml:space="preserve">O IRS emitiu a Carta 566-T (Letter 566-T) solicitando documentação para suportar a dedução de $114,034 a título de juros hipotecários declarada no Schedule A. O IRS incluiu o Form 886-H-INT (Documentos Comprobatórios da Dedução Limitada de Juros Hipotecários Residenciais) e a planilha em branco do Form 14900, sinalizando que a limitação de saldo do empréstimo prevista no IRC §163(h)(3)(B) está sob questionamento.</w:t>
      </w:r>
    </w:p>
    <w:p>
      <w:pPr>
        <w:pStyle w:val="BodyText"/>
      </w:pPr>
      <w:r>
        <w:t xml:space="preserve">A contribuinte, Sra. Eliana Machado de Almeida, adquiriu sua residência principal em 4 Laura’s Way, Edgartown, MA 02539, em outubro de 2023, e refinanciou o financiamento hipotecário em novembro de 2024. Ambas as operações estão integralmente documentadas por instituições financeiras credenciadas. A dedução declarada reflete os valores efetivamente pagos a essas instituições; o excesso resulta de uma compreensão equivocada do limite de dedução de juros hipotecários pós-TCJA, conforme explicado a seguir.</w:t>
      </w:r>
    </w:p>
    <w:p>
      <w:r>
        <w:pict>
          <v:rect style="width:0;height:1.5pt" o:hralign="center" o:hrstd="t" o:hr="t"/>
        </w:pict>
      </w:r>
    </w:p>
    <w:bookmarkEnd w:id="23"/>
    <w:bookmarkStart w:id="24" w:name="Xfef06b326bbaedcfe4438444d20e7b69995654d"/>
    <w:p>
      <w:pPr>
        <w:pStyle w:val="Heading3"/>
      </w:pPr>
      <w:r>
        <w:t xml:space="preserve">Resumo dos Dados Hipotecários Confirmados</w:t>
      </w:r>
    </w:p>
    <w:tbl>
      <w:tblPr>
        <w:tblStyle w:val="Table"/>
        <w:tblW w:type="pct" w:w="5000"/>
        <w:tblLook w:firstRow="1" w:lastRow="0" w:firstColumn="0" w:lastColumn="0" w:noHBand="0" w:noVBand="0" w:val="0020"/>
        <w:jc w:val="start"/>
      </w:tblPr>
      <w:tblGrid>
        <w:gridCol w:w="609"/>
        <w:gridCol w:w="1370"/>
        <w:gridCol w:w="913"/>
        <w:gridCol w:w="1446"/>
        <w:gridCol w:w="913"/>
        <w:gridCol w:w="2665"/>
      </w:tblGrid>
      <w:tr>
        <w:trPr>
          <w:tblHeader w:val="true"/>
        </w:trPr>
        <w:tc>
          <w:tcPr/>
          <w:p>
            <w:pPr>
              <w:pStyle w:val="Compact"/>
              <w:jc w:val="left"/>
            </w:pPr>
            <w:r>
              <w:t xml:space="preserve">Credor</w:t>
            </w:r>
          </w:p>
        </w:tc>
        <w:tc>
          <w:tcPr/>
          <w:p>
            <w:pPr>
              <w:pStyle w:val="Compact"/>
              <w:jc w:val="left"/>
            </w:pPr>
            <w:r>
              <w:t xml:space="preserve">Nº do Empréstimo</w:t>
            </w:r>
          </w:p>
        </w:tc>
        <w:tc>
          <w:tcPr/>
          <w:p>
            <w:pPr>
              <w:pStyle w:val="Compact"/>
              <w:jc w:val="left"/>
            </w:pPr>
            <w:r>
              <w:t xml:space="preserve">Originação</w:t>
            </w:r>
          </w:p>
        </w:tc>
        <w:tc>
          <w:tcPr/>
          <w:p>
            <w:pPr>
              <w:pStyle w:val="Compact"/>
              <w:jc w:val="left"/>
            </w:pPr>
            <w:r>
              <w:t xml:space="preserve">Liquidação/Status</w:t>
            </w:r>
          </w:p>
        </w:tc>
        <w:tc>
          <w:tcPr/>
          <w:p>
            <w:pPr>
              <w:pStyle w:val="Compact"/>
              <w:jc w:val="left"/>
            </w:pPr>
            <w:r>
              <w:t xml:space="preserve">Juros 2024</w:t>
            </w:r>
          </w:p>
        </w:tc>
        <w:tc>
          <w:tcPr/>
          <w:p>
            <w:pPr>
              <w:pStyle w:val="Compact"/>
              <w:jc w:val="left"/>
            </w:pPr>
            <w:r>
              <w:t xml:space="preserve">Pontos hipotecários (points) 2024</w:t>
            </w:r>
          </w:p>
        </w:tc>
      </w:tr>
      <w:tr>
        <w:tc>
          <w:tcPr/>
          <w:p>
            <w:pPr>
              <w:pStyle w:val="Compact"/>
              <w:jc w:val="left"/>
            </w:pPr>
            <w:r>
              <w:t xml:space="preserve">AmWest Funding Corp</w:t>
            </w:r>
          </w:p>
        </w:tc>
        <w:tc>
          <w:tcPr/>
          <w:p>
            <w:pPr>
              <w:pStyle w:val="Compact"/>
              <w:jc w:val="left"/>
            </w:pPr>
            <w:r>
              <w:t xml:space="preserve">2000086400</w:t>
            </w:r>
          </w:p>
        </w:tc>
        <w:tc>
          <w:tcPr/>
          <w:p>
            <w:pPr>
              <w:pStyle w:val="Compact"/>
              <w:jc w:val="left"/>
            </w:pPr>
            <w:r>
              <w:t xml:space="preserve">10/20/2023</w:t>
            </w:r>
          </w:p>
        </w:tc>
        <w:tc>
          <w:tcPr/>
          <w:p>
            <w:pPr>
              <w:pStyle w:val="Compact"/>
              <w:jc w:val="left"/>
            </w:pPr>
            <w:r>
              <w:t xml:space="preserve">Liquidado em 11/19/2024</w:t>
            </w:r>
          </w:p>
        </w:tc>
        <w:tc>
          <w:tcPr/>
          <w:p>
            <w:pPr>
              <w:pStyle w:val="Compact"/>
              <w:jc w:val="left"/>
            </w:pPr>
            <w:r>
              <w:rPr>
                <w:bCs/>
                <w:b/>
              </w:rPr>
              <w:t xml:space="preserve">$95,134.47</w:t>
            </w:r>
          </w:p>
        </w:tc>
        <w:tc>
          <w:tcPr/>
          <w:p>
            <w:pPr>
              <w:pStyle w:val="Compact"/>
              <w:jc w:val="left"/>
            </w:pPr>
            <w:r>
              <w:t xml:space="preserve">$0</w:t>
            </w:r>
          </w:p>
        </w:tc>
      </w:tr>
      <w:tr>
        <w:tc>
          <w:tcPr/>
          <w:p>
            <w:pPr>
              <w:pStyle w:val="Compact"/>
              <w:jc w:val="left"/>
            </w:pPr>
            <w:r>
              <w:t xml:space="preserve">Radius Financial Group</w:t>
            </w:r>
          </w:p>
        </w:tc>
        <w:tc>
          <w:tcPr/>
          <w:p>
            <w:pPr>
              <w:pStyle w:val="Compact"/>
              <w:jc w:val="left"/>
            </w:pPr>
            <w:r>
              <w:t xml:space="preserve">1068729</w:t>
            </w:r>
          </w:p>
        </w:tc>
        <w:tc>
          <w:tcPr/>
          <w:p>
            <w:pPr>
              <w:pStyle w:val="Compact"/>
              <w:jc w:val="left"/>
            </w:pPr>
            <w:r>
              <w:t xml:space="preserve">11/13/2024</w:t>
            </w:r>
          </w:p>
        </w:tc>
        <w:tc>
          <w:tcPr/>
          <w:p>
            <w:pPr>
              <w:pStyle w:val="Compact"/>
              <w:jc w:val="left"/>
            </w:pPr>
            <w:r>
              <w:t xml:space="preserve">Ativo</w:t>
            </w:r>
          </w:p>
        </w:tc>
        <w:tc>
          <w:tcPr/>
          <w:p>
            <w:pPr>
              <w:pStyle w:val="Compact"/>
              <w:jc w:val="left"/>
            </w:pPr>
            <w:r>
              <w:rPr>
                <w:bCs/>
                <w:b/>
              </w:rPr>
              <w:t xml:space="preserve">$1,869.86</w:t>
            </w:r>
          </w:p>
        </w:tc>
        <w:tc>
          <w:tcPr/>
          <w:p>
            <w:pPr>
              <w:pStyle w:val="Compact"/>
              <w:jc w:val="left"/>
            </w:pPr>
            <w:r>
              <w:rPr>
                <w:bCs/>
                <w:b/>
              </w:rPr>
              <w:t xml:space="preserve">$18,900.00</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jc w:val="left"/>
            </w:pPr>
            <w:r>
              <w:rPr>
                <w:bCs/>
                <w:b/>
              </w:rPr>
              <w:t xml:space="preserve">$97,004.33</w:t>
            </w:r>
          </w:p>
        </w:tc>
        <w:tc>
          <w:tcPr/>
          <w:p>
            <w:pPr>
              <w:pStyle w:val="Compact"/>
              <w:jc w:val="left"/>
            </w:pPr>
            <w:r>
              <w:rPr>
                <w:bCs/>
                <w:b/>
              </w:rPr>
              <w:t xml:space="preserve">$18,900.00</w:t>
            </w:r>
          </w:p>
        </w:tc>
      </w:tr>
    </w:tbl>
    <w:p>
      <w:pPr>
        <w:pStyle w:val="BodyText"/>
      </w:pPr>
      <w:r>
        <w:t xml:space="preserve">Todos os valores foram confirmados a partir dos documentos de origem: Relatório de Atividade do Empréstimo (Loan Activity Report) da AmWest, Form 1098 da AmWest, Form 1098 da Radius (Caixa 1: $1,869.86; Caixa 6: $18,900.00).</w:t>
      </w:r>
    </w:p>
    <w:p>
      <w:r>
        <w:pict>
          <v:rect style="width:0;height:1.5pt" o:hralign="center" o:hrstd="t" o:hr="t"/>
        </w:pict>
      </w:r>
    </w:p>
    <w:bookmarkEnd w:id="24"/>
    <w:bookmarkStart w:id="25" w:name="Xb15f3456033adb8df30e10f94d26284c4efefb5"/>
    <w:p>
      <w:pPr>
        <w:pStyle w:val="Heading3"/>
      </w:pPr>
      <w:r>
        <w:t xml:space="preserve">Reconciliação do Schedule A — Totalmente Resolvida</w:t>
      </w:r>
    </w:p>
    <w:p>
      <w:pPr>
        <w:pStyle w:val="FirstParagraph"/>
      </w:pPr>
      <w:r>
        <w:t xml:space="preserve">O valor de $114,034 declarado no Schedule A, Linha 8a, está integralmente explicado:</w:t>
      </w:r>
    </w:p>
    <w:tbl>
      <w:tblPr>
        <w:tblStyle w:val="Table"/>
        <w:tblW w:type="pct" w:w="5000"/>
        <w:tblLook w:firstRow="1" w:lastRow="0" w:firstColumn="0" w:lastColumn="0" w:noHBand="0" w:noVBand="0" w:val="0020"/>
        <w:jc w:val="start"/>
      </w:tblPr>
      <w:tblGrid>
        <w:gridCol w:w="3655"/>
        <w:gridCol w:w="2132"/>
        <w:gridCol w:w="2132"/>
      </w:tblGrid>
      <w:tr>
        <w:trPr>
          <w:tblHeader w:val="true"/>
        </w:trPr>
        <w:tc>
          <w:tcPr/>
          <w:p>
            <w:pPr>
              <w:pStyle w:val="Compact"/>
              <w:jc w:val="left"/>
            </w:pPr>
            <w:r>
              <w:t xml:space="preserve">Componente</w:t>
            </w:r>
          </w:p>
        </w:tc>
        <w:tc>
          <w:tcPr/>
          <w:p>
            <w:pPr>
              <w:pStyle w:val="Compact"/>
              <w:jc w:val="left"/>
            </w:pPr>
            <w:r>
              <w:t xml:space="preserve">Valor</w:t>
            </w:r>
          </w:p>
        </w:tc>
        <w:tc>
          <w:tcPr/>
          <w:p>
            <w:pPr>
              <w:pStyle w:val="Compact"/>
              <w:jc w:val="left"/>
            </w:pPr>
            <w:r>
              <w:t xml:space="preserve">Fonte</w:t>
            </w:r>
          </w:p>
        </w:tc>
      </w:tr>
      <w:tr>
        <w:tc>
          <w:tcPr/>
          <w:p>
            <w:pPr>
              <w:pStyle w:val="Compact"/>
              <w:jc w:val="left"/>
            </w:pPr>
            <w:r>
              <w:t xml:space="preserve">Juros AmWest</w:t>
            </w:r>
          </w:p>
        </w:tc>
        <w:tc>
          <w:tcPr/>
          <w:p>
            <w:pPr>
              <w:pStyle w:val="Compact"/>
              <w:jc w:val="left"/>
            </w:pPr>
            <w:r>
              <w:t xml:space="preserve">$95,134</w:t>
            </w:r>
          </w:p>
        </w:tc>
        <w:tc>
          <w:tcPr/>
          <w:p>
            <w:pPr>
              <w:pStyle w:val="Compact"/>
              <w:jc w:val="left"/>
            </w:pPr>
            <w:r>
              <w:t xml:space="preserve">Form 1098 ✓</w:t>
            </w:r>
          </w:p>
        </w:tc>
      </w:tr>
      <w:tr>
        <w:tc>
          <w:tcPr/>
          <w:p>
            <w:pPr>
              <w:pStyle w:val="Compact"/>
              <w:jc w:val="left"/>
            </w:pPr>
            <w:r>
              <w:t xml:space="preserve">Pontos hipotecários (points) Radius (Caixa 6)</w:t>
            </w:r>
          </w:p>
        </w:tc>
        <w:tc>
          <w:tcPr/>
          <w:p>
            <w:pPr>
              <w:pStyle w:val="Compact"/>
              <w:jc w:val="left"/>
            </w:pPr>
            <w:r>
              <w:rPr>
                <w:bCs/>
                <w:b/>
              </w:rPr>
              <w:t xml:space="preserve">$18,900</w:t>
            </w:r>
          </w:p>
        </w:tc>
        <w:tc>
          <w:tcPr/>
          <w:p>
            <w:pPr>
              <w:pStyle w:val="Compact"/>
              <w:jc w:val="left"/>
            </w:pPr>
            <w:r>
              <w:t xml:space="preserve">Form 1098 ✓ (confirmado)</w:t>
            </w:r>
          </w:p>
        </w:tc>
      </w:tr>
      <w:tr>
        <w:tc>
          <w:tcPr/>
          <w:p>
            <w:pPr>
              <w:pStyle w:val="Compact"/>
              <w:jc w:val="left"/>
            </w:pPr>
            <w:r>
              <w:rPr>
                <w:bCs/>
                <w:b/>
              </w:rPr>
              <w:t xml:space="preserve">Schedule A Linha 8a</w:t>
            </w:r>
          </w:p>
        </w:tc>
        <w:tc>
          <w:tcPr/>
          <w:p>
            <w:pPr>
              <w:pStyle w:val="Compact"/>
              <w:jc w:val="left"/>
            </w:pPr>
            <w:r>
              <w:rPr>
                <w:bCs/>
                <w:b/>
              </w:rPr>
              <w:t xml:space="preserve">$114,034</w:t>
            </w:r>
          </w:p>
        </w:tc>
        <w:tc>
          <w:tcPr/>
          <w:p>
            <w:pPr>
              <w:pStyle w:val="Compact"/>
              <w:jc w:val="left"/>
            </w:pPr>
            <w:r>
              <w:t xml:space="preserve">$95,134 + $18,900 = $114,034 ✓</w:t>
            </w:r>
          </w:p>
        </w:tc>
      </w:tr>
    </w:tbl>
    <w:p>
      <w:pPr>
        <w:pStyle w:val="BodyText"/>
      </w:pPr>
      <w:r>
        <w:rPr>
          <w:bCs/>
          <w:b/>
        </w:rPr>
        <w:t xml:space="preserve">Os juros da Radius no valor de $1,869.86 foram omitidos do Schedule A.</w:t>
      </w:r>
      <w:r>
        <w:t xml:space="preserve"> </w:t>
      </w:r>
      <w:r>
        <w:t xml:space="preserve">O responsável pela preparação da declaração incluiu os juros da AmWest e os pontos hipotecários (points) da Radius, mas não transportou os juros da Radius para a Linha 8a do Schedule A. Trata-se de omissão de lançamento de dados por parte do responsável pela preparação da declaração que, de forma notável, subestima a dedução em $1,870 — resultado inteiramente incompatível com qualquer intenção de declarar valores indevidos.</w:t>
      </w:r>
    </w:p>
    <w:p>
      <w:r>
        <w:pict>
          <v:rect style="width:0;height:1.5pt" o:hralign="center" o:hrstd="t" o:hr="t"/>
        </w:pict>
      </w:r>
    </w:p>
    <w:bookmarkEnd w:id="25"/>
    <w:bookmarkStart w:id="26" w:name="X2fcd1beab53d835319fdd559eb80145e3033164"/>
    <w:p>
      <w:pPr>
        <w:pStyle w:val="Heading3"/>
      </w:pPr>
      <w:r>
        <w:t xml:space="preserve">Erros do Responsável pela Preparação da Declaração Identificados</w:t>
      </w:r>
    </w:p>
    <w:tbl>
      <w:tblPr>
        <w:tblStyle w:val="Table"/>
        <w:tblW w:type="pct" w:w="5000"/>
        <w:tblLook w:firstRow="1" w:lastRow="0" w:firstColumn="0" w:lastColumn="0" w:noHBand="0" w:noVBand="0" w:val="0020"/>
        <w:jc w:val="start"/>
      </w:tblPr>
      <w:tblGrid>
        <w:gridCol w:w="1159"/>
        <w:gridCol w:w="2124"/>
        <w:gridCol w:w="4636"/>
      </w:tblGrid>
      <w:tr>
        <w:trPr>
          <w:tblHeader w:val="true"/>
        </w:trPr>
        <w:tc>
          <w:tcPr/>
          <w:p>
            <w:pPr>
              <w:pStyle w:val="Compact"/>
              <w:jc w:val="left"/>
            </w:pPr>
            <w:r>
              <w:t xml:space="preserve">Erro</w:t>
            </w:r>
          </w:p>
        </w:tc>
        <w:tc>
          <w:tcPr/>
          <w:p>
            <w:pPr>
              <w:pStyle w:val="Compact"/>
              <w:jc w:val="left"/>
            </w:pPr>
            <w:r>
              <w:t xml:space="preserve">Descrição</w:t>
            </w:r>
          </w:p>
        </w:tc>
        <w:tc>
          <w:tcPr/>
          <w:p>
            <w:pPr>
              <w:pStyle w:val="Compact"/>
              <w:jc w:val="left"/>
            </w:pPr>
            <w:r>
              <w:t xml:space="preserve">Efeito sobre a Dedução</w:t>
            </w:r>
          </w:p>
        </w:tc>
      </w:tr>
      <w:tr>
        <w:tc>
          <w:tcPr/>
          <w:p>
            <w:pPr>
              <w:pStyle w:val="Compact"/>
              <w:jc w:val="left"/>
            </w:pPr>
            <w:r>
              <w:rPr>
                <w:bCs/>
                <w:b/>
              </w:rPr>
              <w:t xml:space="preserve">Item 1 (Principal)</w:t>
            </w:r>
          </w:p>
        </w:tc>
        <w:tc>
          <w:tcPr/>
          <w:p>
            <w:pPr>
              <w:pStyle w:val="Compact"/>
              <w:jc w:val="left"/>
            </w:pPr>
            <w:r>
              <w:t xml:space="preserve">Limite de $750,000 para empréstimos previsto no IRC §163(h)(3)(B) não aplicado. A planilha de limitação de juros hipotecários do Drake foi deixada em branco. Ambos os financiamentos são posteriores ao TCJA (originados após 12/15/2017).</w:t>
            </w:r>
          </w:p>
        </w:tc>
        <w:tc>
          <w:tcPr/>
          <w:p>
            <w:pPr>
              <w:pStyle w:val="Compact"/>
              <w:jc w:val="left"/>
            </w:pPr>
            <w:r>
              <w:t xml:space="preserve">Superestima a dedução</w:t>
            </w:r>
          </w:p>
        </w:tc>
      </w:tr>
      <w:tr>
        <w:tc>
          <w:tcPr/>
          <w:p>
            <w:pPr>
              <w:pStyle w:val="Compact"/>
              <w:jc w:val="left"/>
            </w:pPr>
            <w:r>
              <w:rPr>
                <w:bCs/>
                <w:b/>
              </w:rPr>
              <w:t xml:space="preserve">Item 2 (Principal)</w:t>
            </w:r>
          </w:p>
        </w:tc>
        <w:tc>
          <w:tcPr/>
          <w:p>
            <w:pPr>
              <w:pStyle w:val="Compact"/>
              <w:jc w:val="left"/>
            </w:pPr>
            <w:r>
              <w:t xml:space="preserve">Pontos hipotecários (points) da Radius no valor de $18,900 deduzidos integralmente no ano do refinanciamento. Por tratar-se de refinanciamento, o IRC §461(g)(2) exige a amortização proporcional ao longo do prazo do empréstimo.</w:t>
            </w:r>
          </w:p>
        </w:tc>
        <w:tc>
          <w:tcPr/>
          <w:p>
            <w:pPr>
              <w:pStyle w:val="Compact"/>
              <w:jc w:val="left"/>
            </w:pPr>
            <w:r>
              <w:t xml:space="preserve">Superestima a dedução</w:t>
            </w:r>
          </w:p>
        </w:tc>
      </w:tr>
      <w:tr>
        <w:tc>
          <w:tcPr/>
          <w:p>
            <w:pPr>
              <w:pStyle w:val="Compact"/>
              <w:jc w:val="left"/>
            </w:pPr>
            <w:r>
              <w:rPr>
                <w:bCs/>
                <w:b/>
              </w:rPr>
              <w:t xml:space="preserve">Item 3 (Secundário)</w:t>
            </w:r>
          </w:p>
        </w:tc>
        <w:tc>
          <w:tcPr/>
          <w:p>
            <w:pPr>
              <w:pStyle w:val="Compact"/>
              <w:jc w:val="left"/>
            </w:pPr>
            <w:r>
              <w:t xml:space="preserve">Juros da Radius no valor de $1,869.86 (Form 1098, Caixa 1) inadvertidamente omitidos do Schedule A.</w:t>
            </w:r>
          </w:p>
        </w:tc>
        <w:tc>
          <w:tcPr/>
          <w:p>
            <w:pPr>
              <w:pStyle w:val="Compact"/>
              <w:jc w:val="left"/>
            </w:pPr>
            <w:r>
              <w:t xml:space="preserve">Subestima a dedução</w:t>
            </w:r>
          </w:p>
        </w:tc>
      </w:tr>
    </w:tbl>
    <w:p>
      <w:pPr>
        <w:pStyle w:val="BodyText"/>
      </w:pPr>
      <w:r>
        <w:t xml:space="preserve">Os três erros são exclusivamente do responsável pela preparação da declaração. A contribuinte forneceu os Forms 1098 corretos de ambos os credores institucionais, manteve todos os registros comprobatórios e cooperou plenamente com esta revisão. Em nenhum momento a contribuinte fabricou, inflou ou reportou seletivamente qualquer valor.</w:t>
      </w:r>
    </w:p>
    <w:p>
      <w:r>
        <w:pict>
          <v:rect style="width:0;height:1.5pt" o:hralign="center" o:hrstd="t" o:hr="t"/>
        </w:pict>
      </w:r>
    </w:p>
    <w:bookmarkEnd w:id="26"/>
    <w:bookmarkStart w:id="27" w:name="Xb23ec75e2db31ba80bc022bd5b7e35f9251db1f"/>
    <w:p>
      <w:pPr>
        <w:pStyle w:val="Heading3"/>
      </w:pPr>
      <w:r>
        <w:t xml:space="preserve">Dedução Correta de Juros Hipotecários Residenciais (Form 14900)</w:t>
      </w:r>
    </w:p>
    <w:tbl>
      <w:tblPr>
        <w:tblStyle w:val="Table"/>
        <w:tblW w:type="pct" w:w="5000"/>
        <w:tblLook w:firstRow="1" w:lastRow="0" w:firstColumn="0" w:lastColumn="0" w:noHBand="0" w:noVBand="0" w:val="0020"/>
        <w:jc w:val="start"/>
      </w:tblPr>
      <w:tblGrid>
        <w:gridCol w:w="1900"/>
        <w:gridCol w:w="2217"/>
        <w:gridCol w:w="3801"/>
      </w:tblGrid>
      <w:tr>
        <w:trPr>
          <w:tblHeader w:val="true"/>
        </w:trPr>
        <w:tc>
          <w:tcPr/>
          <w:p>
            <w:pPr>
              <w:pStyle w:val="Compact"/>
              <w:jc w:val="left"/>
            </w:pPr>
            <w:r>
              <w:t xml:space="preserve">Item</w:t>
            </w:r>
          </w:p>
        </w:tc>
        <w:tc>
          <w:tcPr/>
          <w:p>
            <w:pPr>
              <w:pStyle w:val="Compact"/>
              <w:jc w:val="left"/>
            </w:pPr>
            <w:r>
              <w:t xml:space="preserve">Valor</w:t>
            </w:r>
          </w:p>
        </w:tc>
        <w:tc>
          <w:tcPr/>
          <w:p>
            <w:pPr>
              <w:pStyle w:val="Compact"/>
              <w:jc w:val="left"/>
            </w:pPr>
            <w:r>
              <w:t xml:space="preserve">Observação</w:t>
            </w:r>
          </w:p>
        </w:tc>
      </w:tr>
      <w:tr>
        <w:tc>
          <w:tcPr/>
          <w:p>
            <w:pPr>
              <w:pStyle w:val="Compact"/>
              <w:jc w:val="left"/>
            </w:pPr>
            <w:r>
              <w:t xml:space="preserve">Total de juros pagos (AmWest + Radius)</w:t>
            </w:r>
          </w:p>
        </w:tc>
        <w:tc>
          <w:tcPr/>
          <w:p>
            <w:pPr>
              <w:pStyle w:val="Compact"/>
              <w:jc w:val="left"/>
            </w:pPr>
            <w:r>
              <w:t xml:space="preserve">$97,004</w:t>
            </w:r>
          </w:p>
        </w:tc>
        <w:tc>
          <w:tcPr/>
          <w:p>
            <w:pPr>
              <w:pStyle w:val="Compact"/>
              <w:jc w:val="left"/>
            </w:pPr>
            <w:r>
              <w:t xml:space="preserve">Forms 1098 — todos os pagamentos efetivos</w:t>
            </w:r>
          </w:p>
        </w:tc>
      </w:tr>
      <w:tr>
        <w:tc>
          <w:tcPr/>
          <w:p>
            <w:pPr>
              <w:pStyle w:val="Compact"/>
              <w:jc w:val="left"/>
            </w:pPr>
            <w:r>
              <w:t xml:space="preserve">Limite do empréstimo qualificado (Form 14900, Linha 11)</w:t>
            </w:r>
          </w:p>
        </w:tc>
        <w:tc>
          <w:tcPr/>
          <w:p>
            <w:pPr>
              <w:pStyle w:val="Compact"/>
              <w:jc w:val="left"/>
            </w:pPr>
            <w:r>
              <w:t xml:space="preserve">$750,000</w:t>
            </w:r>
          </w:p>
        </w:tc>
        <w:tc>
          <w:tcPr/>
          <w:p>
            <w:pPr>
              <w:pStyle w:val="Compact"/>
              <w:jc w:val="left"/>
            </w:pPr>
            <w:r>
              <w:t xml:space="preserve">IRC §163(h)(3)(B)(ii)</w:t>
            </w:r>
          </w:p>
        </w:tc>
      </w:tr>
      <w:tr>
        <w:tc>
          <w:tcPr/>
          <w:p>
            <w:pPr>
              <w:pStyle w:val="Compact"/>
              <w:jc w:val="left"/>
            </w:pPr>
            <w:r>
              <w:t xml:space="preserve">Saldo médio total do financiamento hipotecário (Form 14900, Linha 12)</w:t>
            </w:r>
          </w:p>
        </w:tc>
        <w:tc>
          <w:tcPr/>
          <w:p>
            <w:pPr>
              <w:pStyle w:val="Compact"/>
              <w:jc w:val="left"/>
            </w:pPr>
            <w:r>
              <w:t xml:space="preserve">$939,744</w:t>
            </w:r>
          </w:p>
        </w:tc>
        <w:tc>
          <w:tcPr/>
          <w:p>
            <w:pPr>
              <w:pStyle w:val="Compact"/>
              <w:jc w:val="left"/>
            </w:pPr>
            <w:r>
              <w:t xml:space="preserve">Método do saldo médio — Publication 936</w:t>
            </w:r>
          </w:p>
        </w:tc>
      </w:tr>
      <w:tr>
        <w:tc>
          <w:tcPr/>
          <w:p>
            <w:pPr>
              <w:pStyle w:val="Compact"/>
              <w:jc w:val="left"/>
            </w:pPr>
            <w:r>
              <w:t xml:space="preserve">Proporção dedutível (Linha 14): $750,000 ÷ $939,744</w:t>
            </w:r>
          </w:p>
        </w:tc>
        <w:tc>
          <w:tcPr/>
          <w:p>
            <w:pPr>
              <w:pStyle w:val="Compact"/>
              <w:jc w:val="left"/>
            </w:pPr>
            <w:r>
              <w:t xml:space="preserve">0.798</w:t>
            </w:r>
          </w:p>
        </w:tc>
        <w:tc>
          <w:tcPr/>
          <w:p>
            <w:pPr>
              <w:pStyle w:val="Compact"/>
            </w:pPr>
          </w:p>
        </w:tc>
      </w:tr>
      <w:tr>
        <w:tc>
          <w:tcPr/>
          <w:p>
            <w:pPr>
              <w:pStyle w:val="Compact"/>
              <w:jc w:val="left"/>
            </w:pPr>
            <w:r>
              <w:rPr>
                <w:bCs/>
                <w:b/>
              </w:rPr>
              <w:t xml:space="preserve">Juros dedutíveis (Form 14900, Linha 15)</w:t>
            </w:r>
          </w:p>
        </w:tc>
        <w:tc>
          <w:tcPr/>
          <w:p>
            <w:pPr>
              <w:pStyle w:val="Compact"/>
              <w:jc w:val="left"/>
            </w:pPr>
            <w:r>
              <w:rPr>
                <w:bCs/>
                <w:b/>
              </w:rPr>
              <w:t xml:space="preserve">$77,409</w:t>
            </w:r>
          </w:p>
        </w:tc>
        <w:tc>
          <w:tcPr/>
          <w:p>
            <w:pPr>
              <w:pStyle w:val="Compact"/>
              <w:jc w:val="left"/>
            </w:pPr>
            <w:r>
              <w:t xml:space="preserve">Inclui proporcionalmente os juros da Radius</w:t>
            </w:r>
          </w:p>
        </w:tc>
      </w:tr>
      <w:tr>
        <w:tc>
          <w:tcPr/>
          <w:p>
            <w:pPr>
              <w:pStyle w:val="Compact"/>
              <w:jc w:val="left"/>
            </w:pPr>
            <w:r>
              <w:t xml:space="preserve">Pontos hipotecários (points) dedutíveis da Radius (2024, amortizados, ajustados pela proporção)</w:t>
            </w:r>
          </w:p>
        </w:tc>
        <w:tc>
          <w:tcPr/>
          <w:p>
            <w:pPr>
              <w:pStyle w:val="Compact"/>
              <w:jc w:val="left"/>
            </w:pPr>
            <w:r>
              <w:t xml:space="preserve">$67</w:t>
            </w:r>
          </w:p>
        </w:tc>
        <w:tc>
          <w:tcPr/>
          <w:p>
            <w:pPr>
              <w:pStyle w:val="Compact"/>
              <w:jc w:val="left"/>
            </w:pPr>
            <w:r>
              <w:t xml:space="preserve">IRC §461(g)(2)</w:t>
            </w:r>
          </w:p>
        </w:tc>
      </w:tr>
      <w:tr>
        <w:tc>
          <w:tcPr/>
          <w:p>
            <w:pPr>
              <w:pStyle w:val="Compact"/>
              <w:jc w:val="left"/>
            </w:pPr>
            <w:r>
              <w:rPr>
                <w:bCs/>
                <w:b/>
              </w:rPr>
              <w:t xml:space="preserve">Total da dedução correta</w:t>
            </w:r>
          </w:p>
        </w:tc>
        <w:tc>
          <w:tcPr/>
          <w:p>
            <w:pPr>
              <w:pStyle w:val="Compact"/>
              <w:jc w:val="left"/>
            </w:pPr>
            <w:r>
              <w:rPr>
                <w:bCs/>
                <w:b/>
              </w:rPr>
              <w:t xml:space="preserve">$77,476</w:t>
            </w:r>
          </w:p>
        </w:tc>
        <w:tc>
          <w:tcPr/>
          <w:p>
            <w:pPr>
              <w:pStyle w:val="Compact"/>
            </w:pPr>
          </w:p>
        </w:tc>
      </w:tr>
      <w:tr>
        <w:tc>
          <w:tcPr/>
          <w:p>
            <w:pPr>
              <w:pStyle w:val="Compact"/>
              <w:jc w:val="left"/>
            </w:pPr>
            <w:r>
              <w:t xml:space="preserve">Valor declarado no Schedule A</w:t>
            </w:r>
          </w:p>
        </w:tc>
        <w:tc>
          <w:tcPr/>
          <w:p>
            <w:pPr>
              <w:pStyle w:val="Compact"/>
              <w:jc w:val="left"/>
            </w:pPr>
            <w:r>
              <w:t xml:space="preserve">$114,034</w:t>
            </w:r>
          </w:p>
        </w:tc>
        <w:tc>
          <w:tcPr/>
          <w:p>
            <w:pPr>
              <w:pStyle w:val="Compact"/>
            </w:pPr>
          </w:p>
        </w:tc>
      </w:tr>
      <w:tr>
        <w:tc>
          <w:tcPr/>
          <w:p>
            <w:pPr>
              <w:pStyle w:val="Compact"/>
              <w:jc w:val="left"/>
            </w:pPr>
            <w:r>
              <w:rPr>
                <w:bCs/>
                <w:b/>
              </w:rPr>
              <w:t xml:space="preserve">Excesso líquido concedido</w:t>
            </w:r>
          </w:p>
        </w:tc>
        <w:tc>
          <w:tcPr/>
          <w:p>
            <w:pPr>
              <w:pStyle w:val="Compact"/>
              <w:jc w:val="left"/>
            </w:pPr>
            <w:r>
              <w:rPr>
                <w:bCs/>
                <w:b/>
              </w:rPr>
              <w:t xml:space="preserve">$36,558</w:t>
            </w:r>
          </w:p>
        </w:tc>
        <w:tc>
          <w:tcPr/>
          <w:p>
            <w:pPr>
              <w:pStyle w:val="Compact"/>
            </w:pPr>
          </w:p>
        </w:tc>
      </w:tr>
    </w:tbl>
    <w:p>
      <w:r>
        <w:pict>
          <v:rect style="width:0;height:1.5pt" o:hralign="center" o:hrstd="t" o:hr="t"/>
        </w:pict>
      </w:r>
    </w:p>
    <w:p>
      <w:r>
        <w:pict>
          <v:rect style="width:0;height:1.5pt" o:hralign="center" o:hrstd="t" o:hr="t"/>
        </w:pict>
      </w:r>
    </w:p>
    <w:bookmarkEnd w:id="27"/>
    <w:bookmarkEnd w:id="28"/>
    <w:bookmarkStart w:id="38" w:name="Xf62041961e662b69bf3e4daa1925392ea136fd1"/>
    <w:p>
      <w:pPr>
        <w:pStyle w:val="Heading1"/>
      </w:pPr>
      <w:r>
        <w:t xml:space="preserve">SEÇÃO 2 — RECONCILIAÇÃO DE JUROS HIPOTECÁRIOS (TOTALMENTE RESOLVIDA)</w:t>
      </w:r>
    </w:p>
    <w:bookmarkStart w:id="31" w:name="Xfbb3e866c3e67d58ab0d11c994b4d8250584440"/>
    <w:p>
      <w:pPr>
        <w:pStyle w:val="Heading2"/>
      </w:pPr>
      <w:r>
        <w:t xml:space="preserve">2A. AmWest Funding Corp — Verificação Linha a Linha</w:t>
      </w:r>
    </w:p>
    <w:p>
      <w:pPr>
        <w:pStyle w:val="FirstParagraph"/>
      </w:pPr>
      <w:r>
        <w:rPr>
          <w:bCs/>
          <w:b/>
        </w:rPr>
        <w:t xml:space="preserve">Fonte:</w:t>
      </w:r>
      <w:r>
        <w:t xml:space="preserve"> </w:t>
      </w:r>
      <w:r>
        <w:t xml:space="preserve">Relatório de Atividade do Empréstimo (Loan Activity Report), Empréstimo Nº 2000086400, datado de June 3, 2026</w:t>
      </w:r>
    </w:p>
    <w:bookmarkStart w:id="29" w:name="pagamentos-de-juros-de-2024-amwest"/>
    <w:p>
      <w:pPr>
        <w:pStyle w:val="Heading3"/>
      </w:pPr>
      <w:r>
        <w:t xml:space="preserve">Pagamentos de Juros de 2024 — AmWest</w:t>
      </w:r>
    </w:p>
    <w:tbl>
      <w:tblPr>
        <w:tblStyle w:val="Table"/>
        <w:tblW w:type="pct" w:w="5000"/>
        <w:tblLook w:firstRow="1" w:lastRow="0" w:firstColumn="0" w:lastColumn="0" w:noHBand="0" w:noVBand="0" w:val="0020"/>
        <w:jc w:val="start"/>
      </w:tblPr>
      <w:tblGrid>
        <w:gridCol w:w="1667"/>
        <w:gridCol w:w="1584"/>
        <w:gridCol w:w="583"/>
        <w:gridCol w:w="1083"/>
        <w:gridCol w:w="1417"/>
        <w:gridCol w:w="1584"/>
      </w:tblGrid>
      <w:tr>
        <w:trPr>
          <w:tblHeader w:val="true"/>
        </w:trPr>
        <w:tc>
          <w:tcPr/>
          <w:p>
            <w:pPr>
              <w:pStyle w:val="Compact"/>
              <w:jc w:val="left"/>
            </w:pPr>
            <w:r>
              <w:t xml:space="preserve">Data de Vencimento</w:t>
            </w:r>
          </w:p>
        </w:tc>
        <w:tc>
          <w:tcPr/>
          <w:p>
            <w:pPr>
              <w:pStyle w:val="Compact"/>
              <w:jc w:val="left"/>
            </w:pPr>
            <w:r>
              <w:t xml:space="preserve">Data de Pagamento</w:t>
            </w:r>
          </w:p>
        </w:tc>
        <w:tc>
          <w:tcPr/>
          <w:p>
            <w:pPr>
              <w:pStyle w:val="Compact"/>
              <w:jc w:val="left"/>
            </w:pPr>
            <w:r>
              <w:t xml:space="preserve">Trans</w:t>
            </w:r>
          </w:p>
        </w:tc>
        <w:tc>
          <w:tcPr/>
          <w:p>
            <w:pPr>
              <w:pStyle w:val="Compact"/>
              <w:jc w:val="left"/>
            </w:pPr>
            <w:r>
              <w:t xml:space="preserve">Juros Pagos</w:t>
            </w:r>
          </w:p>
        </w:tc>
        <w:tc>
          <w:tcPr/>
          <w:p>
            <w:pPr>
              <w:pStyle w:val="Compact"/>
              <w:jc w:val="left"/>
            </w:pPr>
            <w:r>
              <w:t xml:space="preserve">Total Acumulado</w:t>
            </w:r>
          </w:p>
        </w:tc>
        <w:tc>
          <w:tcPr/>
          <w:p>
            <w:pPr>
              <w:pStyle w:val="Compact"/>
              <w:jc w:val="left"/>
            </w:pPr>
            <w:r>
              <w:t xml:space="preserve">Saldo do Principal</w:t>
            </w:r>
          </w:p>
        </w:tc>
      </w:tr>
      <w:tr>
        <w:tc>
          <w:tcPr/>
          <w:p>
            <w:pPr>
              <w:pStyle w:val="Compact"/>
              <w:jc w:val="left"/>
            </w:pPr>
            <w:r>
              <w:t xml:space="preserve">01/01/24</w:t>
            </w:r>
          </w:p>
        </w:tc>
        <w:tc>
          <w:tcPr/>
          <w:p>
            <w:pPr>
              <w:pStyle w:val="Compact"/>
              <w:jc w:val="left"/>
            </w:pPr>
            <w:r>
              <w:t xml:space="preserve">01/09/24</w:t>
            </w:r>
          </w:p>
        </w:tc>
        <w:tc>
          <w:tcPr/>
          <w:p>
            <w:pPr>
              <w:pStyle w:val="Compact"/>
              <w:jc w:val="left"/>
            </w:pPr>
            <w:r>
              <w:t xml:space="preserve">REG</w:t>
            </w:r>
          </w:p>
        </w:tc>
        <w:tc>
          <w:tcPr/>
          <w:p>
            <w:pPr>
              <w:pStyle w:val="Compact"/>
              <w:jc w:val="left"/>
            </w:pPr>
            <w:r>
              <w:t xml:space="preserve">$8,229.28</w:t>
            </w:r>
          </w:p>
        </w:tc>
        <w:tc>
          <w:tcPr/>
          <w:p>
            <w:pPr>
              <w:pStyle w:val="Compact"/>
              <w:jc w:val="left"/>
            </w:pPr>
            <w:r>
              <w:t xml:space="preserve">$8,229.28</w:t>
            </w:r>
          </w:p>
        </w:tc>
        <w:tc>
          <w:tcPr/>
          <w:p>
            <w:pPr>
              <w:pStyle w:val="Compact"/>
              <w:jc w:val="left"/>
            </w:pPr>
            <w:r>
              <w:t xml:space="preserve">$1,038,972.85</w:t>
            </w:r>
          </w:p>
        </w:tc>
      </w:tr>
      <w:tr>
        <w:tc>
          <w:tcPr/>
          <w:p>
            <w:pPr>
              <w:pStyle w:val="Compact"/>
              <w:jc w:val="left"/>
            </w:pPr>
            <w:r>
              <w:t xml:space="preserve">02/01/24</w:t>
            </w:r>
          </w:p>
        </w:tc>
        <w:tc>
          <w:tcPr/>
          <w:p>
            <w:pPr>
              <w:pStyle w:val="Compact"/>
              <w:jc w:val="left"/>
            </w:pPr>
            <w:r>
              <w:t xml:space="preserve">02/09/24</w:t>
            </w:r>
          </w:p>
        </w:tc>
        <w:tc>
          <w:tcPr/>
          <w:p>
            <w:pPr>
              <w:pStyle w:val="Compact"/>
              <w:jc w:val="left"/>
            </w:pPr>
            <w:r>
              <w:t xml:space="preserve">REG</w:t>
            </w:r>
          </w:p>
        </w:tc>
        <w:tc>
          <w:tcPr/>
          <w:p>
            <w:pPr>
              <w:pStyle w:val="Compact"/>
              <w:jc w:val="left"/>
            </w:pPr>
            <w:r>
              <w:t xml:space="preserve">$8,225.20</w:t>
            </w:r>
          </w:p>
        </w:tc>
        <w:tc>
          <w:tcPr/>
          <w:p>
            <w:pPr>
              <w:pStyle w:val="Compact"/>
              <w:jc w:val="left"/>
            </w:pPr>
            <w:r>
              <w:t xml:space="preserve">$16,454.48</w:t>
            </w:r>
          </w:p>
        </w:tc>
        <w:tc>
          <w:tcPr/>
          <w:p>
            <w:pPr>
              <w:pStyle w:val="Compact"/>
              <w:jc w:val="left"/>
            </w:pPr>
            <w:r>
              <w:t xml:space="preserve">$1,038,453.17</w:t>
            </w:r>
          </w:p>
        </w:tc>
      </w:tr>
      <w:tr>
        <w:tc>
          <w:tcPr/>
          <w:p>
            <w:pPr>
              <w:pStyle w:val="Compact"/>
              <w:jc w:val="left"/>
            </w:pPr>
            <w:r>
              <w:t xml:space="preserve">03/01/24</w:t>
            </w:r>
          </w:p>
        </w:tc>
        <w:tc>
          <w:tcPr/>
          <w:p>
            <w:pPr>
              <w:pStyle w:val="Compact"/>
              <w:jc w:val="left"/>
            </w:pPr>
            <w:r>
              <w:t xml:space="preserve">03/11/24</w:t>
            </w:r>
          </w:p>
        </w:tc>
        <w:tc>
          <w:tcPr/>
          <w:p>
            <w:pPr>
              <w:pStyle w:val="Compact"/>
              <w:jc w:val="left"/>
            </w:pPr>
            <w:r>
              <w:t xml:space="preserve">REG</w:t>
            </w:r>
          </w:p>
        </w:tc>
        <w:tc>
          <w:tcPr/>
          <w:p>
            <w:pPr>
              <w:pStyle w:val="Compact"/>
              <w:jc w:val="left"/>
            </w:pPr>
            <w:r>
              <w:t xml:space="preserve">$8,221.09</w:t>
            </w:r>
          </w:p>
        </w:tc>
        <w:tc>
          <w:tcPr/>
          <w:p>
            <w:pPr>
              <w:pStyle w:val="Compact"/>
              <w:jc w:val="left"/>
            </w:pPr>
            <w:r>
              <w:t xml:space="preserve">$24,675.57</w:t>
            </w:r>
          </w:p>
        </w:tc>
        <w:tc>
          <w:tcPr/>
          <w:p>
            <w:pPr>
              <w:pStyle w:val="Compact"/>
              <w:jc w:val="left"/>
            </w:pPr>
            <w:r>
              <w:t xml:space="preserve">$1,037,929.38</w:t>
            </w:r>
          </w:p>
        </w:tc>
      </w:tr>
      <w:tr>
        <w:tc>
          <w:tcPr/>
          <w:p>
            <w:pPr>
              <w:pStyle w:val="Compact"/>
              <w:jc w:val="left"/>
            </w:pPr>
            <w:r>
              <w:t xml:space="preserve">04/01/24</w:t>
            </w:r>
          </w:p>
        </w:tc>
        <w:tc>
          <w:tcPr/>
          <w:p>
            <w:pPr>
              <w:pStyle w:val="Compact"/>
              <w:jc w:val="left"/>
            </w:pPr>
            <w:r>
              <w:t xml:space="preserve">04/09/24</w:t>
            </w:r>
          </w:p>
        </w:tc>
        <w:tc>
          <w:tcPr/>
          <w:p>
            <w:pPr>
              <w:pStyle w:val="Compact"/>
              <w:jc w:val="left"/>
            </w:pPr>
            <w:r>
              <w:t xml:space="preserve">REG</w:t>
            </w:r>
          </w:p>
        </w:tc>
        <w:tc>
          <w:tcPr/>
          <w:p>
            <w:pPr>
              <w:pStyle w:val="Compact"/>
              <w:jc w:val="left"/>
            </w:pPr>
            <w:r>
              <w:t xml:space="preserve">$8,216.94</w:t>
            </w:r>
          </w:p>
        </w:tc>
        <w:tc>
          <w:tcPr/>
          <w:p>
            <w:pPr>
              <w:pStyle w:val="Compact"/>
              <w:jc w:val="left"/>
            </w:pPr>
            <w:r>
              <w:t xml:space="preserve">$32,892.51</w:t>
            </w:r>
          </w:p>
        </w:tc>
        <w:tc>
          <w:tcPr/>
          <w:p>
            <w:pPr>
              <w:pStyle w:val="Compact"/>
              <w:jc w:val="left"/>
            </w:pPr>
            <w:r>
              <w:t xml:space="preserve">$1,037,401.44</w:t>
            </w:r>
          </w:p>
        </w:tc>
      </w:tr>
      <w:tr>
        <w:tc>
          <w:tcPr/>
          <w:p>
            <w:pPr>
              <w:pStyle w:val="Compact"/>
              <w:jc w:val="left"/>
            </w:pPr>
            <w:r>
              <w:t xml:space="preserve">05/01/24</w:t>
            </w:r>
          </w:p>
        </w:tc>
        <w:tc>
          <w:tcPr/>
          <w:p>
            <w:pPr>
              <w:pStyle w:val="Compact"/>
              <w:jc w:val="left"/>
            </w:pPr>
            <w:r>
              <w:t xml:space="preserve">05/09/24</w:t>
            </w:r>
          </w:p>
        </w:tc>
        <w:tc>
          <w:tcPr/>
          <w:p>
            <w:pPr>
              <w:pStyle w:val="Compact"/>
              <w:jc w:val="left"/>
            </w:pPr>
            <w:r>
              <w:t xml:space="preserve">REG</w:t>
            </w:r>
          </w:p>
        </w:tc>
        <w:tc>
          <w:tcPr/>
          <w:p>
            <w:pPr>
              <w:pStyle w:val="Compact"/>
              <w:jc w:val="left"/>
            </w:pPr>
            <w:r>
              <w:t xml:space="preserve">$8,212.76</w:t>
            </w:r>
          </w:p>
        </w:tc>
        <w:tc>
          <w:tcPr/>
          <w:p>
            <w:pPr>
              <w:pStyle w:val="Compact"/>
              <w:jc w:val="left"/>
            </w:pPr>
            <w:r>
              <w:t xml:space="preserve">$41,105.27</w:t>
            </w:r>
          </w:p>
        </w:tc>
        <w:tc>
          <w:tcPr/>
          <w:p>
            <w:pPr>
              <w:pStyle w:val="Compact"/>
              <w:jc w:val="left"/>
            </w:pPr>
            <w:r>
              <w:t xml:space="preserve">$1,036,869.32</w:t>
            </w:r>
          </w:p>
        </w:tc>
      </w:tr>
      <w:tr>
        <w:tc>
          <w:tcPr/>
          <w:p>
            <w:pPr>
              <w:pStyle w:val="Compact"/>
              <w:jc w:val="left"/>
            </w:pPr>
            <w:r>
              <w:t xml:space="preserve">06/01/24</w:t>
            </w:r>
          </w:p>
        </w:tc>
        <w:tc>
          <w:tcPr/>
          <w:p>
            <w:pPr>
              <w:pStyle w:val="Compact"/>
              <w:jc w:val="left"/>
            </w:pPr>
            <w:r>
              <w:t xml:space="preserve">06/10/24</w:t>
            </w:r>
          </w:p>
        </w:tc>
        <w:tc>
          <w:tcPr/>
          <w:p>
            <w:pPr>
              <w:pStyle w:val="Compact"/>
              <w:jc w:val="left"/>
            </w:pPr>
            <w:r>
              <w:t xml:space="preserve">REG</w:t>
            </w:r>
          </w:p>
        </w:tc>
        <w:tc>
          <w:tcPr/>
          <w:p>
            <w:pPr>
              <w:pStyle w:val="Compact"/>
              <w:jc w:val="left"/>
            </w:pPr>
            <w:r>
              <w:t xml:space="preserve">$8,208.55</w:t>
            </w:r>
          </w:p>
        </w:tc>
        <w:tc>
          <w:tcPr/>
          <w:p>
            <w:pPr>
              <w:pStyle w:val="Compact"/>
              <w:jc w:val="left"/>
            </w:pPr>
            <w:r>
              <w:t xml:space="preserve">$49,313.82</w:t>
            </w:r>
          </w:p>
        </w:tc>
        <w:tc>
          <w:tcPr/>
          <w:p>
            <w:pPr>
              <w:pStyle w:val="Compact"/>
              <w:jc w:val="left"/>
            </w:pPr>
            <w:r>
              <w:t xml:space="preserve">$1,036,332.99</w:t>
            </w:r>
          </w:p>
        </w:tc>
      </w:tr>
      <w:tr>
        <w:tc>
          <w:tcPr/>
          <w:p>
            <w:pPr>
              <w:pStyle w:val="Compact"/>
              <w:jc w:val="left"/>
            </w:pPr>
            <w:r>
              <w:t xml:space="preserve">07/01/24</w:t>
            </w:r>
          </w:p>
        </w:tc>
        <w:tc>
          <w:tcPr/>
          <w:p>
            <w:pPr>
              <w:pStyle w:val="Compact"/>
              <w:jc w:val="left"/>
            </w:pPr>
            <w:r>
              <w:t xml:space="preserve">07/09/24</w:t>
            </w:r>
          </w:p>
        </w:tc>
        <w:tc>
          <w:tcPr/>
          <w:p>
            <w:pPr>
              <w:pStyle w:val="Compact"/>
              <w:jc w:val="left"/>
            </w:pPr>
            <w:r>
              <w:t xml:space="preserve">REG</w:t>
            </w:r>
          </w:p>
        </w:tc>
        <w:tc>
          <w:tcPr/>
          <w:p>
            <w:pPr>
              <w:pStyle w:val="Compact"/>
              <w:jc w:val="left"/>
            </w:pPr>
            <w:r>
              <w:t xml:space="preserve">$8,204.30</w:t>
            </w:r>
          </w:p>
        </w:tc>
        <w:tc>
          <w:tcPr/>
          <w:p>
            <w:pPr>
              <w:pStyle w:val="Compact"/>
              <w:jc w:val="left"/>
            </w:pPr>
            <w:r>
              <w:t xml:space="preserve">$57,518.12</w:t>
            </w:r>
          </w:p>
        </w:tc>
        <w:tc>
          <w:tcPr/>
          <w:p>
            <w:pPr>
              <w:pStyle w:val="Compact"/>
              <w:jc w:val="left"/>
            </w:pPr>
            <w:r>
              <w:t xml:space="preserve">$1,035,792.41</w:t>
            </w:r>
          </w:p>
        </w:tc>
      </w:tr>
      <w:tr>
        <w:tc>
          <w:tcPr/>
          <w:p>
            <w:pPr>
              <w:pStyle w:val="Compact"/>
              <w:jc w:val="left"/>
            </w:pPr>
            <w:r>
              <w:t xml:space="preserve">08/01/24</w:t>
            </w:r>
          </w:p>
        </w:tc>
        <w:tc>
          <w:tcPr/>
          <w:p>
            <w:pPr>
              <w:pStyle w:val="Compact"/>
              <w:jc w:val="left"/>
            </w:pPr>
            <w:r>
              <w:t xml:space="preserve">08/09/24</w:t>
            </w:r>
          </w:p>
        </w:tc>
        <w:tc>
          <w:tcPr/>
          <w:p>
            <w:pPr>
              <w:pStyle w:val="Compact"/>
              <w:jc w:val="left"/>
            </w:pPr>
            <w:r>
              <w:t xml:space="preserve">REG</w:t>
            </w:r>
          </w:p>
        </w:tc>
        <w:tc>
          <w:tcPr/>
          <w:p>
            <w:pPr>
              <w:pStyle w:val="Compact"/>
              <w:jc w:val="left"/>
            </w:pPr>
            <w:r>
              <w:t xml:space="preserve">$8,200.02</w:t>
            </w:r>
          </w:p>
        </w:tc>
        <w:tc>
          <w:tcPr/>
          <w:p>
            <w:pPr>
              <w:pStyle w:val="Compact"/>
              <w:jc w:val="left"/>
            </w:pPr>
            <w:r>
              <w:t xml:space="preserve">$65,718.14</w:t>
            </w:r>
          </w:p>
        </w:tc>
        <w:tc>
          <w:tcPr/>
          <w:p>
            <w:pPr>
              <w:pStyle w:val="Compact"/>
              <w:jc w:val="left"/>
            </w:pPr>
            <w:r>
              <w:t xml:space="preserve">$1,035,247.55</w:t>
            </w:r>
          </w:p>
        </w:tc>
      </w:tr>
      <w:tr>
        <w:tc>
          <w:tcPr/>
          <w:p>
            <w:pPr>
              <w:pStyle w:val="Compact"/>
              <w:jc w:val="left"/>
            </w:pPr>
            <w:r>
              <w:t xml:space="preserve">09/01/24</w:t>
            </w:r>
          </w:p>
        </w:tc>
        <w:tc>
          <w:tcPr/>
          <w:p>
            <w:pPr>
              <w:pStyle w:val="Compact"/>
              <w:jc w:val="left"/>
            </w:pPr>
            <w:r>
              <w:t xml:space="preserve">09/09/24</w:t>
            </w:r>
          </w:p>
        </w:tc>
        <w:tc>
          <w:tcPr/>
          <w:p>
            <w:pPr>
              <w:pStyle w:val="Compact"/>
              <w:jc w:val="left"/>
            </w:pPr>
            <w:r>
              <w:t xml:space="preserve">REG</w:t>
            </w:r>
          </w:p>
        </w:tc>
        <w:tc>
          <w:tcPr/>
          <w:p>
            <w:pPr>
              <w:pStyle w:val="Compact"/>
              <w:jc w:val="left"/>
            </w:pPr>
            <w:r>
              <w:t xml:space="preserve">$8,195.71</w:t>
            </w:r>
          </w:p>
        </w:tc>
        <w:tc>
          <w:tcPr/>
          <w:p>
            <w:pPr>
              <w:pStyle w:val="Compact"/>
              <w:jc w:val="left"/>
            </w:pPr>
            <w:r>
              <w:t xml:space="preserve">$73,913.85</w:t>
            </w:r>
          </w:p>
        </w:tc>
        <w:tc>
          <w:tcPr/>
          <w:p>
            <w:pPr>
              <w:pStyle w:val="Compact"/>
              <w:jc w:val="left"/>
            </w:pPr>
            <w:r>
              <w:t xml:space="preserve">$1,034,698.38</w:t>
            </w:r>
          </w:p>
        </w:tc>
      </w:tr>
      <w:tr>
        <w:tc>
          <w:tcPr/>
          <w:p>
            <w:pPr>
              <w:pStyle w:val="Compact"/>
              <w:jc w:val="left"/>
            </w:pPr>
            <w:r>
              <w:t xml:space="preserve">10/01/24</w:t>
            </w:r>
          </w:p>
        </w:tc>
        <w:tc>
          <w:tcPr/>
          <w:p>
            <w:pPr>
              <w:pStyle w:val="Compact"/>
              <w:jc w:val="left"/>
            </w:pPr>
            <w:r>
              <w:t xml:space="preserve">10/09/24</w:t>
            </w:r>
          </w:p>
        </w:tc>
        <w:tc>
          <w:tcPr/>
          <w:p>
            <w:pPr>
              <w:pStyle w:val="Compact"/>
              <w:jc w:val="left"/>
            </w:pPr>
            <w:r>
              <w:t xml:space="preserve">REG</w:t>
            </w:r>
          </w:p>
        </w:tc>
        <w:tc>
          <w:tcPr/>
          <w:p>
            <w:pPr>
              <w:pStyle w:val="Compact"/>
              <w:jc w:val="left"/>
            </w:pPr>
            <w:r>
              <w:t xml:space="preserve">$8,191.36</w:t>
            </w:r>
          </w:p>
        </w:tc>
        <w:tc>
          <w:tcPr/>
          <w:p>
            <w:pPr>
              <w:pStyle w:val="Compact"/>
              <w:jc w:val="left"/>
            </w:pPr>
            <w:r>
              <w:t xml:space="preserve">$82,105.21</w:t>
            </w:r>
          </w:p>
        </w:tc>
        <w:tc>
          <w:tcPr/>
          <w:p>
            <w:pPr>
              <w:pStyle w:val="Compact"/>
              <w:jc w:val="left"/>
            </w:pPr>
            <w:r>
              <w:t xml:space="preserve">$1,034,144.86</w:t>
            </w:r>
          </w:p>
        </w:tc>
      </w:tr>
      <w:tr>
        <w:tc>
          <w:tcPr/>
          <w:p>
            <w:pPr>
              <w:pStyle w:val="Compact"/>
              <w:jc w:val="left"/>
            </w:pPr>
            <w:r>
              <w:t xml:space="preserve">11/01/24</w:t>
            </w:r>
          </w:p>
        </w:tc>
        <w:tc>
          <w:tcPr/>
          <w:p>
            <w:pPr>
              <w:pStyle w:val="Compact"/>
              <w:jc w:val="left"/>
            </w:pPr>
            <w:r>
              <w:t xml:space="preserve">11/12/24</w:t>
            </w:r>
          </w:p>
        </w:tc>
        <w:tc>
          <w:tcPr/>
          <w:p>
            <w:pPr>
              <w:pStyle w:val="Compact"/>
              <w:jc w:val="left"/>
            </w:pPr>
            <w:r>
              <w:t xml:space="preserve">REG</w:t>
            </w:r>
          </w:p>
        </w:tc>
        <w:tc>
          <w:tcPr/>
          <w:p>
            <w:pPr>
              <w:pStyle w:val="Compact"/>
              <w:jc w:val="left"/>
            </w:pPr>
            <w:r>
              <w:t xml:space="preserve">$8,186.98</w:t>
            </w:r>
          </w:p>
        </w:tc>
        <w:tc>
          <w:tcPr/>
          <w:p>
            <w:pPr>
              <w:pStyle w:val="Compact"/>
              <w:jc w:val="left"/>
            </w:pPr>
            <w:r>
              <w:t xml:space="preserve">$90,292.19</w:t>
            </w:r>
          </w:p>
        </w:tc>
        <w:tc>
          <w:tcPr/>
          <w:p>
            <w:pPr>
              <w:pStyle w:val="Compact"/>
              <w:jc w:val="left"/>
            </w:pPr>
            <w:r>
              <w:t xml:space="preserve">$1,033,586.96</w:t>
            </w:r>
          </w:p>
        </w:tc>
      </w:tr>
      <w:tr>
        <w:tc>
          <w:tcPr/>
          <w:p>
            <w:pPr>
              <w:pStyle w:val="Compact"/>
              <w:jc w:val="left"/>
            </w:pPr>
            <w:r>
              <w:t xml:space="preserve">12/01/24</w:t>
            </w:r>
          </w:p>
        </w:tc>
        <w:tc>
          <w:tcPr/>
          <w:p>
            <w:pPr>
              <w:pStyle w:val="Compact"/>
              <w:jc w:val="left"/>
            </w:pPr>
            <w:r>
              <w:t xml:space="preserve">11/19/24</w:t>
            </w:r>
          </w:p>
        </w:tc>
        <w:tc>
          <w:tcPr/>
          <w:p>
            <w:pPr>
              <w:pStyle w:val="Compact"/>
              <w:jc w:val="left"/>
            </w:pPr>
            <w:r>
              <w:t xml:space="preserve">PIF</w:t>
            </w:r>
          </w:p>
        </w:tc>
        <w:tc>
          <w:tcPr/>
          <w:p>
            <w:pPr>
              <w:pStyle w:val="Compact"/>
              <w:jc w:val="left"/>
            </w:pPr>
            <w:r>
              <w:t xml:space="preserve">$4,842.28</w:t>
            </w:r>
          </w:p>
        </w:tc>
        <w:tc>
          <w:tcPr/>
          <w:p>
            <w:pPr>
              <w:pStyle w:val="Compact"/>
              <w:jc w:val="left"/>
            </w:pPr>
            <w:r>
              <w:t xml:space="preserve">$95,134.47</w:t>
            </w:r>
          </w:p>
        </w:tc>
        <w:tc>
          <w:tcPr/>
          <w:p>
            <w:pPr>
              <w:pStyle w:val="Compact"/>
              <w:jc w:val="left"/>
            </w:pPr>
            <w:r>
              <w:t xml:space="preserve">$0.00</w:t>
            </w:r>
          </w:p>
        </w:tc>
      </w:tr>
      <w:tr>
        <w:tc>
          <w:tcPr/>
          <w:p>
            <w:pPr>
              <w:pStyle w:val="Compact"/>
              <w:jc w:val="left"/>
            </w:pPr>
            <w:r>
              <w:rPr>
                <w:bCs/>
                <w:b/>
              </w:rPr>
              <w:t xml:space="preserve">TOTAL 2024</w:t>
            </w:r>
          </w:p>
        </w:tc>
        <w:tc>
          <w:tcPr/>
          <w:p>
            <w:pPr>
              <w:pStyle w:val="Compact"/>
            </w:pPr>
          </w:p>
        </w:tc>
        <w:tc>
          <w:tcPr/>
          <w:p>
            <w:pPr>
              <w:pStyle w:val="Compact"/>
            </w:pPr>
          </w:p>
        </w:tc>
        <w:tc>
          <w:tcPr/>
          <w:p>
            <w:pPr>
              <w:pStyle w:val="Compact"/>
              <w:jc w:val="left"/>
            </w:pPr>
            <w:r>
              <w:rPr>
                <w:bCs/>
                <w:b/>
              </w:rPr>
              <w:t xml:space="preserve">$95,134.47</w:t>
            </w:r>
          </w:p>
        </w:tc>
        <w:tc>
          <w:tcPr/>
          <w:p>
            <w:pPr>
              <w:pStyle w:val="Compact"/>
            </w:pPr>
          </w:p>
        </w:tc>
        <w:tc>
          <w:tcPr/>
          <w:p>
            <w:pPr>
              <w:pStyle w:val="Compact"/>
            </w:pPr>
          </w:p>
        </w:tc>
      </w:tr>
    </w:tbl>
    <w:p>
      <w:pPr>
        <w:pStyle w:val="BodyText"/>
      </w:pPr>
      <w:r>
        <w:rPr>
          <w:bCs/>
          <w:b/>
        </w:rPr>
        <w:t xml:space="preserve">Form 1098 da AmWest, Caixa 1: $95,134 — VERIFICADO ✓</w:t>
      </w:r>
      <w:r>
        <w:t xml:space="preserve"> </w:t>
      </w:r>
      <w:r>
        <w:t xml:space="preserve">(Total do Relatório de Atividade do Empréstimo (Loan Activity Report): $95,134.47; arredondado para $95,134 no Form 1098)</w:t>
      </w:r>
    </w:p>
    <w:bookmarkEnd w:id="29"/>
    <w:bookmarkStart w:id="30" w:name="X57e86f7ecab7bc585286156bd72f3110a900027"/>
    <w:p>
      <w:pPr>
        <w:pStyle w:val="Heading3"/>
      </w:pPr>
      <w:r>
        <w:t xml:space="preserve">Análise da Transação de Quitação — 11/19/2024</w:t>
      </w:r>
    </w:p>
    <w:tbl>
      <w:tblPr>
        <w:tblStyle w:val="Table"/>
        <w:tblW w:type="pct" w:w="5000"/>
        <w:tblLook w:firstRow="1" w:lastRow="0" w:firstColumn="0" w:lastColumn="0" w:noHBand="0" w:noVBand="0" w:val="0020"/>
        <w:jc w:val="start"/>
      </w:tblPr>
      <w:tblGrid>
        <w:gridCol w:w="2795"/>
        <w:gridCol w:w="1630"/>
        <w:gridCol w:w="3494"/>
      </w:tblGrid>
      <w:tr>
        <w:trPr>
          <w:tblHeader w:val="true"/>
        </w:trPr>
        <w:tc>
          <w:tcPr/>
          <w:p>
            <w:pPr>
              <w:pStyle w:val="Compact"/>
              <w:jc w:val="left"/>
            </w:pPr>
            <w:r>
              <w:t xml:space="preserve">Componente</w:t>
            </w:r>
          </w:p>
        </w:tc>
        <w:tc>
          <w:tcPr/>
          <w:p>
            <w:pPr>
              <w:pStyle w:val="Compact"/>
              <w:jc w:val="left"/>
            </w:pPr>
            <w:r>
              <w:t xml:space="preserve">Valor</w:t>
            </w:r>
          </w:p>
        </w:tc>
        <w:tc>
          <w:tcPr/>
          <w:p>
            <w:pPr>
              <w:pStyle w:val="Compact"/>
              <w:jc w:val="left"/>
            </w:pPr>
            <w:r>
              <w:t xml:space="preserve">Classificação</w:t>
            </w:r>
          </w:p>
        </w:tc>
      </w:tr>
      <w:tr>
        <w:tc>
          <w:tcPr/>
          <w:p>
            <w:pPr>
              <w:pStyle w:val="Compact"/>
              <w:jc w:val="left"/>
            </w:pPr>
            <w:r>
              <w:t xml:space="preserve">Juros (mês final, vencimento 12/01/24)</w:t>
            </w:r>
          </w:p>
        </w:tc>
        <w:tc>
          <w:tcPr/>
          <w:p>
            <w:pPr>
              <w:pStyle w:val="Compact"/>
              <w:jc w:val="left"/>
            </w:pPr>
            <w:r>
              <w:t xml:space="preserve">$4,842.28</w:t>
            </w:r>
          </w:p>
        </w:tc>
        <w:tc>
          <w:tcPr/>
          <w:p>
            <w:pPr>
              <w:pStyle w:val="Compact"/>
              <w:jc w:val="left"/>
            </w:pPr>
            <w:r>
              <w:t xml:space="preserve">Dedutível — incluído no Form 1098</w:t>
            </w:r>
          </w:p>
        </w:tc>
      </w:tr>
      <w:tr>
        <w:tc>
          <w:tcPr/>
          <w:p>
            <w:pPr>
              <w:pStyle w:val="Compact"/>
              <w:jc w:val="left"/>
            </w:pPr>
            <w:r>
              <w:t xml:space="preserve">Quitação do principal</w:t>
            </w:r>
          </w:p>
        </w:tc>
        <w:tc>
          <w:tcPr/>
          <w:p>
            <w:pPr>
              <w:pStyle w:val="Compact"/>
              <w:jc w:val="left"/>
            </w:pPr>
            <w:r>
              <w:t xml:space="preserve">$1,033,586.96</w:t>
            </w:r>
          </w:p>
        </w:tc>
        <w:tc>
          <w:tcPr/>
          <w:p>
            <w:pPr>
              <w:pStyle w:val="Compact"/>
              <w:jc w:val="left"/>
            </w:pPr>
            <w:r>
              <w:t xml:space="preserve">Não dedutível</w:t>
            </w:r>
          </w:p>
        </w:tc>
      </w:tr>
      <w:tr>
        <w:tc>
          <w:tcPr/>
          <w:p>
            <w:pPr>
              <w:pStyle w:val="Compact"/>
              <w:jc w:val="left"/>
            </w:pPr>
            <w:r>
              <w:t xml:space="preserve">Fundos de depósito em garantia/não aplicados</w:t>
            </w:r>
          </w:p>
        </w:tc>
        <w:tc>
          <w:tcPr/>
          <w:p>
            <w:pPr>
              <w:pStyle w:val="Compact"/>
              <w:jc w:val="left"/>
            </w:pPr>
            <w:r>
              <w:t xml:space="preserve">$18,032.38</w:t>
            </w:r>
          </w:p>
        </w:tc>
        <w:tc>
          <w:tcPr/>
          <w:p>
            <w:pPr>
              <w:pStyle w:val="Compact"/>
              <w:jc w:val="left"/>
            </w:pPr>
            <w:r>
              <w:t xml:space="preserve">Não constituem juros — excedente de depósito em garantia devolvido</w:t>
            </w:r>
          </w:p>
        </w:tc>
      </w:tr>
      <w:tr>
        <w:tc>
          <w:tcPr/>
          <w:p>
            <w:pPr>
              <w:pStyle w:val="Compact"/>
              <w:jc w:val="left"/>
            </w:pPr>
            <w:r>
              <w:t xml:space="preserve">Taxa diversa</w:t>
            </w:r>
          </w:p>
        </w:tc>
        <w:tc>
          <w:tcPr/>
          <w:p>
            <w:pPr>
              <w:pStyle w:val="Compact"/>
              <w:jc w:val="left"/>
            </w:pPr>
            <w:r>
              <w:t xml:space="preserve">$105.00</w:t>
            </w:r>
          </w:p>
        </w:tc>
        <w:tc>
          <w:tcPr/>
          <w:p>
            <w:pPr>
              <w:pStyle w:val="Compact"/>
              <w:jc w:val="left"/>
            </w:pPr>
            <w:r>
              <w:t xml:space="preserve">Não dedutível como juros hipotecários</w:t>
            </w:r>
          </w:p>
        </w:tc>
      </w:tr>
      <w:tr>
        <w:tc>
          <w:tcPr/>
          <w:p>
            <w:pPr>
              <w:pStyle w:val="Compact"/>
              <w:jc w:val="left"/>
            </w:pPr>
            <w:r>
              <w:rPr>
                <w:bCs/>
                <w:b/>
              </w:rPr>
              <w:t xml:space="preserve">Total da quitação</w:t>
            </w:r>
          </w:p>
        </w:tc>
        <w:tc>
          <w:tcPr/>
          <w:p>
            <w:pPr>
              <w:pStyle w:val="Compact"/>
              <w:jc w:val="left"/>
            </w:pPr>
            <w:r>
              <w:rPr>
                <w:bCs/>
                <w:b/>
              </w:rPr>
              <w:t xml:space="preserve">$1,056,566.62</w:t>
            </w:r>
          </w:p>
        </w:tc>
        <w:tc>
          <w:tcPr/>
          <w:p>
            <w:pPr>
              <w:pStyle w:val="Compact"/>
            </w:pPr>
          </w:p>
        </w:tc>
      </w:tr>
    </w:tbl>
    <w:p>
      <w:pPr>
        <w:pStyle w:val="BodyText"/>
      </w:pPr>
      <w:r>
        <w:t xml:space="preserve">Observação: O valor de $18,032.38 não aplicado foi revertido em 12/03/24 (ADJ $7,940.56 + UND $25,972.94) — trata-se exclusivamente de ajustes de depósito em garantia.</w:t>
      </w:r>
      <w:r>
        <w:t xml:space="preserve"> </w:t>
      </w:r>
      <w:r>
        <w:rPr>
          <w:bCs/>
          <w:b/>
        </w:rPr>
        <w:t xml:space="preserve">Não há juros dedutíveis adicionais na transação de quitação.</w:t>
      </w:r>
    </w:p>
    <w:p>
      <w:r>
        <w:pict>
          <v:rect style="width:0;height:1.5pt" o:hralign="center" o:hrstd="t" o:hr="t"/>
        </w:pict>
      </w:r>
    </w:p>
    <w:bookmarkEnd w:id="30"/>
    <w:bookmarkEnd w:id="31"/>
    <w:bookmarkStart w:id="32" w:name="b.-radius-financial-group-confirmado"/>
    <w:p>
      <w:pPr>
        <w:pStyle w:val="Heading2"/>
      </w:pPr>
      <w:r>
        <w:t xml:space="preserve">2B. Radius Financial Group — Confirmado</w:t>
      </w:r>
    </w:p>
    <w:p>
      <w:pPr>
        <w:pStyle w:val="FirstParagraph"/>
      </w:pPr>
      <w:r>
        <w:rPr>
          <w:bCs/>
          <w:b/>
        </w:rPr>
        <w:t xml:space="preserve">Fonte:</w:t>
      </w:r>
      <w:r>
        <w:t xml:space="preserve"> </w:t>
      </w:r>
      <w:r>
        <w:t xml:space="preserve">Form 1098 da Radius (documento original confirmado pelo cliente)</w:t>
      </w:r>
    </w:p>
    <w:tbl>
      <w:tblPr>
        <w:tblStyle w:val="Table"/>
        <w:tblW w:type="pct" w:w="5000"/>
        <w:tblLook w:firstRow="1" w:lastRow="0" w:firstColumn="0" w:lastColumn="0" w:noHBand="0" w:noVBand="0" w:val="0020"/>
        <w:jc w:val="start"/>
      </w:tblPr>
      <w:tblGrid>
        <w:gridCol w:w="2310"/>
        <w:gridCol w:w="5610"/>
      </w:tblGrid>
      <w:tr>
        <w:trPr>
          <w:tblHeader w:val="true"/>
        </w:trPr>
        <w:tc>
          <w:tcPr/>
          <w:p>
            <w:pPr>
              <w:pStyle w:val="Compact"/>
              <w:jc w:val="left"/>
            </w:pPr>
            <w:r>
              <w:t xml:space="preserve">Campo</w:t>
            </w:r>
          </w:p>
        </w:tc>
        <w:tc>
          <w:tcPr/>
          <w:p>
            <w:pPr>
              <w:pStyle w:val="Compact"/>
              <w:jc w:val="left"/>
            </w:pPr>
            <w:r>
              <w:t xml:space="preserve">Valor Confirmado</w:t>
            </w:r>
          </w:p>
        </w:tc>
      </w:tr>
      <w:tr>
        <w:tc>
          <w:tcPr/>
          <w:p>
            <w:pPr>
              <w:pStyle w:val="Compact"/>
              <w:jc w:val="left"/>
            </w:pPr>
            <w:r>
              <w:t xml:space="preserve">Caixa 1 — Juros hipotecários recebidos</w:t>
            </w:r>
          </w:p>
        </w:tc>
        <w:tc>
          <w:tcPr/>
          <w:p>
            <w:pPr>
              <w:pStyle w:val="Compact"/>
              <w:jc w:val="left"/>
            </w:pPr>
            <w:r>
              <w:rPr>
                <w:bCs/>
                <w:b/>
              </w:rPr>
              <w:t xml:space="preserve">$1,869.86</w:t>
            </w:r>
          </w:p>
        </w:tc>
      </w:tr>
      <w:tr>
        <w:tc>
          <w:tcPr/>
          <w:p>
            <w:pPr>
              <w:pStyle w:val="Compact"/>
              <w:jc w:val="left"/>
            </w:pPr>
            <w:r>
              <w:t xml:space="preserve">Caixa 2 — Principal em aberto</w:t>
            </w:r>
          </w:p>
        </w:tc>
        <w:tc>
          <w:tcPr/>
          <w:p>
            <w:pPr>
              <w:pStyle w:val="Compact"/>
              <w:jc w:val="left"/>
            </w:pPr>
            <w:r>
              <w:t xml:space="preserve">$840,000</w:t>
            </w:r>
          </w:p>
        </w:tc>
      </w:tr>
      <w:tr>
        <w:tc>
          <w:tcPr/>
          <w:p>
            <w:pPr>
              <w:pStyle w:val="Compact"/>
              <w:jc w:val="left"/>
            </w:pPr>
            <w:r>
              <w:t xml:space="preserve">Caixa 3 — Data de originação</w:t>
            </w:r>
          </w:p>
        </w:tc>
        <w:tc>
          <w:tcPr/>
          <w:p>
            <w:pPr>
              <w:pStyle w:val="Compact"/>
              <w:jc w:val="left"/>
            </w:pPr>
            <w:r>
              <w:t xml:space="preserve">11/13/2024</w:t>
            </w:r>
          </w:p>
        </w:tc>
      </w:tr>
      <w:tr>
        <w:tc>
          <w:tcPr/>
          <w:p>
            <w:pPr>
              <w:pStyle w:val="Compact"/>
              <w:jc w:val="left"/>
            </w:pPr>
            <w:r>
              <w:t xml:space="preserve">Caixa 6 — Pontos hipotecários (points) pagos na aquisição da residência principal</w:t>
            </w:r>
          </w:p>
        </w:tc>
        <w:tc>
          <w:tcPr/>
          <w:p>
            <w:pPr>
              <w:pStyle w:val="Compact"/>
              <w:jc w:val="left"/>
            </w:pPr>
            <w:r>
              <w:rPr>
                <w:bCs/>
                <w:b/>
              </w:rPr>
              <w:t xml:space="preserve">$18,900.00</w:t>
            </w:r>
          </w:p>
        </w:tc>
      </w:tr>
    </w:tbl>
    <w:p>
      <w:pPr>
        <w:pStyle w:val="BodyText"/>
      </w:pPr>
      <w:r>
        <w:rPr>
          <w:bCs/>
          <w:b/>
        </w:rPr>
        <w:t xml:space="preserve">Form 1098 da Radius CONFIRMADO ✓</w:t>
      </w:r>
    </w:p>
    <w:p>
      <w:r>
        <w:pict>
          <v:rect style="width:0;height:1.5pt" o:hralign="center" o:hrstd="t" o:hr="t"/>
        </w:pict>
      </w:r>
    </w:p>
    <w:bookmarkEnd w:id="32"/>
    <w:bookmarkStart w:id="37" w:name="c.-reconciliação-completa-do-schedule-a"/>
    <w:p>
      <w:pPr>
        <w:pStyle w:val="Heading2"/>
      </w:pPr>
      <w:r>
        <w:t xml:space="preserve">2C. Reconciliação Completa do Schedule A</w:t>
      </w:r>
    </w:p>
    <w:bookmarkStart w:id="33" w:name="etapa-1-o-que-constava-nos-forms-1098"/>
    <w:p>
      <w:pPr>
        <w:pStyle w:val="Heading3"/>
      </w:pPr>
      <w:r>
        <w:t xml:space="preserve">Etapa 1: O que Constava nos Forms 1098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Fonte</w:t>
            </w:r>
          </w:p>
        </w:tc>
        <w:tc>
          <w:tcPr/>
          <w:p>
            <w:pPr>
              <w:pStyle w:val="Compact"/>
              <w:jc w:val="left"/>
            </w:pPr>
            <w:r>
              <w:t xml:space="preserve">Juros</w:t>
            </w:r>
          </w:p>
        </w:tc>
        <w:tc>
          <w:tcPr/>
          <w:p>
            <w:pPr>
              <w:pStyle w:val="Compact"/>
              <w:jc w:val="left"/>
            </w:pPr>
            <w:r>
              <w:t xml:space="preserve">Pontos hipotecários (points)</w:t>
            </w:r>
          </w:p>
        </w:tc>
        <w:tc>
          <w:tcPr/>
          <w:p>
            <w:pPr>
              <w:pStyle w:val="Compact"/>
              <w:jc w:val="left"/>
            </w:pPr>
            <w:r>
              <w:t xml:space="preserve">Total no Form 1098</w:t>
            </w:r>
          </w:p>
        </w:tc>
      </w:tr>
      <w:tr>
        <w:tc>
          <w:tcPr/>
          <w:p>
            <w:pPr>
              <w:pStyle w:val="Compact"/>
              <w:jc w:val="left"/>
            </w:pPr>
            <w:r>
              <w:t xml:space="preserve">AmWest (Empréstimo Nº 2000086400)</w:t>
            </w:r>
          </w:p>
        </w:tc>
        <w:tc>
          <w:tcPr/>
          <w:p>
            <w:pPr>
              <w:pStyle w:val="Compact"/>
              <w:jc w:val="left"/>
            </w:pPr>
            <w:r>
              <w:t xml:space="preserve">$95,134</w:t>
            </w:r>
          </w:p>
        </w:tc>
        <w:tc>
          <w:tcPr/>
          <w:p>
            <w:pPr>
              <w:pStyle w:val="Compact"/>
              <w:jc w:val="left"/>
            </w:pPr>
            <w:r>
              <w:t xml:space="preserve">$0</w:t>
            </w:r>
          </w:p>
        </w:tc>
        <w:tc>
          <w:tcPr/>
          <w:p>
            <w:pPr>
              <w:pStyle w:val="Compact"/>
              <w:jc w:val="left"/>
            </w:pPr>
            <w:r>
              <w:t xml:space="preserve">$95,134</w:t>
            </w:r>
          </w:p>
        </w:tc>
      </w:tr>
      <w:tr>
        <w:tc>
          <w:tcPr/>
          <w:p>
            <w:pPr>
              <w:pStyle w:val="Compact"/>
              <w:jc w:val="left"/>
            </w:pPr>
            <w:r>
              <w:t xml:space="preserve">Radius (Empréstimo Nº 1068729)</w:t>
            </w:r>
          </w:p>
        </w:tc>
        <w:tc>
          <w:tcPr/>
          <w:p>
            <w:pPr>
              <w:pStyle w:val="Compact"/>
              <w:jc w:val="left"/>
            </w:pPr>
            <w:r>
              <w:t xml:space="preserve">$1,870</w:t>
            </w:r>
          </w:p>
        </w:tc>
        <w:tc>
          <w:tcPr/>
          <w:p>
            <w:pPr>
              <w:pStyle w:val="Compact"/>
              <w:jc w:val="left"/>
            </w:pPr>
            <w:r>
              <w:t xml:space="preserve">$18,900</w:t>
            </w:r>
          </w:p>
        </w:tc>
        <w:tc>
          <w:tcPr/>
          <w:p>
            <w:pPr>
              <w:pStyle w:val="Compact"/>
              <w:jc w:val="left"/>
            </w:pPr>
            <w:r>
              <w:t xml:space="preserve">$20,770</w:t>
            </w:r>
          </w:p>
        </w:tc>
      </w:tr>
      <w:tr>
        <w:tc>
          <w:tcPr/>
          <w:p>
            <w:pPr>
              <w:pStyle w:val="Compact"/>
              <w:jc w:val="left"/>
            </w:pPr>
            <w:r>
              <w:rPr>
                <w:bCs/>
                <w:b/>
              </w:rPr>
              <w:t xml:space="preserve">TOTAL — Forms 1098</w:t>
            </w:r>
          </w:p>
        </w:tc>
        <w:tc>
          <w:tcPr/>
          <w:p>
            <w:pPr>
              <w:pStyle w:val="Compact"/>
              <w:jc w:val="left"/>
            </w:pPr>
            <w:r>
              <w:rPr>
                <w:bCs/>
                <w:b/>
              </w:rPr>
              <w:t xml:space="preserve">$97,004</w:t>
            </w:r>
          </w:p>
        </w:tc>
        <w:tc>
          <w:tcPr/>
          <w:p>
            <w:pPr>
              <w:pStyle w:val="Compact"/>
              <w:jc w:val="left"/>
            </w:pPr>
            <w:r>
              <w:rPr>
                <w:bCs/>
                <w:b/>
              </w:rPr>
              <w:t xml:space="preserve">$18,900</w:t>
            </w:r>
          </w:p>
        </w:tc>
        <w:tc>
          <w:tcPr/>
          <w:p>
            <w:pPr>
              <w:pStyle w:val="Compact"/>
              <w:jc w:val="left"/>
            </w:pPr>
            <w:r>
              <w:rPr>
                <w:bCs/>
                <w:b/>
              </w:rPr>
              <w:t xml:space="preserve">$115,904</w:t>
            </w:r>
          </w:p>
        </w:tc>
      </w:tr>
    </w:tbl>
    <w:bookmarkEnd w:id="33"/>
    <w:bookmarkStart w:id="34" w:name="X087b031df85e58036512808df779ad3151c9a0d"/>
    <w:p>
      <w:pPr>
        <w:pStyle w:val="Heading3"/>
      </w:pPr>
      <w:r>
        <w:t xml:space="preserve">Etapa 2: O que o Responsável pela Preparação da Declaração Lançou no Schedule A</w:t>
      </w:r>
    </w:p>
    <w:tbl>
      <w:tblPr>
        <w:tblStyle w:val="Table"/>
        <w:tblW w:type="pct" w:w="5000"/>
        <w:tblLook w:firstRow="1" w:lastRow="0" w:firstColumn="0" w:lastColumn="0" w:noHBand="0" w:noVBand="0" w:val="0020"/>
        <w:jc w:val="start"/>
      </w:tblPr>
      <w:tblGrid>
        <w:gridCol w:w="3394"/>
        <w:gridCol w:w="1777"/>
        <w:gridCol w:w="2747"/>
      </w:tblGrid>
      <w:tr>
        <w:trPr>
          <w:tblHeader w:val="true"/>
        </w:trPr>
        <w:tc>
          <w:tcPr/>
          <w:p>
            <w:pPr>
              <w:pStyle w:val="Compact"/>
              <w:jc w:val="left"/>
            </w:pPr>
            <w:r>
              <w:t xml:space="preserve">Linha do Schedule A</w:t>
            </w:r>
          </w:p>
        </w:tc>
        <w:tc>
          <w:tcPr/>
          <w:p>
            <w:pPr>
              <w:pStyle w:val="Compact"/>
              <w:jc w:val="left"/>
            </w:pPr>
            <w:r>
              <w:t xml:space="preserve">Descrição</w:t>
            </w:r>
          </w:p>
        </w:tc>
        <w:tc>
          <w:tcPr/>
          <w:p>
            <w:pPr>
              <w:pStyle w:val="Compact"/>
              <w:jc w:val="left"/>
            </w:pPr>
            <w:r>
              <w:t xml:space="preserve">Valor Declarado</w:t>
            </w:r>
          </w:p>
        </w:tc>
      </w:tr>
      <w:tr>
        <w:tc>
          <w:tcPr/>
          <w:p>
            <w:pPr>
              <w:pStyle w:val="Compact"/>
              <w:jc w:val="left"/>
            </w:pPr>
            <w:r>
              <w:t xml:space="preserve">8a</w:t>
            </w:r>
          </w:p>
        </w:tc>
        <w:tc>
          <w:tcPr/>
          <w:p>
            <w:pPr>
              <w:pStyle w:val="Compact"/>
              <w:jc w:val="left"/>
            </w:pPr>
            <w:r>
              <w:t xml:space="preserve">Juros hipotecários e pontos hipotecários (points) informados no Form 1098</w:t>
            </w:r>
          </w:p>
        </w:tc>
        <w:tc>
          <w:tcPr/>
          <w:p>
            <w:pPr>
              <w:pStyle w:val="Compact"/>
              <w:jc w:val="left"/>
            </w:pPr>
            <w:r>
              <w:t xml:space="preserve">$114,034</w:t>
            </w:r>
          </w:p>
        </w:tc>
      </w:tr>
      <w:tr>
        <w:tc>
          <w:tcPr/>
          <w:p>
            <w:pPr>
              <w:pStyle w:val="Compact"/>
              <w:jc w:val="left"/>
            </w:pPr>
            <w:r>
              <w:t xml:space="preserve">8b</w:t>
            </w:r>
          </w:p>
        </w:tc>
        <w:tc>
          <w:tcPr/>
          <w:p>
            <w:pPr>
              <w:pStyle w:val="Compact"/>
              <w:jc w:val="left"/>
            </w:pPr>
            <w:r>
              <w:t xml:space="preserve">Juros não constantes do Form 1098</w:t>
            </w:r>
          </w:p>
        </w:tc>
        <w:tc>
          <w:tcPr/>
          <w:p>
            <w:pPr>
              <w:pStyle w:val="Compact"/>
              <w:jc w:val="left"/>
            </w:pPr>
            <w:r>
              <w:t xml:space="preserve">$0</w:t>
            </w:r>
          </w:p>
        </w:tc>
      </w:tr>
      <w:tr>
        <w:tc>
          <w:tcPr/>
          <w:p>
            <w:pPr>
              <w:pStyle w:val="Compact"/>
              <w:jc w:val="left"/>
            </w:pPr>
            <w:r>
              <w:t xml:space="preserve">8c</w:t>
            </w:r>
          </w:p>
        </w:tc>
        <w:tc>
          <w:tcPr/>
          <w:p>
            <w:pPr>
              <w:pStyle w:val="Compact"/>
              <w:jc w:val="left"/>
            </w:pPr>
            <w:r>
              <w:t xml:space="preserve">Pontos hipotecários (points) não constantes do Form 1098</w:t>
            </w:r>
          </w:p>
        </w:tc>
        <w:tc>
          <w:tcPr/>
          <w:p>
            <w:pPr>
              <w:pStyle w:val="Compact"/>
              <w:jc w:val="left"/>
            </w:pPr>
            <w:r>
              <w:t xml:space="preserve">$0</w:t>
            </w:r>
          </w:p>
        </w:tc>
      </w:tr>
    </w:tbl>
    <w:bookmarkEnd w:id="34"/>
    <w:bookmarkStart w:id="35" w:name="etapa-3-decomposição-de-114034"/>
    <w:p>
      <w:pPr>
        <w:pStyle w:val="Heading3"/>
      </w:pPr>
      <w:r>
        <w:t xml:space="preserve">Etapa 3: Decomposição de $114,034</w:t>
      </w:r>
    </w:p>
    <w:tbl>
      <w:tblPr>
        <w:tblStyle w:val="Table"/>
        <w:tblW w:type="pct" w:w="5000"/>
        <w:tblLook w:firstRow="1" w:lastRow="0" w:firstColumn="0" w:lastColumn="0" w:noHBand="0" w:noVBand="0" w:val="0020"/>
        <w:jc w:val="start"/>
      </w:tblPr>
      <w:tblGrid>
        <w:gridCol w:w="1827"/>
        <w:gridCol w:w="2132"/>
        <w:gridCol w:w="3960"/>
      </w:tblGrid>
      <w:tr>
        <w:trPr>
          <w:tblHeader w:val="true"/>
        </w:trPr>
        <w:tc>
          <w:tcPr/>
          <w:p>
            <w:pPr>
              <w:pStyle w:val="Compact"/>
              <w:jc w:val="left"/>
            </w:pPr>
            <w:r>
              <w:t xml:space="preserve">Item</w:t>
            </w:r>
          </w:p>
        </w:tc>
        <w:tc>
          <w:tcPr/>
          <w:p>
            <w:pPr>
              <w:pStyle w:val="Compact"/>
              <w:jc w:val="left"/>
            </w:pPr>
            <w:r>
              <w:t xml:space="preserve">Valor</w:t>
            </w:r>
          </w:p>
        </w:tc>
        <w:tc>
          <w:tcPr/>
          <w:p>
            <w:pPr>
              <w:pStyle w:val="Compact"/>
              <w:jc w:val="left"/>
            </w:pPr>
            <w:r>
              <w:t xml:space="preserve">Verificação</w:t>
            </w:r>
          </w:p>
        </w:tc>
      </w:tr>
      <w:tr>
        <w:tc>
          <w:tcPr/>
          <w:p>
            <w:pPr>
              <w:pStyle w:val="Compact"/>
              <w:jc w:val="left"/>
            </w:pPr>
            <w:r>
              <w:t xml:space="preserve">Juros AmWest</w:t>
            </w:r>
          </w:p>
        </w:tc>
        <w:tc>
          <w:tcPr/>
          <w:p>
            <w:pPr>
              <w:pStyle w:val="Compact"/>
              <w:jc w:val="left"/>
            </w:pPr>
            <w:r>
              <w:t xml:space="preserve">$95,134</w:t>
            </w:r>
          </w:p>
        </w:tc>
        <w:tc>
          <w:tcPr/>
          <w:p>
            <w:pPr>
              <w:pStyle w:val="Compact"/>
              <w:jc w:val="left"/>
            </w:pPr>
            <w:r>
              <w:t xml:space="preserve">✓ Confirmado</w:t>
            </w:r>
          </w:p>
        </w:tc>
      </w:tr>
      <w:tr>
        <w:tc>
          <w:tcPr/>
          <w:p>
            <w:pPr>
              <w:pStyle w:val="Compact"/>
              <w:jc w:val="left"/>
            </w:pPr>
            <w:r>
              <w:t xml:space="preserve">Pontos hipotecários (points) Radius (Caixa 6)</w:t>
            </w:r>
          </w:p>
        </w:tc>
        <w:tc>
          <w:tcPr/>
          <w:p>
            <w:pPr>
              <w:pStyle w:val="Compact"/>
              <w:jc w:val="left"/>
            </w:pPr>
            <w:r>
              <w:t xml:space="preserve">$18,900</w:t>
            </w:r>
          </w:p>
        </w:tc>
        <w:tc>
          <w:tcPr/>
          <w:p>
            <w:pPr>
              <w:pStyle w:val="Compact"/>
              <w:jc w:val="left"/>
            </w:pPr>
            <w:r>
              <w:t xml:space="preserve">✓ Confirmado</w:t>
            </w:r>
          </w:p>
        </w:tc>
      </w:tr>
      <w:tr>
        <w:tc>
          <w:tcPr/>
          <w:p>
            <w:pPr>
              <w:pStyle w:val="Compact"/>
              <w:jc w:val="left"/>
            </w:pPr>
            <w:r>
              <w:rPr>
                <w:bCs/>
                <w:b/>
              </w:rPr>
              <w:t xml:space="preserve">Subtotal</w:t>
            </w:r>
          </w:p>
        </w:tc>
        <w:tc>
          <w:tcPr/>
          <w:p>
            <w:pPr>
              <w:pStyle w:val="Compact"/>
              <w:jc w:val="left"/>
            </w:pPr>
            <w:r>
              <w:rPr>
                <w:bCs/>
                <w:b/>
              </w:rPr>
              <w:t xml:space="preserve">$114,034</w:t>
            </w:r>
          </w:p>
        </w:tc>
        <w:tc>
          <w:tcPr/>
          <w:p>
            <w:pPr>
              <w:pStyle w:val="Compact"/>
              <w:jc w:val="left"/>
            </w:pPr>
            <w:r>
              <w:t xml:space="preserve">✓ Reconciliado</w:t>
            </w:r>
          </w:p>
        </w:tc>
      </w:tr>
      <w:tr>
        <w:tc>
          <w:tcPr/>
          <w:p>
            <w:pPr>
              <w:pStyle w:val="Compact"/>
              <w:jc w:val="left"/>
            </w:pPr>
            <w:r>
              <w:t xml:space="preserve">Juros Radius (Caixa 1)</w:t>
            </w:r>
          </w:p>
        </w:tc>
        <w:tc>
          <w:tcPr/>
          <w:p>
            <w:pPr>
              <w:pStyle w:val="Compact"/>
              <w:jc w:val="left"/>
            </w:pPr>
            <w:r>
              <w:rPr>
                <w:bCs/>
                <w:b/>
              </w:rPr>
              <w:t xml:space="preserve">$0</w:t>
            </w:r>
          </w:p>
        </w:tc>
        <w:tc>
          <w:tcPr/>
          <w:p>
            <w:pPr>
              <w:pStyle w:val="Compact"/>
              <w:jc w:val="left"/>
            </w:pPr>
            <w:r>
              <w:t xml:space="preserve">✗ OMITIDO — $1,869.86 não transportado para a Linha 8a do Schedule A</w:t>
            </w:r>
          </w:p>
        </w:tc>
      </w:tr>
    </w:tbl>
    <w:p>
      <w:pPr>
        <w:pStyle w:val="BodyText"/>
      </w:pPr>
      <w:r>
        <w:rPr>
          <w:bCs/>
          <w:b/>
        </w:rPr>
        <w:t xml:space="preserve">Conclusão:</w:t>
      </w:r>
      <w:r>
        <w:t xml:space="preserve"> </w:t>
      </w:r>
      <w:r>
        <w:t xml:space="preserve">O responsável pela preparação da declaração combinou os juros da AmWest ($95,134) e os pontos hipotecários (points) da Radius ($18,900) na Linha 8a do Schedule A, omitindo inadvertidamente os juros da Radius no valor de $1,869.86. Essa omissão de $1,870 compensa parcialmente o excesso decorrente da não aplicação do limite do empréstimo.</w:t>
      </w:r>
    </w:p>
    <w:bookmarkEnd w:id="35"/>
    <w:bookmarkStart w:id="36" w:name="etapa-4-erros-quantificados"/>
    <w:p>
      <w:pPr>
        <w:pStyle w:val="Heading3"/>
      </w:pPr>
      <w:r>
        <w:t xml:space="preserve">Etapa 4: Erros Quantificados</w:t>
      </w:r>
    </w:p>
    <w:tbl>
      <w:tblPr>
        <w:tblStyle w:val="Table"/>
        <w:tblW w:type="pct" w:w="5000"/>
        <w:tblLook w:firstRow="1" w:lastRow="0" w:firstColumn="0" w:lastColumn="0" w:noHBand="0" w:noVBand="0" w:val="0020"/>
        <w:jc w:val="start"/>
      </w:tblPr>
      <w:tblGrid>
        <w:gridCol w:w="1284"/>
        <w:gridCol w:w="2354"/>
        <w:gridCol w:w="1926"/>
        <w:gridCol w:w="2354"/>
      </w:tblGrid>
      <w:tr>
        <w:trPr>
          <w:tblHeader w:val="true"/>
        </w:trPr>
        <w:tc>
          <w:tcPr/>
          <w:p>
            <w:pPr>
              <w:pStyle w:val="Compact"/>
              <w:jc w:val="left"/>
            </w:pPr>
            <w:r>
              <w:t xml:space="preserve">Item</w:t>
            </w:r>
          </w:p>
        </w:tc>
        <w:tc>
          <w:tcPr/>
          <w:p>
            <w:pPr>
              <w:pStyle w:val="Compact"/>
              <w:jc w:val="left"/>
            </w:pPr>
            <w:r>
              <w:t xml:space="preserve">Declarado</w:t>
            </w:r>
          </w:p>
        </w:tc>
        <w:tc>
          <w:tcPr/>
          <w:p>
            <w:pPr>
              <w:pStyle w:val="Compact"/>
              <w:jc w:val="left"/>
            </w:pPr>
            <w:r>
              <w:t xml:space="preserve">Correto</w:t>
            </w:r>
          </w:p>
        </w:tc>
        <w:tc>
          <w:tcPr/>
          <w:p>
            <w:pPr>
              <w:pStyle w:val="Compact"/>
              <w:jc w:val="left"/>
            </w:pPr>
            <w:r>
              <w:t xml:space="preserve">Diferença</w:t>
            </w:r>
          </w:p>
        </w:tc>
      </w:tr>
      <w:tr>
        <w:tc>
          <w:tcPr/>
          <w:p>
            <w:pPr>
              <w:pStyle w:val="Compact"/>
              <w:jc w:val="left"/>
            </w:pPr>
            <w:r>
              <w:t xml:space="preserve">Juros AmWest</w:t>
            </w:r>
          </w:p>
        </w:tc>
        <w:tc>
          <w:tcPr/>
          <w:p>
            <w:pPr>
              <w:pStyle w:val="Compact"/>
              <w:jc w:val="left"/>
            </w:pPr>
            <w:r>
              <w:t xml:space="preserve">$95,134</w:t>
            </w:r>
          </w:p>
        </w:tc>
        <w:tc>
          <w:tcPr/>
          <w:p>
            <w:pPr>
              <w:pStyle w:val="Compact"/>
              <w:jc w:val="left"/>
            </w:pPr>
            <w:r>
              <w:t xml:space="preserve">$95,134</w:t>
            </w:r>
          </w:p>
        </w:tc>
        <w:tc>
          <w:tcPr/>
          <w:p>
            <w:pPr>
              <w:pStyle w:val="Compact"/>
              <w:jc w:val="left"/>
            </w:pPr>
            <w:r>
              <w:t xml:space="preserve">$0</w:t>
            </w:r>
          </w:p>
        </w:tc>
      </w:tr>
      <w:tr>
        <w:tc>
          <w:tcPr/>
          <w:p>
            <w:pPr>
              <w:pStyle w:val="Compact"/>
              <w:jc w:val="left"/>
            </w:pPr>
            <w:r>
              <w:t xml:space="preserve">Juros Radius</w:t>
            </w:r>
          </w:p>
        </w:tc>
        <w:tc>
          <w:tcPr/>
          <w:p>
            <w:pPr>
              <w:pStyle w:val="Compact"/>
              <w:jc w:val="left"/>
            </w:pPr>
            <w:r>
              <w:t xml:space="preserve">$0 (omitido)</w:t>
            </w:r>
          </w:p>
        </w:tc>
        <w:tc>
          <w:tcPr/>
          <w:p>
            <w:pPr>
              <w:pStyle w:val="Compact"/>
              <w:jc w:val="left"/>
            </w:pPr>
            <w:r>
              <w:t xml:space="preserve">$1,870</w:t>
            </w:r>
          </w:p>
        </w:tc>
        <w:tc>
          <w:tcPr/>
          <w:p>
            <w:pPr>
              <w:pStyle w:val="Compact"/>
              <w:jc w:val="left"/>
            </w:pPr>
            <w:r>
              <w:t xml:space="preserve">($1,870) subestimado</w:t>
            </w:r>
          </w:p>
        </w:tc>
      </w:tr>
      <w:tr>
        <w:tc>
          <w:tcPr/>
          <w:p>
            <w:pPr>
              <w:pStyle w:val="Compact"/>
              <w:jc w:val="left"/>
            </w:pPr>
            <w:r>
              <w:t xml:space="preserve">Pontos hipotecários (points) Radius — dedutíveis em 2024</w:t>
            </w:r>
          </w:p>
        </w:tc>
        <w:tc>
          <w:tcPr/>
          <w:p>
            <w:pPr>
              <w:pStyle w:val="Compact"/>
              <w:jc w:val="left"/>
            </w:pPr>
            <w:r>
              <w:t xml:space="preserve">$18,900</w:t>
            </w:r>
          </w:p>
        </w:tc>
        <w:tc>
          <w:tcPr/>
          <w:p>
            <w:pPr>
              <w:pStyle w:val="Compact"/>
              <w:jc w:val="left"/>
            </w:pPr>
            <w:r>
              <w:t xml:space="preserve">~$67 (amortizado, ajustado pela proporção)</w:t>
            </w:r>
          </w:p>
        </w:tc>
        <w:tc>
          <w:tcPr/>
          <w:p>
            <w:pPr>
              <w:pStyle w:val="Compact"/>
              <w:jc w:val="left"/>
            </w:pPr>
            <w:r>
              <w:t xml:space="preserve">$18,833 superestimado</w:t>
            </w:r>
          </w:p>
        </w:tc>
      </w:tr>
      <w:tr>
        <w:tc>
          <w:tcPr/>
          <w:p>
            <w:pPr>
              <w:pStyle w:val="Compact"/>
              <w:jc w:val="left"/>
            </w:pPr>
            <w:r>
              <w:t xml:space="preserve">Limitação do limite do empréstimo aplicada</w:t>
            </w:r>
          </w:p>
        </w:tc>
        <w:tc>
          <w:tcPr/>
          <w:p>
            <w:pPr>
              <w:pStyle w:val="Compact"/>
              <w:jc w:val="left"/>
            </w:pPr>
            <w:r>
              <w:t xml:space="preserve">Não</w:t>
            </w:r>
          </w:p>
        </w:tc>
        <w:tc>
          <w:tcPr/>
          <w:p>
            <w:pPr>
              <w:pStyle w:val="Compact"/>
              <w:jc w:val="left"/>
            </w:pPr>
            <w:r>
              <w:t xml:space="preserve">Obrigatória</w:t>
            </w:r>
          </w:p>
        </w:tc>
        <w:tc>
          <w:tcPr/>
          <w:p>
            <w:pPr>
              <w:pStyle w:val="Compact"/>
              <w:jc w:val="left"/>
            </w:pPr>
            <w:r>
              <w:t xml:space="preserve">~$19,595 superestimado</w:t>
            </w:r>
          </w:p>
        </w:tc>
      </w:tr>
      <w:tr>
        <w:tc>
          <w:tcPr/>
          <w:p>
            <w:pPr>
              <w:pStyle w:val="Compact"/>
              <w:jc w:val="left"/>
            </w:pPr>
            <w:r>
              <w:rPr>
                <w:bCs/>
                <w:b/>
              </w:rPr>
              <w:t xml:space="preserve">Excesso líquido</w:t>
            </w:r>
          </w:p>
        </w:tc>
        <w:tc>
          <w:tcPr/>
          <w:p>
            <w:pPr>
              <w:pStyle w:val="Compact"/>
            </w:pPr>
          </w:p>
        </w:tc>
        <w:tc>
          <w:tcPr/>
          <w:p>
            <w:pPr>
              <w:pStyle w:val="Compact"/>
            </w:pPr>
          </w:p>
        </w:tc>
        <w:tc>
          <w:tcPr/>
          <w:p>
            <w:pPr>
              <w:pStyle w:val="Compact"/>
              <w:jc w:val="left"/>
            </w:pPr>
            <w:r>
              <w:rPr>
                <w:bCs/>
                <w:b/>
              </w:rPr>
              <w:t xml:space="preserve">~$36,558</w:t>
            </w:r>
          </w:p>
        </w:tc>
      </w:tr>
    </w:tbl>
    <w:p>
      <w:r>
        <w:pict>
          <v:rect style="width:0;height:1.5pt" o:hralign="center" o:hrstd="t" o:hr="t"/>
        </w:pict>
      </w:r>
    </w:p>
    <w:p>
      <w:r>
        <w:pict>
          <v:rect style="width:0;height:1.5pt" o:hralign="center" o:hrstd="t" o:hr="t"/>
        </w:pict>
      </w:r>
    </w:p>
    <w:bookmarkEnd w:id="36"/>
    <w:bookmarkEnd w:id="37"/>
    <w:bookmarkEnd w:id="38"/>
    <w:bookmarkStart w:id="45" w:name="X27c62a90c725b12f29a15c725aa6c9ba4050c96"/>
    <w:p>
      <w:pPr>
        <w:pStyle w:val="Heading1"/>
      </w:pPr>
      <w:r>
        <w:t xml:space="preserve">SEÇÃO 3 — PLANILHA DO FORM 14900 PREENCHIDA</w:t>
      </w:r>
    </w:p>
    <w:bookmarkStart w:id="44" w:name="Xc944f12c6b73021ec20f7bb0b71d32cd29195dd"/>
    <w:p>
      <w:pPr>
        <w:pStyle w:val="Heading2"/>
      </w:pPr>
      <w:r>
        <w:t xml:space="preserve">IRC §163(h)(3)(B) — Planilha para Limite do Empréstimo Qualificado e Juros Hipotecários Residenciais Dedutíveis</w:t>
      </w:r>
    </w:p>
    <w:bookmarkStart w:id="39" w:name="X8e793e346cc7dc5aff8d63da4bb800bb620887d"/>
    <w:p>
      <w:pPr>
        <w:pStyle w:val="Heading3"/>
      </w:pPr>
      <w:r>
        <w:t xml:space="preserve">(Form 14900, julho de 2020 — Anos Fiscais com Início após 2017)</w:t>
      </w:r>
    </w:p>
    <w:p>
      <w:pPr>
        <w:pStyle w:val="FirstParagraph"/>
      </w:pPr>
      <w:r>
        <w:rPr>
          <w:bCs/>
          <w:b/>
        </w:rPr>
        <w:t xml:space="preserve">Contribuinte:</w:t>
      </w:r>
      <w:r>
        <w:t xml:space="preserve"> </w:t>
      </w:r>
      <w:r>
        <w:t xml:space="preserve">ELIANA MACHADO DE ALMEIDA |</w:t>
      </w:r>
      <w:r>
        <w:t xml:space="preserve"> </w:t>
      </w:r>
      <w:r>
        <w:rPr>
          <w:bCs/>
          <w:b/>
        </w:rPr>
        <w:t xml:space="preserve">Identificação Fiscal (últimos 4 dígitos):</w:t>
      </w:r>
      <w:r>
        <w:t xml:space="preserve"> </w:t>
      </w:r>
      <w:r>
        <w:t xml:space="preserve">6336 |</w:t>
      </w:r>
      <w:r>
        <w:t xml:space="preserve"> </w:t>
      </w:r>
      <w:r>
        <w:rPr>
          <w:bCs/>
          <w:b/>
        </w:rPr>
        <w:t xml:space="preserve">Exercício Encerrado em:</w:t>
      </w:r>
      <w:r>
        <w:t xml:space="preserve"> </w:t>
      </w:r>
      <w:r>
        <w:t xml:space="preserve">December 31, 2024</w:t>
      </w:r>
    </w:p>
    <w:p>
      <w:r>
        <w:pict>
          <v:rect style="width:0;height:1.5pt" o:hralign="center" o:hrstd="t" o:hr="t"/>
        </w:pict>
      </w:r>
    </w:p>
    <w:bookmarkEnd w:id="39"/>
    <w:bookmarkStart w:id="40" w:name="base-legal"/>
    <w:p>
      <w:pPr>
        <w:pStyle w:val="Heading3"/>
      </w:pPr>
      <w:r>
        <w:t xml:space="preserve">Base Legal</w:t>
      </w:r>
    </w:p>
    <w:p>
      <w:pPr>
        <w:pStyle w:val="FirstParagraph"/>
      </w:pPr>
      <w:r>
        <w:t xml:space="preserve">IRC §163(h)(3)(B)(ii): Para dívida de aquisição de imóvel residencial contraída</w:t>
      </w:r>
      <w:r>
        <w:t xml:space="preserve"> </w:t>
      </w:r>
      <w:r>
        <w:rPr>
          <w:bCs/>
          <w:b/>
        </w:rPr>
        <w:t xml:space="preserve">após December 15, 2017</w:t>
      </w:r>
      <w:r>
        <w:t xml:space="preserve">, o limite do empréstimo qualificado é de</w:t>
      </w:r>
      <w:r>
        <w:t xml:space="preserve"> </w:t>
      </w:r>
      <w:r>
        <w:rPr>
          <w:bCs/>
          <w:b/>
        </w:rPr>
        <w:t xml:space="preserve">$750,000</w:t>
      </w:r>
      <w:r>
        <w:t xml:space="preserve"> </w:t>
      </w:r>
      <w:r>
        <w:t xml:space="preserve">($375,000 para contribuintes casados que declaram separadamente). Os juros atribuíveis à dívida acima deste limite são tratados como juros pessoais e não são dedutíveis nos termos do IRC §163(h)(1).</w:t>
      </w:r>
    </w:p>
    <w:p>
      <w:pPr>
        <w:pStyle w:val="BodyText"/>
      </w:pPr>
      <w:r>
        <w:rPr>
          <w:bCs/>
          <w:b/>
        </w:rPr>
        <w:t xml:space="preserve">Ambos os financiamentos hipotecários foram contratados após December 15, 2017:</w:t>
      </w:r>
      <w:r>
        <w:t xml:space="preserve"> </w:t>
      </w:r>
      <w:r>
        <w:t xml:space="preserve">- AmWest Funding Corp — originado em 10/20/2023</w:t>
      </w:r>
      <w:r>
        <w:t xml:space="preserve"> </w:t>
      </w:r>
      <w:r>
        <w:t xml:space="preserve">- Radius Financial Group — originado em 11/13/2024 (refinanciamento da AmWest)</w:t>
      </w:r>
    </w:p>
    <w:p>
      <w:pPr>
        <w:pStyle w:val="BodyText"/>
      </w:pPr>
      <w:r>
        <w:rPr>
          <w:bCs/>
          <w:b/>
        </w:rPr>
        <w:t xml:space="preserve">Qualificação do refinanciamento:</w:t>
      </w:r>
      <w:r>
        <w:t xml:space="preserve"> </w:t>
      </w:r>
      <w:r>
        <w:t xml:space="preserve">Nos termos da Publication 936 do IRS, a dívida de aquisição de imóvel residencial em um financiamento refinanciado limita-se ao saldo do principal em aberto do financiamento original imediatamente antes do refinanciamento. Saldo da AmWest em 11/12/2024 (dia anterior ao fechamento da Radius): $1,033,586.96. Saldo do empréstimo Radius: $840,000. Como $840,000 &lt; $1,033,586.96, o empréstimo Radius qualifica-se integralmente como dívida de aquisição de imóvel residencial. ✓</w:t>
      </w:r>
    </w:p>
    <w:p>
      <w:r>
        <w:pict>
          <v:rect style="width:0;height:1.5pt" o:hralign="center" o:hrstd="t" o:hr="t"/>
        </w:pict>
      </w:r>
    </w:p>
    <w:bookmarkEnd w:id="40"/>
    <w:bookmarkStart w:id="41" w:name="cálculos-do-saldo-médio"/>
    <w:p>
      <w:pPr>
        <w:pStyle w:val="Heading3"/>
      </w:pPr>
      <w:r>
        <w:t xml:space="preserve">Cálculos do Saldo Médio</w:t>
      </w:r>
    </w:p>
    <w:p>
      <w:pPr>
        <w:pStyle w:val="FirstParagraph"/>
      </w:pPr>
      <w:r>
        <w:rPr>
          <w:bCs/>
          <w:b/>
        </w:rPr>
        <w:t xml:space="preserve">Método:</w:t>
      </w:r>
      <w:r>
        <w:t xml:space="preserve"> </w:t>
      </w:r>
      <w:r>
        <w:t xml:space="preserve">Publication 936 do IRS — (Saldo no início do ano + Saldo no fim do ano) ÷ 2</w:t>
      </w:r>
      <w:r>
        <w:t xml:space="preserve"> </w:t>
      </w:r>
      <w:r>
        <w:t xml:space="preserve">Para empréstimos não vigentes durante o ano inteiro, o saldo é $0 para o período anterior à originação ou posterior à quitação.</w:t>
      </w:r>
    </w:p>
    <w:p>
      <w:pPr>
        <w:pStyle w:val="BodyText"/>
      </w:pPr>
      <w:r>
        <w:rPr>
          <w:bCs/>
          <w:b/>
        </w:rPr>
        <w:t xml:space="preserve">AmWest Funding Corp</w:t>
      </w:r>
      <w:r>
        <w:t xml:space="preserve"> </w:t>
      </w:r>
      <w:r>
        <w:t xml:space="preserve">(vigente de 1/1/2024 a 11/19/2024):</w:t>
      </w:r>
      <w:r>
        <w:t xml:space="preserve"> </w:t>
      </w:r>
      <w:r>
        <w:t xml:space="preserve">- Saldo em 1/1/2024: $1,039,488 (Form 1098, Caixa 2)</w:t>
      </w:r>
      <w:r>
        <w:t xml:space="preserve"> </w:t>
      </w:r>
      <w:r>
        <w:t xml:space="preserve">- Saldo em 12/31/2024: $0 (liquidado integralmente em 11/19/2024; confirmado pelo Relatório de Atividade do Empréstimo (Loan Activity Report))</w:t>
      </w:r>
      <w:r>
        <w:t xml:space="preserve"> </w:t>
      </w:r>
      <w:r>
        <w:t xml:space="preserve">-</w:t>
      </w:r>
      <w:r>
        <w:t xml:space="preserve"> </w:t>
      </w:r>
      <w:r>
        <w:rPr>
          <w:bCs/>
          <w:b/>
        </w:rPr>
        <w:t xml:space="preserve">Saldo médio: ($1,039,488 + $0) ÷ 2 = $519,744</w:t>
      </w:r>
    </w:p>
    <w:p>
      <w:pPr>
        <w:pStyle w:val="BodyText"/>
      </w:pPr>
      <w:r>
        <w:rPr>
          <w:bCs/>
          <w:b/>
        </w:rPr>
        <w:t xml:space="preserve">Radius Financial Group</w:t>
      </w:r>
      <w:r>
        <w:t xml:space="preserve"> </w:t>
      </w:r>
      <w:r>
        <w:t xml:space="preserve">(originado em 11/13/2024):</w:t>
      </w:r>
      <w:r>
        <w:t xml:space="preserve"> </w:t>
      </w:r>
      <w:r>
        <w:t xml:space="preserve">- Saldo em 1/1/2024: $0 (não existia)</w:t>
      </w:r>
      <w:r>
        <w:t xml:space="preserve"> </w:t>
      </w:r>
      <w:r>
        <w:t xml:space="preserve">- Saldo em 12/31/2024: $840,000 (Form 1098, Caixa 2 — saldo de originação)</w:t>
      </w:r>
      <w:r>
        <w:t xml:space="preserve"> </w:t>
      </w:r>
      <w:r>
        <w:t xml:space="preserve">-</w:t>
      </w:r>
      <w:r>
        <w:t xml:space="preserve"> </w:t>
      </w:r>
      <w:r>
        <w:rPr>
          <w:bCs/>
          <w:b/>
        </w:rPr>
        <w:t xml:space="preserve">Saldo médio: ($0 + $840,000) ÷ 2 = $420,000</w:t>
      </w:r>
    </w:p>
    <w:p>
      <w:r>
        <w:pict>
          <v:rect style="width:0;height:1.5pt" o:hralign="center" o:hrstd="t" o:hr="t"/>
        </w:pict>
      </w:r>
    </w:p>
    <w:bookmarkEnd w:id="41"/>
    <w:bookmarkStart w:id="42" w:name="parte-i-limite-do-empréstimo-qualificado"/>
    <w:p>
      <w:pPr>
        <w:pStyle w:val="Heading3"/>
      </w:pPr>
      <w:r>
        <w:t xml:space="preserve">PARTE I — LIMITE DO EMPRÉSTIMO QUALIFICADO</w:t>
      </w:r>
    </w:p>
    <w:tbl>
      <w:tblPr>
        <w:tblStyle w:val="Table"/>
        <w:tblW w:type="pct" w:w="5000"/>
        <w:tblLook w:firstRow="1" w:lastRow="0" w:firstColumn="0" w:lastColumn="0" w:noHBand="0" w:noVBand="0" w:val="0020"/>
        <w:jc w:val="start"/>
      </w:tblPr>
      <w:tblGrid>
        <w:gridCol w:w="2217"/>
        <w:gridCol w:w="3484"/>
        <w:gridCol w:w="2217"/>
      </w:tblGrid>
      <w:tr>
        <w:trPr>
          <w:tblHeader w:val="true"/>
        </w:trPr>
        <w:tc>
          <w:tcPr/>
          <w:p>
            <w:pPr>
              <w:pStyle w:val="Compact"/>
              <w:jc w:val="left"/>
            </w:pPr>
            <w:r>
              <w:t xml:space="preserve">Linha</w:t>
            </w:r>
          </w:p>
        </w:tc>
        <w:tc>
          <w:tcPr/>
          <w:p>
            <w:pPr>
              <w:pStyle w:val="Compact"/>
              <w:jc w:val="left"/>
            </w:pPr>
            <w:r>
              <w:t xml:space="preserve">Descrição</w:t>
            </w:r>
          </w:p>
        </w:tc>
        <w:tc>
          <w:tcPr/>
          <w:p>
            <w:pPr>
              <w:pStyle w:val="Compact"/>
              <w:jc w:val="left"/>
            </w:pPr>
            <w:r>
              <w:t xml:space="preserve">Valor</w:t>
            </w:r>
          </w:p>
        </w:tc>
      </w:tr>
      <w:tr>
        <w:tc>
          <w:tcPr/>
          <w:p>
            <w:pPr>
              <w:pStyle w:val="Compact"/>
              <w:jc w:val="left"/>
            </w:pPr>
            <w:r>
              <w:rPr>
                <w:bCs/>
                <w:b/>
              </w:rPr>
              <w:t xml:space="preserve">1</w:t>
            </w:r>
          </w:p>
        </w:tc>
        <w:tc>
          <w:tcPr/>
          <w:p>
            <w:pPr>
              <w:pStyle w:val="Compact"/>
              <w:jc w:val="left"/>
            </w:pPr>
            <w:r>
              <w:t xml:space="preserve">Saldo médio de toda dívida com garantia anterior (contraída antes de 10/14/1987)</w:t>
            </w:r>
          </w:p>
        </w:tc>
        <w:tc>
          <w:tcPr/>
          <w:p>
            <w:pPr>
              <w:pStyle w:val="Compact"/>
              <w:jc w:val="left"/>
            </w:pPr>
            <w:r>
              <w:rPr>
                <w:bCs/>
                <w:b/>
              </w:rPr>
              <w:t xml:space="preserve">$0</w:t>
            </w:r>
          </w:p>
        </w:tc>
      </w:tr>
      <w:tr>
        <w:tc>
          <w:tcPr/>
          <w:p>
            <w:pPr>
              <w:pStyle w:val="Compact"/>
              <w:jc w:val="left"/>
            </w:pPr>
            <w:r>
              <w:rPr>
                <w:bCs/>
                <w:b/>
              </w:rPr>
              <w:t xml:space="preserve">2</w:t>
            </w:r>
          </w:p>
        </w:tc>
        <w:tc>
          <w:tcPr/>
          <w:p>
            <w:pPr>
              <w:pStyle w:val="Compact"/>
              <w:jc w:val="left"/>
            </w:pPr>
            <w:r>
              <w:t xml:space="preserve">Saldo médio de toda dívida de aquisição de imóvel residencial contraída após 10/13/1987 e antes de 12/16/2017</w:t>
            </w:r>
          </w:p>
        </w:tc>
        <w:tc>
          <w:tcPr/>
          <w:p>
            <w:pPr>
              <w:pStyle w:val="Compact"/>
              <w:jc w:val="left"/>
            </w:pPr>
            <w:r>
              <w:rPr>
                <w:bCs/>
                <w:b/>
              </w:rPr>
              <w:t xml:space="preserve">$0</w:t>
            </w:r>
          </w:p>
        </w:tc>
      </w:tr>
      <w:tr>
        <w:tc>
          <w:tcPr/>
          <w:p>
            <w:pPr>
              <w:pStyle w:val="Compact"/>
              <w:jc w:val="left"/>
            </w:pPr>
            <w:r>
              <w:rPr>
                <w:bCs/>
                <w:b/>
              </w:rPr>
              <w:t xml:space="preserve">3</w:t>
            </w:r>
          </w:p>
        </w:tc>
        <w:tc>
          <w:tcPr/>
          <w:p>
            <w:pPr>
              <w:pStyle w:val="Compact"/>
              <w:jc w:val="left"/>
            </w:pPr>
            <w:r>
              <w:t xml:space="preserve">Inserir $1,000,000 ($500,000 para contribuintes casados que declaram separadamente)</w:t>
            </w:r>
          </w:p>
        </w:tc>
        <w:tc>
          <w:tcPr/>
          <w:p>
            <w:pPr>
              <w:pStyle w:val="Compact"/>
              <w:jc w:val="left"/>
            </w:pPr>
            <w:r>
              <w:t xml:space="preserve">$1,000,000</w:t>
            </w:r>
          </w:p>
        </w:tc>
      </w:tr>
      <w:tr>
        <w:tc>
          <w:tcPr/>
          <w:p>
            <w:pPr>
              <w:pStyle w:val="Compact"/>
              <w:jc w:val="left"/>
            </w:pPr>
            <w:r>
              <w:rPr>
                <w:bCs/>
                <w:b/>
              </w:rPr>
              <w:t xml:space="preserve">4</w:t>
            </w:r>
          </w:p>
        </w:tc>
        <w:tc>
          <w:tcPr/>
          <w:p>
            <w:pPr>
              <w:pStyle w:val="Compact"/>
              <w:jc w:val="left"/>
            </w:pPr>
            <w:r>
              <w:t xml:space="preserve">O maior entre a Linha 1 e a Linha 3</w:t>
            </w:r>
          </w:p>
        </w:tc>
        <w:tc>
          <w:tcPr/>
          <w:p>
            <w:pPr>
              <w:pStyle w:val="Compact"/>
              <w:jc w:val="left"/>
            </w:pPr>
            <w:r>
              <w:t xml:space="preserve">$1,000,000</w:t>
            </w:r>
          </w:p>
        </w:tc>
      </w:tr>
      <w:tr>
        <w:tc>
          <w:tcPr/>
          <w:p>
            <w:pPr>
              <w:pStyle w:val="Compact"/>
              <w:jc w:val="left"/>
            </w:pPr>
            <w:r>
              <w:rPr>
                <w:bCs/>
                <w:b/>
              </w:rPr>
              <w:t xml:space="preserve">5</w:t>
            </w:r>
          </w:p>
        </w:tc>
        <w:tc>
          <w:tcPr/>
          <w:p>
            <w:pPr>
              <w:pStyle w:val="Compact"/>
              <w:jc w:val="left"/>
            </w:pPr>
            <w:r>
              <w:t xml:space="preserve">Linhas 1 + 2</w:t>
            </w:r>
          </w:p>
        </w:tc>
        <w:tc>
          <w:tcPr/>
          <w:p>
            <w:pPr>
              <w:pStyle w:val="Compact"/>
              <w:jc w:val="left"/>
            </w:pPr>
            <w:r>
              <w:rPr>
                <w:bCs/>
                <w:b/>
              </w:rPr>
              <w:t xml:space="preserve">$0</w:t>
            </w:r>
          </w:p>
        </w:tc>
      </w:tr>
      <w:tr>
        <w:tc>
          <w:tcPr/>
          <w:p>
            <w:pPr>
              <w:pStyle w:val="Compact"/>
              <w:jc w:val="left"/>
            </w:pPr>
            <w:r>
              <w:rPr>
                <w:bCs/>
                <w:b/>
              </w:rPr>
              <w:t xml:space="preserve">6</w:t>
            </w:r>
          </w:p>
        </w:tc>
        <w:tc>
          <w:tcPr/>
          <w:p>
            <w:pPr>
              <w:pStyle w:val="Compact"/>
              <w:jc w:val="left"/>
            </w:pPr>
            <w:r>
              <w:t xml:space="preserve">O menor entre a Linha 4 e a Linha 5</w:t>
            </w:r>
          </w:p>
        </w:tc>
        <w:tc>
          <w:tcPr/>
          <w:p>
            <w:pPr>
              <w:pStyle w:val="Compact"/>
              <w:jc w:val="left"/>
            </w:pPr>
            <w:r>
              <w:rPr>
                <w:bCs/>
                <w:b/>
              </w:rPr>
              <w:t xml:space="preserve">$0</w:t>
            </w:r>
          </w:p>
        </w:tc>
      </w:tr>
    </w:tbl>
    <w:p>
      <w:pPr>
        <w:pStyle w:val="BodyText"/>
      </w:pPr>
      <w:r>
        <w:t xml:space="preserve">→ Existe dívida de aquisição de imóvel residencial contraída após 12/15/2017.</w:t>
      </w:r>
      <w:r>
        <w:t xml:space="preserve"> </w:t>
      </w:r>
      <w:r>
        <w:rPr>
          <w:bCs/>
          <w:b/>
        </w:rPr>
        <w:t xml:space="preserve">IR PARA A LINHA 7.</w:t>
      </w:r>
    </w:p>
    <w:tbl>
      <w:tblPr>
        <w:tblStyle w:val="Table"/>
        <w:tblW w:type="pct" w:w="5000"/>
        <w:tblLook w:firstRow="1" w:lastRow="0" w:firstColumn="0" w:lastColumn="0" w:noHBand="0" w:noVBand="0" w:val="0020"/>
        <w:jc w:val="start"/>
      </w:tblPr>
      <w:tblGrid>
        <w:gridCol w:w="2217"/>
        <w:gridCol w:w="3484"/>
        <w:gridCol w:w="2217"/>
      </w:tblGrid>
      <w:tr>
        <w:trPr>
          <w:tblHeader w:val="true"/>
        </w:trPr>
        <w:tc>
          <w:tcPr/>
          <w:p>
            <w:pPr>
              <w:pStyle w:val="Compact"/>
              <w:jc w:val="left"/>
            </w:pPr>
            <w:r>
              <w:t xml:space="preserve">Linha</w:t>
            </w:r>
          </w:p>
        </w:tc>
        <w:tc>
          <w:tcPr/>
          <w:p>
            <w:pPr>
              <w:pStyle w:val="Compact"/>
              <w:jc w:val="left"/>
            </w:pPr>
            <w:r>
              <w:t xml:space="preserve">Descrição</w:t>
            </w:r>
          </w:p>
        </w:tc>
        <w:tc>
          <w:tcPr/>
          <w:p>
            <w:pPr>
              <w:pStyle w:val="Compact"/>
              <w:jc w:val="left"/>
            </w:pPr>
            <w:r>
              <w:t xml:space="preserve">Valor</w:t>
            </w:r>
          </w:p>
        </w:tc>
      </w:tr>
      <w:tr>
        <w:tc>
          <w:tcPr/>
          <w:p>
            <w:pPr>
              <w:pStyle w:val="Compact"/>
              <w:jc w:val="left"/>
            </w:pPr>
            <w:r>
              <w:rPr>
                <w:bCs/>
                <w:b/>
              </w:rPr>
              <w:t xml:space="preserve">7</w:t>
            </w:r>
          </w:p>
        </w:tc>
        <w:tc>
          <w:tcPr/>
          <w:p>
            <w:pPr>
              <w:pStyle w:val="Compact"/>
              <w:jc w:val="left"/>
            </w:pPr>
            <w:r>
              <w:t xml:space="preserve">Saldo médio de TODA dívida de aquisição de imóvel residencial posterior a 12/15/2017</w:t>
            </w:r>
          </w:p>
        </w:tc>
        <w:tc>
          <w:tcPr/>
          <w:p>
            <w:pPr>
              <w:pStyle w:val="Compact"/>
            </w:pPr>
          </w:p>
        </w:tc>
      </w:tr>
      <w:tr>
        <w:tc>
          <w:tcPr/>
          <w:p>
            <w:pPr>
              <w:pStyle w:val="Compact"/>
            </w:pPr>
          </w:p>
        </w:tc>
        <w:tc>
          <w:tcPr/>
          <w:p>
            <w:pPr>
              <w:pStyle w:val="Compact"/>
              <w:jc w:val="left"/>
            </w:pPr>
            <w:r>
              <w:t xml:space="preserve">AmWest: $519,744</w:t>
            </w:r>
          </w:p>
        </w:tc>
        <w:tc>
          <w:tcPr/>
          <w:p>
            <w:pPr>
              <w:pStyle w:val="Compact"/>
            </w:pPr>
          </w:p>
        </w:tc>
      </w:tr>
      <w:tr>
        <w:tc>
          <w:tcPr/>
          <w:p>
            <w:pPr>
              <w:pStyle w:val="Compact"/>
            </w:pPr>
          </w:p>
        </w:tc>
        <w:tc>
          <w:tcPr/>
          <w:p>
            <w:pPr>
              <w:pStyle w:val="Compact"/>
              <w:jc w:val="left"/>
            </w:pPr>
            <w:r>
              <w:t xml:space="preserve">Radius: $420,000</w:t>
            </w:r>
          </w:p>
        </w:tc>
        <w:tc>
          <w:tcPr/>
          <w:p>
            <w:pPr>
              <w:pStyle w:val="Compact"/>
            </w:pPr>
          </w:p>
        </w:tc>
      </w:tr>
      <w:tr>
        <w:tc>
          <w:tcPr/>
          <w:p>
            <w:pPr>
              <w:pStyle w:val="Compact"/>
            </w:pPr>
          </w:p>
        </w:tc>
        <w:tc>
          <w:tcPr/>
          <w:p>
            <w:pPr>
              <w:pStyle w:val="Compact"/>
              <w:jc w:val="left"/>
            </w:pPr>
            <w:r>
              <w:rPr>
                <w:bCs/>
                <w:b/>
              </w:rPr>
              <w:t xml:space="preserve">Total Linha 7:</w:t>
            </w:r>
          </w:p>
        </w:tc>
        <w:tc>
          <w:tcPr/>
          <w:p>
            <w:pPr>
              <w:pStyle w:val="Compact"/>
              <w:jc w:val="left"/>
            </w:pPr>
            <w:r>
              <w:rPr>
                <w:bCs/>
                <w:b/>
              </w:rPr>
              <w:t xml:space="preserve">$939,744</w:t>
            </w:r>
          </w:p>
        </w:tc>
      </w:tr>
      <w:tr>
        <w:tc>
          <w:tcPr/>
          <w:p>
            <w:pPr>
              <w:pStyle w:val="Compact"/>
              <w:jc w:val="left"/>
            </w:pPr>
            <w:r>
              <w:rPr>
                <w:bCs/>
                <w:b/>
              </w:rPr>
              <w:t xml:space="preserve">8</w:t>
            </w:r>
          </w:p>
        </w:tc>
        <w:tc>
          <w:tcPr/>
          <w:p>
            <w:pPr>
              <w:pStyle w:val="Compact"/>
              <w:jc w:val="left"/>
            </w:pPr>
            <w:r>
              <w:t xml:space="preserve">Inserir $750,000 ($375,000 para contribuintes casados que declaram separadamente)</w:t>
            </w:r>
          </w:p>
        </w:tc>
        <w:tc>
          <w:tcPr/>
          <w:p>
            <w:pPr>
              <w:pStyle w:val="Compact"/>
              <w:jc w:val="left"/>
            </w:pPr>
            <w:r>
              <w:t xml:space="preserve">$750,000</w:t>
            </w:r>
          </w:p>
        </w:tc>
      </w:tr>
      <w:tr>
        <w:tc>
          <w:tcPr/>
          <w:p>
            <w:pPr>
              <w:pStyle w:val="Compact"/>
              <w:jc w:val="left"/>
            </w:pPr>
            <w:r>
              <w:rPr>
                <w:bCs/>
                <w:b/>
              </w:rPr>
              <w:t xml:space="preserve">9</w:t>
            </w:r>
          </w:p>
        </w:tc>
        <w:tc>
          <w:tcPr/>
          <w:p>
            <w:pPr>
              <w:pStyle w:val="Compact"/>
              <w:jc w:val="left"/>
            </w:pPr>
            <w:r>
              <w:t xml:space="preserve">O maior entre a Linha 6 ($0) e a Linha 8 ($750,000)</w:t>
            </w:r>
          </w:p>
        </w:tc>
        <w:tc>
          <w:tcPr/>
          <w:p>
            <w:pPr>
              <w:pStyle w:val="Compact"/>
              <w:jc w:val="left"/>
            </w:pPr>
            <w:r>
              <w:rPr>
                <w:bCs/>
                <w:b/>
              </w:rPr>
              <w:t xml:space="preserve">$750,000</w:t>
            </w:r>
          </w:p>
        </w:tc>
      </w:tr>
      <w:tr>
        <w:tc>
          <w:tcPr/>
          <w:p>
            <w:pPr>
              <w:pStyle w:val="Compact"/>
              <w:jc w:val="left"/>
            </w:pPr>
            <w:r>
              <w:rPr>
                <w:bCs/>
                <w:b/>
              </w:rPr>
              <w:t xml:space="preserve">10</w:t>
            </w:r>
          </w:p>
        </w:tc>
        <w:tc>
          <w:tcPr/>
          <w:p>
            <w:pPr>
              <w:pStyle w:val="Compact"/>
              <w:jc w:val="left"/>
            </w:pPr>
            <w:r>
              <w:t xml:space="preserve">Linha 6 + Linha 7 = $0 + $939,744</w:t>
            </w:r>
          </w:p>
        </w:tc>
        <w:tc>
          <w:tcPr/>
          <w:p>
            <w:pPr>
              <w:pStyle w:val="Compact"/>
              <w:jc w:val="left"/>
            </w:pPr>
            <w:r>
              <w:rPr>
                <w:bCs/>
                <w:b/>
              </w:rPr>
              <w:t xml:space="preserve">$939,744</w:t>
            </w:r>
          </w:p>
        </w:tc>
      </w:tr>
      <w:tr>
        <w:tc>
          <w:tcPr/>
          <w:p>
            <w:pPr>
              <w:pStyle w:val="Compact"/>
              <w:jc w:val="left"/>
            </w:pPr>
            <w:r>
              <w:rPr>
                <w:bCs/>
                <w:b/>
              </w:rPr>
              <w:t xml:space="preserve">11</w:t>
            </w:r>
          </w:p>
        </w:tc>
        <w:tc>
          <w:tcPr/>
          <w:p>
            <w:pPr>
              <w:pStyle w:val="Compact"/>
              <w:jc w:val="left"/>
            </w:pPr>
            <w:r>
              <w:t xml:space="preserve">O menor entre a Linha 9 e a Linha 10 —</w:t>
            </w:r>
            <w:r>
              <w:t xml:space="preserve"> </w:t>
            </w:r>
            <w:r>
              <w:rPr>
                <w:bCs/>
                <w:b/>
              </w:rPr>
              <w:t xml:space="preserve">ESTE É O SEU LIMITE DO EMPRÉSTIMO QUALIFICADO</w:t>
            </w:r>
          </w:p>
        </w:tc>
        <w:tc>
          <w:tcPr/>
          <w:p>
            <w:pPr>
              <w:pStyle w:val="Compact"/>
              <w:jc w:val="left"/>
            </w:pPr>
            <w:r>
              <w:rPr>
                <w:bCs/>
                <w:b/>
              </w:rPr>
              <w:t xml:space="preserve">$750,000</w:t>
            </w:r>
          </w:p>
        </w:tc>
      </w:tr>
    </w:tbl>
    <w:p>
      <w:r>
        <w:pict>
          <v:rect style="width:0;height:1.5pt" o:hralign="center" o:hrstd="t" o:hr="t"/>
        </w:pict>
      </w:r>
    </w:p>
    <w:bookmarkEnd w:id="42"/>
    <w:bookmarkStart w:id="43" w:name="X25078a0371bb57232364382ef4f5c8c4464871c"/>
    <w:p>
      <w:pPr>
        <w:pStyle w:val="Heading3"/>
      </w:pPr>
      <w:r>
        <w:t xml:space="preserve">PARTE II — JUROS HIPOTECÁRIOS RESIDENCIAIS DEDUTÍVEIS</w:t>
      </w:r>
    </w:p>
    <w:tbl>
      <w:tblPr>
        <w:tblStyle w:val="Table"/>
        <w:tblW w:type="pct" w:w="5000"/>
        <w:tblLook w:firstRow="1" w:lastRow="0" w:firstColumn="0" w:lastColumn="0" w:noHBand="0" w:noVBand="0" w:val="0020"/>
        <w:jc w:val="start"/>
      </w:tblPr>
      <w:tblGrid>
        <w:gridCol w:w="1630"/>
        <w:gridCol w:w="2562"/>
        <w:gridCol w:w="2096"/>
        <w:gridCol w:w="1630"/>
      </w:tblGrid>
      <w:tr>
        <w:trPr>
          <w:tblHeader w:val="true"/>
        </w:trPr>
        <w:tc>
          <w:tcPr/>
          <w:p>
            <w:pPr>
              <w:pStyle w:val="Compact"/>
              <w:jc w:val="left"/>
            </w:pPr>
            <w:r>
              <w:t xml:space="preserve">Linha</w:t>
            </w:r>
          </w:p>
        </w:tc>
        <w:tc>
          <w:tcPr/>
          <w:p>
            <w:pPr>
              <w:pStyle w:val="Compact"/>
              <w:jc w:val="left"/>
            </w:pPr>
            <w:r>
              <w:t xml:space="preserve">Descrição</w:t>
            </w:r>
          </w:p>
        </w:tc>
        <w:tc>
          <w:tcPr/>
          <w:p>
            <w:pPr>
              <w:pStyle w:val="Compact"/>
              <w:jc w:val="left"/>
            </w:pPr>
            <w:r>
              <w:t xml:space="preserve">Cálculo</w:t>
            </w:r>
          </w:p>
        </w:tc>
        <w:tc>
          <w:tcPr/>
          <w:p>
            <w:pPr>
              <w:pStyle w:val="Compact"/>
              <w:jc w:val="left"/>
            </w:pPr>
            <w:r>
              <w:t xml:space="preserve">Valor</w:t>
            </w:r>
          </w:p>
        </w:tc>
      </w:tr>
      <w:tr>
        <w:tc>
          <w:tcPr/>
          <w:p>
            <w:pPr>
              <w:pStyle w:val="Compact"/>
              <w:jc w:val="left"/>
            </w:pPr>
            <w:r>
              <w:rPr>
                <w:bCs/>
                <w:b/>
              </w:rPr>
              <w:t xml:space="preserve">12</w:t>
            </w:r>
          </w:p>
        </w:tc>
        <w:tc>
          <w:tcPr/>
          <w:p>
            <w:pPr>
              <w:pStyle w:val="Compact"/>
              <w:jc w:val="left"/>
            </w:pPr>
            <w:r>
              <w:t xml:space="preserve">Total dos saldos médios de todos os financiamentos hipotecários (Linhas 1, 2 e 7)</w:t>
            </w:r>
          </w:p>
        </w:tc>
        <w:tc>
          <w:tcPr/>
          <w:p>
            <w:pPr>
              <w:pStyle w:val="Compact"/>
              <w:jc w:val="left"/>
            </w:pPr>
            <w:r>
              <w:t xml:space="preserve">$0 + $0 + $939,744</w:t>
            </w:r>
          </w:p>
        </w:tc>
        <w:tc>
          <w:tcPr/>
          <w:p>
            <w:pPr>
              <w:pStyle w:val="Compact"/>
              <w:jc w:val="left"/>
            </w:pPr>
            <w:r>
              <w:rPr>
                <w:bCs/>
                <w:b/>
              </w:rPr>
              <w:t xml:space="preserve">$939,744</w:t>
            </w:r>
          </w:p>
        </w:tc>
      </w:tr>
    </w:tbl>
    <w:p>
      <w:pPr>
        <w:pStyle w:val="BodyText"/>
      </w:pPr>
      <w:r>
        <w:t xml:space="preserve">→ A Linha 11 ($750,000)</w:t>
      </w:r>
      <w:r>
        <w:t xml:space="preserve"> </w:t>
      </w:r>
      <w:r>
        <w:rPr>
          <w:bCs/>
          <w:b/>
        </w:rPr>
        <w:t xml:space="preserve">é inferior à</w:t>
      </w:r>
      <w:r>
        <w:t xml:space="preserve"> </w:t>
      </w:r>
      <w:r>
        <w:t xml:space="preserve">Linha 12 ($939,744).</w:t>
      </w:r>
      <w:r>
        <w:t xml:space="preserve"> </w:t>
      </w:r>
      <w:r>
        <w:rPr>
          <w:bCs/>
          <w:b/>
        </w:rPr>
        <w:t xml:space="preserve">IR PARA A LINHA 13.</w:t>
      </w:r>
    </w:p>
    <w:tbl>
      <w:tblPr>
        <w:tblStyle w:val="Table"/>
        <w:tblW w:type="pct" w:w="5000"/>
        <w:tblLook w:firstRow="1" w:lastRow="0" w:firstColumn="0" w:lastColumn="0" w:noHBand="0" w:noVBand="0" w:val="0020"/>
        <w:jc w:val="start"/>
      </w:tblPr>
      <w:tblGrid>
        <w:gridCol w:w="1630"/>
        <w:gridCol w:w="2562"/>
        <w:gridCol w:w="2096"/>
        <w:gridCol w:w="1630"/>
      </w:tblGrid>
      <w:tr>
        <w:trPr>
          <w:tblHeader w:val="true"/>
        </w:trPr>
        <w:tc>
          <w:tcPr/>
          <w:p>
            <w:pPr>
              <w:pStyle w:val="Compact"/>
              <w:jc w:val="left"/>
            </w:pPr>
            <w:r>
              <w:t xml:space="preserve">Linha</w:t>
            </w:r>
          </w:p>
        </w:tc>
        <w:tc>
          <w:tcPr/>
          <w:p>
            <w:pPr>
              <w:pStyle w:val="Compact"/>
              <w:jc w:val="left"/>
            </w:pPr>
            <w:r>
              <w:t xml:space="preserve">Descrição</w:t>
            </w:r>
          </w:p>
        </w:tc>
        <w:tc>
          <w:tcPr/>
          <w:p>
            <w:pPr>
              <w:pStyle w:val="Compact"/>
              <w:jc w:val="left"/>
            </w:pPr>
            <w:r>
              <w:t xml:space="preserve">Cálculo</w:t>
            </w:r>
          </w:p>
        </w:tc>
        <w:tc>
          <w:tcPr/>
          <w:p>
            <w:pPr>
              <w:pStyle w:val="Compact"/>
              <w:jc w:val="left"/>
            </w:pPr>
            <w:r>
              <w:t xml:space="preserve">Valor</w:t>
            </w:r>
          </w:p>
        </w:tc>
      </w:tr>
      <w:tr>
        <w:tc>
          <w:tcPr/>
          <w:p>
            <w:pPr>
              <w:pStyle w:val="Compact"/>
              <w:jc w:val="left"/>
            </w:pPr>
            <w:r>
              <w:rPr>
                <w:bCs/>
                <w:b/>
              </w:rPr>
              <w:t xml:space="preserve">13</w:t>
            </w:r>
          </w:p>
        </w:tc>
        <w:tc>
          <w:tcPr/>
          <w:p>
            <w:pPr>
              <w:pStyle w:val="Compact"/>
              <w:jc w:val="left"/>
            </w:pPr>
            <w:r>
              <w:t xml:space="preserve">Total de juros pagos em todos os financiamentos hipotecários (NÃO incluir pontos hipotecários (points) nem prêmios de seguro hipotecário)</w:t>
            </w:r>
          </w:p>
        </w:tc>
        <w:tc>
          <w:tcPr/>
          <w:p>
            <w:pPr>
              <w:pStyle w:val="Compact"/>
              <w:jc w:val="left"/>
            </w:pPr>
            <w:r>
              <w:t xml:space="preserve">AmWest $95,134 + Radius $1,870</w:t>
            </w:r>
          </w:p>
        </w:tc>
        <w:tc>
          <w:tcPr/>
          <w:p>
            <w:pPr>
              <w:pStyle w:val="Compact"/>
              <w:jc w:val="left"/>
            </w:pPr>
            <w:r>
              <w:rPr>
                <w:bCs/>
                <w:b/>
              </w:rPr>
              <w:t xml:space="preserve">$97,004</w:t>
            </w:r>
          </w:p>
        </w:tc>
      </w:tr>
      <w:tr>
        <w:tc>
          <w:tcPr/>
          <w:p>
            <w:pPr>
              <w:pStyle w:val="Compact"/>
              <w:jc w:val="left"/>
            </w:pPr>
            <w:r>
              <w:rPr>
                <w:bCs/>
                <w:b/>
              </w:rPr>
              <w:t xml:space="preserve">14</w:t>
            </w:r>
          </w:p>
        </w:tc>
        <w:tc>
          <w:tcPr/>
          <w:p>
            <w:pPr>
              <w:pStyle w:val="Compact"/>
              <w:jc w:val="left"/>
            </w:pPr>
            <w:r>
              <w:t xml:space="preserve">Linha 11 ÷ Linha 12 (arredondado para três casas decimais)</w:t>
            </w:r>
          </w:p>
        </w:tc>
        <w:tc>
          <w:tcPr/>
          <w:p>
            <w:pPr>
              <w:pStyle w:val="Compact"/>
              <w:jc w:val="left"/>
            </w:pPr>
            <w:r>
              <w:t xml:space="preserve">$750,000 ÷ $939,744</w:t>
            </w:r>
          </w:p>
        </w:tc>
        <w:tc>
          <w:tcPr/>
          <w:p>
            <w:pPr>
              <w:pStyle w:val="Compact"/>
              <w:jc w:val="left"/>
            </w:pPr>
            <w:r>
              <w:rPr>
                <w:bCs/>
                <w:b/>
              </w:rPr>
              <w:t xml:space="preserve">0.798</w:t>
            </w:r>
          </w:p>
        </w:tc>
      </w:tr>
      <w:tr>
        <w:tc>
          <w:tcPr/>
          <w:p>
            <w:pPr>
              <w:pStyle w:val="Compact"/>
              <w:jc w:val="left"/>
            </w:pPr>
            <w:r>
              <w:rPr>
                <w:bCs/>
                <w:b/>
              </w:rPr>
              <w:t xml:space="preserve">15</w:t>
            </w:r>
          </w:p>
        </w:tc>
        <w:tc>
          <w:tcPr/>
          <w:p>
            <w:pPr>
              <w:pStyle w:val="Compact"/>
              <w:jc w:val="left"/>
            </w:pPr>
            <w:r>
              <w:t xml:space="preserve">Linha 13 × Linha 14 —</w:t>
            </w:r>
            <w:r>
              <w:t xml:space="preserve"> </w:t>
            </w:r>
            <w:r>
              <w:rPr>
                <w:bCs/>
                <w:b/>
              </w:rPr>
              <w:t xml:space="preserve">ESTES SÃO OS SEUS JUROS HIPOTECÁRIOS RESIDENCIAIS DEDUTÍVEIS</w:t>
            </w:r>
          </w:p>
        </w:tc>
        <w:tc>
          <w:tcPr/>
          <w:p>
            <w:pPr>
              <w:pStyle w:val="Compact"/>
              <w:jc w:val="left"/>
            </w:pPr>
            <w:r>
              <w:t xml:space="preserve">$97,004 × 0.798</w:t>
            </w:r>
          </w:p>
        </w:tc>
        <w:tc>
          <w:tcPr/>
          <w:p>
            <w:pPr>
              <w:pStyle w:val="Compact"/>
              <w:jc w:val="left"/>
            </w:pPr>
            <w:r>
              <w:rPr>
                <w:bCs/>
                <w:b/>
              </w:rPr>
              <w:t xml:space="preserve">$77,409</w:t>
            </w:r>
          </w:p>
        </w:tc>
      </w:tr>
      <w:tr>
        <w:tc>
          <w:tcPr/>
          <w:p>
            <w:pPr>
              <w:pStyle w:val="Compact"/>
              <w:jc w:val="left"/>
            </w:pPr>
            <w:r>
              <w:rPr>
                <w:bCs/>
                <w:b/>
              </w:rPr>
              <w:t xml:space="preserve">16</w:t>
            </w:r>
          </w:p>
        </w:tc>
        <w:tc>
          <w:tcPr/>
          <w:p>
            <w:pPr>
              <w:pStyle w:val="Compact"/>
              <w:jc w:val="left"/>
            </w:pPr>
            <w:r>
              <w:t xml:space="preserve">Linha 13 − Linha 15 —</w:t>
            </w:r>
            <w:r>
              <w:t xml:space="preserve"> </w:t>
            </w:r>
            <w:r>
              <w:rPr>
                <w:bCs/>
                <w:b/>
              </w:rPr>
              <w:t xml:space="preserve">ESTES NÃO SÃO juros hipotecários residenciais</w:t>
            </w:r>
          </w:p>
        </w:tc>
        <w:tc>
          <w:tcPr/>
          <w:p>
            <w:pPr>
              <w:pStyle w:val="Compact"/>
              <w:jc w:val="left"/>
            </w:pPr>
            <w:r>
              <w:t xml:space="preserve">$97,004 − $77,409</w:t>
            </w:r>
          </w:p>
        </w:tc>
        <w:tc>
          <w:tcPr/>
          <w:p>
            <w:pPr>
              <w:pStyle w:val="Compact"/>
              <w:jc w:val="left"/>
            </w:pPr>
            <w:r>
              <w:rPr>
                <w:bCs/>
                <w:b/>
              </w:rPr>
              <w:t xml:space="preserve">$19,595</w:t>
            </w:r>
          </w:p>
        </w:tc>
      </w:tr>
    </w:tbl>
    <w:p>
      <w:pPr>
        <w:pStyle w:val="BodyText"/>
      </w:pPr>
      <w:r>
        <w:rPr>
          <w:bCs/>
          <w:b/>
        </w:rPr>
        <w:t xml:space="preserve">Inserir $77,409 no Schedule A, Linha 8a (ou 8e).</w:t>
      </w:r>
      <w:r>
        <w:t xml:space="preserve"> </w:t>
      </w:r>
      <w:r>
        <w:rPr>
          <w:bCs/>
          <w:b/>
        </w:rPr>
        <w:t xml:space="preserve">Linha 16 ($19,595) constitui juros pessoais — não dedutíveis nos termos do IRC §163(h)(1).</w:t>
      </w:r>
    </w:p>
    <w:p>
      <w:r>
        <w:pict>
          <v:rect style="width:0;height:1.5pt" o:hralign="center" o:hrstd="t" o:hr="t"/>
        </w:pict>
      </w:r>
    </w:p>
    <w:p>
      <w:r>
        <w:pict>
          <v:rect style="width:0;height:1.5pt" o:hralign="center" o:hrstd="t" o:hr="t"/>
        </w:pict>
      </w:r>
    </w:p>
    <w:bookmarkEnd w:id="43"/>
    <w:bookmarkEnd w:id="44"/>
    <w:bookmarkEnd w:id="45"/>
    <w:bookmarkStart w:id="50" w:name="X261e14c8ea52a9b9354f823ef445f3bcc1a2090"/>
    <w:p>
      <w:pPr>
        <w:pStyle w:val="Heading1"/>
      </w:pPr>
      <w:r>
        <w:t xml:space="preserve">SEÇÃO 4 — ANÁLISE DA DEDUTIBILIDADE DOS PONTOS HIPOTECÁRIOS (POINTS)</w:t>
      </w:r>
    </w:p>
    <w:bookmarkStart w:id="46" w:name="X1973703ecf9f62f3d3fbbd8507f2b76de9fcef1"/>
    <w:p>
      <w:pPr>
        <w:pStyle w:val="Heading2"/>
      </w:pPr>
      <w:r>
        <w:t xml:space="preserve">4A. Fundamento Legal — Pontos hipotecários (points) em Refinanciamento</w:t>
      </w:r>
    </w:p>
    <w:p>
      <w:pPr>
        <w:pStyle w:val="FirstParagraph"/>
      </w:pPr>
      <w:r>
        <w:rPr>
          <w:bCs/>
          <w:b/>
        </w:rPr>
        <w:t xml:space="preserve">IRC §461(g)(2) e Publication 936 do IRS:</w:t>
      </w:r>
      <w:r>
        <w:t xml:space="preserve"> </w:t>
      </w:r>
      <w:r>
        <w:t xml:space="preserve">Os pontos hipotecários (points) pagos em conexão com um financiamento para</w:t>
      </w:r>
      <w:r>
        <w:t xml:space="preserve"> </w:t>
      </w:r>
      <w:r>
        <w:rPr>
          <w:bCs/>
          <w:b/>
        </w:rPr>
        <w:t xml:space="preserve">aquisição de imóvel residencial</w:t>
      </w:r>
      <w:r>
        <w:t xml:space="preserve"> </w:t>
      </w:r>
      <w:r>
        <w:t xml:space="preserve">podem, em geral, ser integralmente deduzidos no ano do pagamento (desde que determinadas condições sejam atendidas — pagamento em espécie no fechamento, não financiamento dos pontos, utilização para compra ou melhoria da residência principal, entre outras).</w:t>
      </w:r>
    </w:p>
    <w:p>
      <w:pPr>
        <w:pStyle w:val="BodyText"/>
      </w:pPr>
      <w:r>
        <w:t xml:space="preserve">Os pontos hipotecários (points) pagos em conexão com um</w:t>
      </w:r>
      <w:r>
        <w:t xml:space="preserve"> </w:t>
      </w:r>
      <w:r>
        <w:rPr>
          <w:bCs/>
          <w:b/>
        </w:rPr>
        <w:t xml:space="preserve">refinanciamento</w:t>
      </w:r>
      <w:r>
        <w:t xml:space="preserve"> </w:t>
      </w:r>
      <w:r>
        <w:t xml:space="preserve">devem ser deduzidos proporcionalmente ao longo da vigência do empréstimo. Não podem ser integralmente deduzidos no ano do pagamento.</w:t>
      </w:r>
    </w:p>
    <w:bookmarkEnd w:id="46"/>
    <w:bookmarkStart w:id="47" w:name="Xd2c2ccceca0ba84958f870b51c74192ab7d2616"/>
    <w:p>
      <w:pPr>
        <w:pStyle w:val="Heading2"/>
      </w:pPr>
      <w:r>
        <w:t xml:space="preserve">4B. Classificação do Empréstimo da Radius Financial Group</w:t>
      </w:r>
    </w:p>
    <w:p>
      <w:pPr>
        <w:pStyle w:val="FirstParagraph"/>
      </w:pPr>
      <w:r>
        <w:t xml:space="preserve">O empréstimo da Radius (originado em 11/13/2024, $840,000) foi utilizado para quitar o financiamento de aquisição da AmWest (liquidado em 11/19/2024). Trata-se de um</w:t>
      </w:r>
      <w:r>
        <w:t xml:space="preserve"> </w:t>
      </w:r>
      <w:r>
        <w:rPr>
          <w:bCs/>
          <w:b/>
        </w:rPr>
        <w:t xml:space="preserve">refinanciamento</w:t>
      </w:r>
      <w:r>
        <w:t xml:space="preserve"> </w:t>
      </w:r>
      <w:r>
        <w:t xml:space="preserve">do financiamento hipotecário original de aquisição do imóvel, e não de uma nova aquisição.</w:t>
      </w:r>
    </w:p>
    <w:p>
      <w:pPr>
        <w:pStyle w:val="BodyText"/>
      </w:pPr>
      <w:r>
        <w:rPr>
          <w:bCs/>
          <w:b/>
        </w:rPr>
        <w:t xml:space="preserve">Evidências do refinanciamento:</w:t>
      </w:r>
      <w:r>
        <w:t xml:space="preserve"> </w:t>
      </w:r>
      <w:r>
        <w:t xml:space="preserve">- O imóvel foi originalmente adquirido em 10/20/2023 com a AmWest</w:t>
      </w:r>
      <w:r>
        <w:t xml:space="preserve"> </w:t>
      </w:r>
      <w:r>
        <w:t xml:space="preserve">- O empréstimo da AmWest foi liquidado 6 dias após a originação da Radius</w:t>
      </w:r>
      <w:r>
        <w:t xml:space="preserve"> </w:t>
      </w:r>
      <w:r>
        <w:t xml:space="preserve">- O saldo da Radius ($840,000) é inferior ao saldo de quitação da AmWest ($1,033,587)</w:t>
      </w:r>
      <w:r>
        <w:t xml:space="preserve"> </w:t>
      </w:r>
      <w:r>
        <w:t xml:space="preserve">- O mesmo imóvel serve de garantia para ambos os empréstimos</w:t>
      </w:r>
      <w:r>
        <w:t xml:space="preserve"> </w:t>
      </w:r>
      <w:r>
        <w:t xml:space="preserve">- Não houve aquisição de novo imóvel em 2024</w:t>
      </w:r>
    </w:p>
    <w:p>
      <w:pPr>
        <w:pStyle w:val="BodyText"/>
      </w:pPr>
      <w:r>
        <w:rPr>
          <w:bCs/>
          <w:b/>
        </w:rPr>
        <w:t xml:space="preserve">Classificação: REFINANCIAMENTO ✓ — Os pontos hipotecários (points) devem ser amortizados nos termos do IRC §461(g)(2)</w:t>
      </w:r>
    </w:p>
    <w:bookmarkEnd w:id="47"/>
    <w:bookmarkStart w:id="48" w:name="Xf0ffe6eadc3fc6e6113e31196b07b1298e93fa7"/>
    <w:p>
      <w:pPr>
        <w:pStyle w:val="Heading2"/>
      </w:pPr>
      <w:r>
        <w:t xml:space="preserve">4C. Cálculo da Amortização dos Pontos Hipotecários (points) — 2024</w:t>
      </w:r>
    </w:p>
    <w:p>
      <w:pPr>
        <w:pStyle w:val="FirstParagraph"/>
      </w:pPr>
      <w:r>
        <w:rPr>
          <w:bCs/>
          <w:b/>
        </w:rPr>
        <w:t xml:space="preserve">Pontos hipotecários (points) confirmados:</w:t>
      </w:r>
      <w:r>
        <w:t xml:space="preserve"> </w:t>
      </w:r>
      <w:r>
        <w:t xml:space="preserve">$18,900 (Form 1098 da Radius, Caixa 6)</w:t>
      </w:r>
      <w:r>
        <w:t xml:space="preserve"> </w:t>
      </w:r>
      <w:r>
        <w:rPr>
          <w:bCs/>
          <w:b/>
        </w:rPr>
        <w:t xml:space="preserve">Prazo do empréstimo:</w:t>
      </w:r>
      <w:r>
        <w:t xml:space="preserve"> </w:t>
      </w:r>
      <w:r>
        <w:t xml:space="preserve">Deve ser confirmado pela Nota Hipotecária (Mortgage Note) da Radius (assumido 30 anos / 360 meses para este cálculo)</w:t>
      </w:r>
      <w:r>
        <w:t xml:space="preserve"> </w:t>
      </w:r>
      <w:r>
        <w:rPr>
          <w:bCs/>
          <w:b/>
        </w:rPr>
        <w:t xml:space="preserve">Data de originação:</w:t>
      </w:r>
      <w:r>
        <w:t xml:space="preserve"> </w:t>
      </w:r>
      <w:r>
        <w:t xml:space="preserve">11/13/2024</w:t>
      </w:r>
      <w:r>
        <w:t xml:space="preserve"> </w:t>
      </w:r>
      <w:r>
        <w:rPr>
          <w:bCs/>
          <w:b/>
        </w:rPr>
        <w:t xml:space="preserve">Meses em 2024:</w:t>
      </w:r>
      <w:r>
        <w:t xml:space="preserve"> </w:t>
      </w:r>
      <w:r>
        <w:t xml:space="preserve">November 13 – December 31, 2024 ≈ 1,57 meses (47 dias ÷ 30)</w:t>
      </w:r>
    </w:p>
    <w:tbl>
      <w:tblPr>
        <w:tblStyle w:val="Table"/>
        <w:tblW w:type="pct" w:w="5000"/>
        <w:tblLook w:firstRow="1" w:lastRow="0" w:firstColumn="0" w:lastColumn="0" w:noHBand="0" w:noVBand="0" w:val="0020"/>
        <w:jc w:val="start"/>
      </w:tblPr>
      <w:tblGrid>
        <w:gridCol w:w="2410"/>
        <w:gridCol w:w="3099"/>
        <w:gridCol w:w="2410"/>
      </w:tblGrid>
      <w:tr>
        <w:trPr>
          <w:tblHeader w:val="true"/>
        </w:trPr>
        <w:tc>
          <w:tcPr/>
          <w:p>
            <w:pPr>
              <w:pStyle w:val="Compact"/>
              <w:jc w:val="left"/>
            </w:pPr>
            <w:r>
              <w:t xml:space="preserve">Etapa</w:t>
            </w:r>
          </w:p>
        </w:tc>
        <w:tc>
          <w:tcPr/>
          <w:p>
            <w:pPr>
              <w:pStyle w:val="Compact"/>
              <w:jc w:val="left"/>
            </w:pPr>
            <w:r>
              <w:t xml:space="preserve">Cálculo</w:t>
            </w:r>
          </w:p>
        </w:tc>
        <w:tc>
          <w:tcPr/>
          <w:p>
            <w:pPr>
              <w:pStyle w:val="Compact"/>
              <w:jc w:val="left"/>
            </w:pPr>
            <w:r>
              <w:t xml:space="preserve">Valor</w:t>
            </w:r>
          </w:p>
        </w:tc>
      </w:tr>
      <w:tr>
        <w:tc>
          <w:tcPr/>
          <w:p>
            <w:pPr>
              <w:pStyle w:val="Compact"/>
              <w:jc w:val="left"/>
            </w:pPr>
            <w:r>
              <w:t xml:space="preserve">Amortização mensal</w:t>
            </w:r>
          </w:p>
        </w:tc>
        <w:tc>
          <w:tcPr/>
          <w:p>
            <w:pPr>
              <w:pStyle w:val="Compact"/>
              <w:jc w:val="left"/>
            </w:pPr>
            <w:r>
              <w:t xml:space="preserve">$18,900 ÷ 360 meses</w:t>
            </w:r>
          </w:p>
        </w:tc>
        <w:tc>
          <w:tcPr/>
          <w:p>
            <w:pPr>
              <w:pStyle w:val="Compact"/>
              <w:jc w:val="left"/>
            </w:pPr>
            <w:r>
              <w:t xml:space="preserve">$52.50</w:t>
            </w:r>
          </w:p>
        </w:tc>
      </w:tr>
      <w:tr>
        <w:tc>
          <w:tcPr/>
          <w:p>
            <w:pPr>
              <w:pStyle w:val="Compact"/>
              <w:jc w:val="left"/>
            </w:pPr>
            <w:r>
              <w:t xml:space="preserve">Meses em 2024 (≈1,57)</w:t>
            </w:r>
          </w:p>
        </w:tc>
        <w:tc>
          <w:tcPr/>
          <w:p>
            <w:pPr>
              <w:pStyle w:val="Compact"/>
              <w:jc w:val="left"/>
            </w:pPr>
            <w:r>
              <w:t xml:space="preserve">$52.50 × 1,57</w:t>
            </w:r>
          </w:p>
        </w:tc>
        <w:tc>
          <w:tcPr/>
          <w:p>
            <w:pPr>
              <w:pStyle w:val="Compact"/>
              <w:jc w:val="left"/>
            </w:pPr>
            <w:r>
              <w:t xml:space="preserve">$82.43</w:t>
            </w:r>
          </w:p>
        </w:tc>
      </w:tr>
      <w:tr>
        <w:tc>
          <w:tcPr/>
          <w:p>
            <w:pPr>
              <w:pStyle w:val="Compact"/>
              <w:jc w:val="left"/>
            </w:pPr>
            <w:r>
              <w:t xml:space="preserve">Proporção do limite do empréstimo (×0.798)</w:t>
            </w:r>
          </w:p>
        </w:tc>
        <w:tc>
          <w:tcPr/>
          <w:p>
            <w:pPr>
              <w:pStyle w:val="Compact"/>
              <w:jc w:val="left"/>
            </w:pPr>
            <w:r>
              <w:t xml:space="preserve">$82.43 × 0.798</w:t>
            </w:r>
          </w:p>
        </w:tc>
        <w:tc>
          <w:tcPr/>
          <w:p>
            <w:pPr>
              <w:pStyle w:val="Compact"/>
              <w:jc w:val="left"/>
            </w:pPr>
            <w:r>
              <w:rPr>
                <w:bCs/>
                <w:b/>
              </w:rPr>
              <w:t xml:space="preserve">$65.78 ≈ $67</w:t>
            </w:r>
          </w:p>
        </w:tc>
      </w:tr>
    </w:tbl>
    <w:p>
      <w:pPr>
        <w:pStyle w:val="BodyText"/>
      </w:pPr>
      <w:r>
        <w:rPr>
          <w:bCs/>
          <w:b/>
        </w:rPr>
        <w:t xml:space="preserve">Pontos hipotecários (points) dedutíveis em 2024: aproximadamente $67</w:t>
      </w:r>
      <w:r>
        <w:t xml:space="preserve"> </w:t>
      </w:r>
      <w:r>
        <w:t xml:space="preserve">(Os $18,833 remanescentes serão deduzidos proporcionalmente ao longo do prazo restante do empréstimo nos exercícios futuros)</w:t>
      </w:r>
    </w:p>
    <w:bookmarkEnd w:id="48"/>
    <w:bookmarkStart w:id="49" w:name="Xc151018d6ed0e225d888a663d314c20c36a8d58"/>
    <w:p>
      <w:pPr>
        <w:pStyle w:val="Heading2"/>
      </w:pPr>
      <w:r>
        <w:t xml:space="preserve">4D. Comparação — Dedução de Pontos Hipotecários (points) Declarada vs. Correta</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Tratamento</w:t>
            </w:r>
          </w:p>
        </w:tc>
        <w:tc>
          <w:tcPr/>
          <w:p>
            <w:pPr>
              <w:pStyle w:val="Compact"/>
              <w:jc w:val="left"/>
            </w:pPr>
            <w:r>
              <w:t xml:space="preserve">Pontos hipotecários (points) Deduzidos em 2024</w:t>
            </w:r>
          </w:p>
        </w:tc>
      </w:tr>
      <w:tr>
        <w:tc>
          <w:tcPr/>
          <w:p>
            <w:pPr>
              <w:pStyle w:val="Compact"/>
              <w:jc w:val="left"/>
            </w:pPr>
            <w:r>
              <w:t xml:space="preserve">Responsável pela preparação da declaração (conforme declarado)</w:t>
            </w:r>
          </w:p>
        </w:tc>
        <w:tc>
          <w:tcPr/>
          <w:p>
            <w:pPr>
              <w:pStyle w:val="Compact"/>
              <w:jc w:val="left"/>
            </w:pPr>
            <w:r>
              <w:t xml:space="preserve">$18,900 (valor integral — incorreto para refinanciamento)</w:t>
            </w:r>
          </w:p>
        </w:tc>
      </w:tr>
      <w:tr>
        <w:tc>
          <w:tcPr/>
          <w:p>
            <w:pPr>
              <w:pStyle w:val="Compact"/>
              <w:jc w:val="left"/>
            </w:pPr>
            <w:r>
              <w:t xml:space="preserve">Correto (amortizado, ajustado pela proporção)</w:t>
            </w:r>
          </w:p>
        </w:tc>
        <w:tc>
          <w:tcPr/>
          <w:p>
            <w:pPr>
              <w:pStyle w:val="Compact"/>
              <w:jc w:val="left"/>
            </w:pPr>
            <w:r>
              <w:t xml:space="preserve">$67</w:t>
            </w:r>
          </w:p>
        </w:tc>
      </w:tr>
      <w:tr>
        <w:tc>
          <w:tcPr/>
          <w:p>
            <w:pPr>
              <w:pStyle w:val="Compact"/>
              <w:jc w:val="left"/>
            </w:pPr>
            <w:r>
              <w:rPr>
                <w:bCs/>
                <w:b/>
              </w:rPr>
              <w:t xml:space="preserve">Excesso — pontos hipotecários (points)</w:t>
            </w:r>
          </w:p>
        </w:tc>
        <w:tc>
          <w:tcPr/>
          <w:p>
            <w:pPr>
              <w:pStyle w:val="Compact"/>
              <w:jc w:val="left"/>
            </w:pPr>
            <w:r>
              <w:rPr>
                <w:bCs/>
                <w:b/>
              </w:rPr>
              <w:t xml:space="preserve">$18,833</w:t>
            </w:r>
          </w:p>
        </w:tc>
      </w:tr>
    </w:tbl>
    <w:p>
      <w:r>
        <w:pict>
          <v:rect style="width:0;height:1.5pt" o:hralign="center" o:hrstd="t" o:hr="t"/>
        </w:pict>
      </w:r>
    </w:p>
    <w:p>
      <w:r>
        <w:pict>
          <v:rect style="width:0;height:1.5pt" o:hralign="center" o:hrstd="t" o:hr="t"/>
        </w:pict>
      </w:r>
    </w:p>
    <w:bookmarkEnd w:id="49"/>
    <w:bookmarkEnd w:id="50"/>
    <w:bookmarkStart w:id="54" w:name="seção-5-impacto-sobre-o-qbid-form-14997"/>
    <w:p>
      <w:pPr>
        <w:pStyle w:val="Heading1"/>
      </w:pPr>
      <w:r>
        <w:t xml:space="preserve">SEÇÃO 5 — IMPACTO SOBRE O QBID (FORM 14997)</w:t>
      </w:r>
    </w:p>
    <w:p>
      <w:pPr>
        <w:pStyle w:val="FirstParagraph"/>
      </w:pPr>
      <w:r>
        <w:t xml:space="preserve">O IRS incluiu o Form 14997 no pacote de auditoria porque alterações nas deduções do Schedule A afetam a renda tributável, que por sua vez influencia a Dedução de Renda de Negócio Qualificado (QBID) permitida nos termos do IRC §199A.</w:t>
      </w:r>
    </w:p>
    <w:bookmarkStart w:id="51" w:name="X19e1e92688e42e16da7e75624631884085936dc"/>
    <w:p>
      <w:pPr>
        <w:pStyle w:val="Heading2"/>
      </w:pPr>
      <w:r>
        <w:t xml:space="preserve">5A. Renda de Trabalho Autônomo (Schedule 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Valor</w:t>
            </w:r>
          </w:p>
        </w:tc>
      </w:tr>
      <w:tr>
        <w:tc>
          <w:tcPr/>
          <w:p>
            <w:pPr>
              <w:pStyle w:val="Compact"/>
              <w:jc w:val="left"/>
            </w:pPr>
            <w:r>
              <w:t xml:space="preserve">Lucro líquido do Schedule C (Linha 2)</w:t>
            </w:r>
          </w:p>
        </w:tc>
        <w:tc>
          <w:tcPr/>
          <w:p>
            <w:pPr>
              <w:pStyle w:val="Compact"/>
              <w:jc w:val="left"/>
            </w:pPr>
            <w:r>
              <w:t xml:space="preserve">$81,379</w:t>
            </w:r>
          </w:p>
        </w:tc>
      </w:tr>
      <w:tr>
        <w:tc>
          <w:tcPr/>
          <w:p>
            <w:pPr>
              <w:pStyle w:val="Compact"/>
              <w:jc w:val="left"/>
            </w:pPr>
            <w:r>
              <w:t xml:space="preserve">Renda SE (×92,35%)</w:t>
            </w:r>
          </w:p>
        </w:tc>
        <w:tc>
          <w:tcPr/>
          <w:p>
            <w:pPr>
              <w:pStyle w:val="Compact"/>
              <w:jc w:val="left"/>
            </w:pPr>
            <w:r>
              <w:t xml:space="preserve">$75,154</w:t>
            </w:r>
          </w:p>
        </w:tc>
      </w:tr>
      <w:tr>
        <w:tc>
          <w:tcPr/>
          <w:p>
            <w:pPr>
              <w:pStyle w:val="Compact"/>
              <w:jc w:val="left"/>
            </w:pPr>
            <w:r>
              <w:t xml:space="preserve">Imposto SE (Linha 12)</w:t>
            </w:r>
          </w:p>
        </w:tc>
        <w:tc>
          <w:tcPr/>
          <w:p>
            <w:pPr>
              <w:pStyle w:val="Compact"/>
              <w:jc w:val="left"/>
            </w:pPr>
            <w:r>
              <w:t xml:space="preserve">$11,498</w:t>
            </w:r>
          </w:p>
        </w:tc>
      </w:tr>
      <w:tr>
        <w:tc>
          <w:tcPr/>
          <w:p>
            <w:pPr>
              <w:pStyle w:val="Compact"/>
              <w:jc w:val="left"/>
            </w:pPr>
            <w:r>
              <w:t xml:space="preserve">Dedução SE (½ do imposto SE, Form 1040 Linha 10)</w:t>
            </w:r>
          </w:p>
        </w:tc>
        <w:tc>
          <w:tcPr/>
          <w:p>
            <w:pPr>
              <w:pStyle w:val="Compact"/>
              <w:jc w:val="left"/>
            </w:pPr>
            <w:r>
              <w:t xml:space="preserve">$5,749</w:t>
            </w:r>
          </w:p>
        </w:tc>
      </w:tr>
    </w:tbl>
    <w:bookmarkEnd w:id="51"/>
    <w:bookmarkStart w:id="52" w:name="b.-declaração-original-resumo-da-renda"/>
    <w:p>
      <w:pPr>
        <w:pStyle w:val="Heading2"/>
      </w:pPr>
      <w:r>
        <w:t xml:space="preserve">5B. Declaração Original — Resumo da Renda</w:t>
      </w:r>
    </w:p>
    <w:tbl>
      <w:tblPr>
        <w:tblStyle w:val="Table"/>
        <w:tblW w:type="pct" w:w="5000"/>
        <w:tblLook w:firstRow="1" w:lastRow="0" w:firstColumn="0" w:lastColumn="0" w:noHBand="0" w:noVBand="0" w:val="0020"/>
        <w:jc w:val="start"/>
      </w:tblPr>
      <w:tblGrid>
        <w:gridCol w:w="2772"/>
        <w:gridCol w:w="2376"/>
        <w:gridCol w:w="2772"/>
      </w:tblGrid>
      <w:tr>
        <w:trPr>
          <w:tblHeader w:val="true"/>
        </w:trPr>
        <w:tc>
          <w:tcPr/>
          <w:p>
            <w:pPr>
              <w:pStyle w:val="Compact"/>
              <w:jc w:val="left"/>
            </w:pPr>
            <w:r>
              <w:t xml:space="preserve">Linha</w:t>
            </w:r>
          </w:p>
        </w:tc>
        <w:tc>
          <w:tcPr/>
          <w:p>
            <w:pPr>
              <w:pStyle w:val="Compact"/>
              <w:jc w:val="left"/>
            </w:pPr>
            <w:r>
              <w:t xml:space="preserve">Item</w:t>
            </w:r>
          </w:p>
        </w:tc>
        <w:tc>
          <w:tcPr/>
          <w:p>
            <w:pPr>
              <w:pStyle w:val="Compact"/>
              <w:jc w:val="left"/>
            </w:pPr>
            <w:r>
              <w:t xml:space="preserve">Valor</w:t>
            </w:r>
          </w:p>
        </w:tc>
      </w:tr>
      <w:tr>
        <w:tc>
          <w:tcPr/>
          <w:p>
            <w:pPr>
              <w:pStyle w:val="Compact"/>
              <w:jc w:val="left"/>
            </w:pPr>
            <w:r>
              <w:t xml:space="preserve">Form 1040, Linha 8 (renda do Sch 1)</w:t>
            </w:r>
          </w:p>
        </w:tc>
        <w:tc>
          <w:tcPr/>
          <w:p>
            <w:pPr>
              <w:pStyle w:val="Compact"/>
              <w:jc w:val="left"/>
            </w:pPr>
            <w:r>
              <w:t xml:space="preserve">Lucro do Schedule C + outros</w:t>
            </w:r>
          </w:p>
        </w:tc>
        <w:tc>
          <w:tcPr/>
          <w:p>
            <w:pPr>
              <w:pStyle w:val="Compact"/>
              <w:jc w:val="left"/>
            </w:pPr>
            <w:r>
              <w:t xml:space="preserve">$153,838</w:t>
            </w:r>
          </w:p>
        </w:tc>
      </w:tr>
      <w:tr>
        <w:tc>
          <w:tcPr/>
          <w:p>
            <w:pPr>
              <w:pStyle w:val="Compact"/>
              <w:jc w:val="left"/>
            </w:pPr>
            <w:r>
              <w:t xml:space="preserve">Form 1040, Linha 9</w:t>
            </w:r>
          </w:p>
        </w:tc>
        <w:tc>
          <w:tcPr/>
          <w:p>
            <w:pPr>
              <w:pStyle w:val="Compact"/>
              <w:jc w:val="left"/>
            </w:pPr>
            <w:r>
              <w:t xml:space="preserve">Renda total</w:t>
            </w:r>
          </w:p>
        </w:tc>
        <w:tc>
          <w:tcPr/>
          <w:p>
            <w:pPr>
              <w:pStyle w:val="Compact"/>
              <w:jc w:val="left"/>
            </w:pPr>
            <w:r>
              <w:t xml:space="preserve">$153,838</w:t>
            </w:r>
          </w:p>
        </w:tc>
      </w:tr>
      <w:tr>
        <w:tc>
          <w:tcPr/>
          <w:p>
            <w:pPr>
              <w:pStyle w:val="Compact"/>
              <w:jc w:val="left"/>
            </w:pPr>
            <w:r>
              <w:t xml:space="preserve">Form 1040, Linha 10</w:t>
            </w:r>
          </w:p>
        </w:tc>
        <w:tc>
          <w:tcPr/>
          <w:p>
            <w:pPr>
              <w:pStyle w:val="Compact"/>
              <w:jc w:val="left"/>
            </w:pPr>
            <w:r>
              <w:t xml:space="preserve">Ajustes (dedução de ½ do imposto SE)</w:t>
            </w:r>
          </w:p>
        </w:tc>
        <w:tc>
          <w:tcPr/>
          <w:p>
            <w:pPr>
              <w:pStyle w:val="Compact"/>
              <w:jc w:val="left"/>
            </w:pPr>
            <w:r>
              <w:t xml:space="preserve">($5,749)</w:t>
            </w:r>
          </w:p>
        </w:tc>
      </w:tr>
      <w:tr>
        <w:tc>
          <w:tcPr/>
          <w:p>
            <w:pPr>
              <w:pStyle w:val="Compact"/>
              <w:jc w:val="left"/>
            </w:pPr>
            <w:r>
              <w:t xml:space="preserve">Form 1040, Linha 11</w:t>
            </w:r>
          </w:p>
        </w:tc>
        <w:tc>
          <w:tcPr/>
          <w:p>
            <w:pPr>
              <w:pStyle w:val="Compact"/>
              <w:jc w:val="left"/>
            </w:pPr>
            <w:r>
              <w:rPr>
                <w:bCs/>
                <w:b/>
              </w:rPr>
              <w:t xml:space="preserve">AGI — Renda bruta ajustada</w:t>
            </w:r>
          </w:p>
        </w:tc>
        <w:tc>
          <w:tcPr/>
          <w:p>
            <w:pPr>
              <w:pStyle w:val="Compact"/>
              <w:jc w:val="left"/>
            </w:pPr>
            <w:r>
              <w:rPr>
                <w:bCs/>
                <w:b/>
              </w:rPr>
              <w:t xml:space="preserve">$148,089</w:t>
            </w:r>
          </w:p>
        </w:tc>
      </w:tr>
      <w:tr>
        <w:tc>
          <w:tcPr/>
          <w:p>
            <w:pPr>
              <w:pStyle w:val="Compact"/>
              <w:jc w:val="left"/>
            </w:pPr>
            <w:r>
              <w:t xml:space="preserve">Form 1040, Linha 12</w:t>
            </w:r>
          </w:p>
        </w:tc>
        <w:tc>
          <w:tcPr/>
          <w:p>
            <w:pPr>
              <w:pStyle w:val="Compact"/>
              <w:jc w:val="left"/>
            </w:pPr>
            <w:r>
              <w:t xml:space="preserve">Deduções discriminadas do Schedule A</w:t>
            </w:r>
          </w:p>
        </w:tc>
        <w:tc>
          <w:tcPr/>
          <w:p>
            <w:pPr>
              <w:pStyle w:val="Compact"/>
              <w:jc w:val="left"/>
            </w:pPr>
            <w:r>
              <w:t xml:space="preserve">($122,109)</w:t>
            </w:r>
          </w:p>
        </w:tc>
      </w:tr>
      <w:tr>
        <w:tc>
          <w:tcPr/>
          <w:p>
            <w:pPr>
              <w:pStyle w:val="Compact"/>
              <w:jc w:val="left"/>
            </w:pPr>
            <w:r>
              <w:t xml:space="preserve">Form 1040, Linha 13</w:t>
            </w:r>
          </w:p>
        </w:tc>
        <w:tc>
          <w:tcPr/>
          <w:p>
            <w:pPr>
              <w:pStyle w:val="Compact"/>
              <w:jc w:val="left"/>
            </w:pPr>
            <w:r>
              <w:t xml:space="preserve">QBID (Form 8995)</w:t>
            </w:r>
          </w:p>
        </w:tc>
        <w:tc>
          <w:tcPr/>
          <w:p>
            <w:pPr>
              <w:pStyle w:val="Compact"/>
              <w:jc w:val="left"/>
            </w:pPr>
            <w:r>
              <w:t xml:space="preserve">($5,196)</w:t>
            </w:r>
          </w:p>
        </w:tc>
      </w:tr>
      <w:tr>
        <w:tc>
          <w:tcPr/>
          <w:p>
            <w:pPr>
              <w:pStyle w:val="Compact"/>
              <w:jc w:val="left"/>
            </w:pPr>
            <w:r>
              <w:t xml:space="preserve">Form 1040, Linha 14</w:t>
            </w:r>
          </w:p>
        </w:tc>
        <w:tc>
          <w:tcPr/>
          <w:p>
            <w:pPr>
              <w:pStyle w:val="Compact"/>
              <w:jc w:val="left"/>
            </w:pPr>
            <w:r>
              <w:t xml:space="preserve">Total de deduções</w:t>
            </w:r>
          </w:p>
        </w:tc>
        <w:tc>
          <w:tcPr/>
          <w:p>
            <w:pPr>
              <w:pStyle w:val="Compact"/>
              <w:jc w:val="left"/>
            </w:pPr>
            <w:r>
              <w:t xml:space="preserve">($127,305)</w:t>
            </w:r>
          </w:p>
        </w:tc>
      </w:tr>
      <w:tr>
        <w:tc>
          <w:tcPr/>
          <w:p>
            <w:pPr>
              <w:pStyle w:val="Compact"/>
              <w:jc w:val="left"/>
            </w:pPr>
            <w:r>
              <w:t xml:space="preserve">Form 1040, Linha 15</w:t>
            </w:r>
          </w:p>
        </w:tc>
        <w:tc>
          <w:tcPr/>
          <w:p>
            <w:pPr>
              <w:pStyle w:val="Compact"/>
              <w:jc w:val="left"/>
            </w:pPr>
            <w:r>
              <w:rPr>
                <w:bCs/>
                <w:b/>
              </w:rPr>
              <w:t xml:space="preserve">Renda tributável</w:t>
            </w:r>
          </w:p>
        </w:tc>
        <w:tc>
          <w:tcPr/>
          <w:p>
            <w:pPr>
              <w:pStyle w:val="Compact"/>
              <w:jc w:val="left"/>
            </w:pPr>
            <w:r>
              <w:rPr>
                <w:bCs/>
                <w:b/>
              </w:rPr>
              <w:t xml:space="preserve">$20,784</w:t>
            </w:r>
          </w:p>
        </w:tc>
      </w:tr>
    </w:tbl>
    <w:p>
      <w:pPr>
        <w:pStyle w:val="BodyText"/>
      </w:pPr>
      <w:r>
        <w:rPr>
          <w:bCs/>
          <w:b/>
        </w:rPr>
        <w:t xml:space="preserve">Análise do QBID (conforme declarado):</w:t>
      </w:r>
      <w:r>
        <w:t xml:space="preserve"> </w:t>
      </w:r>
      <w:r>
        <w:t xml:space="preserve">- Renda tributável pré-QBID: $20,784 + $5,196 = $25,980</w:t>
      </w:r>
      <w:r>
        <w:t xml:space="preserve"> </w:t>
      </w:r>
      <w:r>
        <w:t xml:space="preserve">- 20% da renda tributável pré-QBID: $25,980 × 20% = $5,196</w:t>
      </w:r>
      <w:r>
        <w:t xml:space="preserve"> </w:t>
      </w:r>
      <w:r>
        <w:t xml:space="preserve">- 20% do QBI ($81,379): $16,276</w:t>
      </w:r>
      <w:r>
        <w:t xml:space="preserve"> </w:t>
      </w:r>
      <w:r>
        <w:t xml:space="preserve">-</w:t>
      </w:r>
      <w:r>
        <w:t xml:space="preserve"> </w:t>
      </w:r>
      <w:r>
        <w:rPr>
          <w:bCs/>
          <w:b/>
        </w:rPr>
        <w:t xml:space="preserve">QBID conforme declarado: $5,196</w:t>
      </w:r>
      <w:r>
        <w:t xml:space="preserve"> </w:t>
      </w:r>
      <w:r>
        <w:t xml:space="preserve">(o limite baseado na renda é a restrição vinculante)</w:t>
      </w:r>
    </w:p>
    <w:bookmarkEnd w:id="52"/>
    <w:bookmarkStart w:id="53" w:name="c.-declaração-corrigida-projeção"/>
    <w:p>
      <w:pPr>
        <w:pStyle w:val="Heading2"/>
      </w:pPr>
      <w:r>
        <w:t xml:space="preserve">5C. Declaração Corrigida — Projeção</w:t>
      </w:r>
    </w:p>
    <w:p>
      <w:pPr>
        <w:pStyle w:val="FirstParagraph"/>
      </w:pPr>
      <w:r>
        <w:t xml:space="preserve">Observação metodológica: O valor da Linha 15 do Form 14900 de $77,409 é obtido a partir do total de juros de $97,004 (AmWest $95,134 + Radius $1,870) multiplicado pela proporção dedutível de 0.798. Portanto, os juros da Radius de $1,870 já estão proporcionalmente incorporados ao valor de $77,409 e não devem ser somados novamente.</w:t>
      </w:r>
    </w:p>
    <w:tbl>
      <w:tblPr>
        <w:tblStyle w:val="Table"/>
        <w:tblW w:type="pct" w:w="5000"/>
        <w:tblLook w:firstRow="1" w:lastRow="0" w:firstColumn="0" w:lastColumn="0" w:noHBand="0" w:noVBand="0" w:val="0020"/>
        <w:jc w:val="start"/>
      </w:tblPr>
      <w:tblGrid>
        <w:gridCol w:w="1011"/>
        <w:gridCol w:w="3370"/>
        <w:gridCol w:w="1853"/>
        <w:gridCol w:w="1685"/>
      </w:tblGrid>
      <w:tr>
        <w:trPr>
          <w:tblHeader w:val="true"/>
        </w:trPr>
        <w:tc>
          <w:tcPr/>
          <w:p>
            <w:pPr>
              <w:pStyle w:val="Compact"/>
              <w:jc w:val="left"/>
            </w:pPr>
            <w:r>
              <w:t xml:space="preserve">Item</w:t>
            </w:r>
          </w:p>
        </w:tc>
        <w:tc>
          <w:tcPr/>
          <w:p>
            <w:pPr>
              <w:pStyle w:val="Compact"/>
              <w:jc w:val="left"/>
            </w:pPr>
            <w:r>
              <w:t xml:space="preserve">Conforme Declarado</w:t>
            </w:r>
          </w:p>
        </w:tc>
        <w:tc>
          <w:tcPr/>
          <w:p>
            <w:pPr>
              <w:pStyle w:val="Compact"/>
              <w:jc w:val="left"/>
            </w:pPr>
            <w:r>
              <w:t xml:space="preserve">Corrigido</w:t>
            </w:r>
          </w:p>
        </w:tc>
        <w:tc>
          <w:tcPr/>
          <w:p>
            <w:pPr>
              <w:pStyle w:val="Compact"/>
              <w:jc w:val="left"/>
            </w:pPr>
            <w:r>
              <w:t xml:space="preserve">Variação</w:t>
            </w:r>
          </w:p>
        </w:tc>
      </w:tr>
      <w:tr>
        <w:tc>
          <w:tcPr/>
          <w:p>
            <w:pPr>
              <w:pStyle w:val="Compact"/>
              <w:jc w:val="left"/>
            </w:pPr>
            <w:r>
              <w:t xml:space="preserve">Dedução de juros hipotecários (Form 14900)</w:t>
            </w:r>
          </w:p>
        </w:tc>
        <w:tc>
          <w:tcPr/>
          <w:p>
            <w:pPr>
              <w:pStyle w:val="Compact"/>
              <w:jc w:val="left"/>
            </w:pPr>
            <w:r>
              <w:t xml:space="preserve">$114,034</w:t>
            </w:r>
          </w:p>
        </w:tc>
        <w:tc>
          <w:tcPr/>
          <w:p>
            <w:pPr>
              <w:pStyle w:val="Compact"/>
              <w:jc w:val="left"/>
            </w:pPr>
            <w:r>
              <w:t xml:space="preserve">$77,409</w:t>
            </w:r>
          </w:p>
        </w:tc>
        <w:tc>
          <w:tcPr/>
          <w:p>
            <w:pPr>
              <w:pStyle w:val="Compact"/>
              <w:jc w:val="left"/>
            </w:pPr>
            <w:r>
              <w:t xml:space="preserve">($36,625)</w:t>
            </w:r>
          </w:p>
        </w:tc>
      </w:tr>
      <w:tr>
        <w:tc>
          <w:tcPr/>
          <w:p>
            <w:pPr>
              <w:pStyle w:val="Compact"/>
              <w:jc w:val="left"/>
            </w:pPr>
            <w:r>
              <w:t xml:space="preserve">Pontos hipotecários (points) dedutíveis da Radius (2024, amortizados)</w:t>
            </w:r>
          </w:p>
        </w:tc>
        <w:tc>
          <w:tcPr/>
          <w:p>
            <w:pPr>
              <w:pStyle w:val="Compact"/>
              <w:jc w:val="left"/>
            </w:pPr>
            <w:r>
              <w:t xml:space="preserve">$0 (embutido nos $18,900)</w:t>
            </w:r>
          </w:p>
        </w:tc>
        <w:tc>
          <w:tcPr/>
          <w:p>
            <w:pPr>
              <w:pStyle w:val="Compact"/>
              <w:jc w:val="left"/>
            </w:pPr>
            <w:r>
              <w:t xml:space="preserve">$67</w:t>
            </w:r>
          </w:p>
        </w:tc>
        <w:tc>
          <w:tcPr/>
          <w:p>
            <w:pPr>
              <w:pStyle w:val="Compact"/>
              <w:jc w:val="left"/>
            </w:pPr>
            <w:r>
              <w:t xml:space="preserve">+$67</w:t>
            </w:r>
          </w:p>
        </w:tc>
      </w:tr>
      <w:tr>
        <w:tc>
          <w:tcPr/>
          <w:p>
            <w:pPr>
              <w:pStyle w:val="Compact"/>
              <w:jc w:val="left"/>
            </w:pPr>
            <w:r>
              <w:rPr>
                <w:bCs/>
                <w:b/>
              </w:rPr>
              <w:t xml:space="preserve">Total da dedução hipotecária corrigida</w:t>
            </w:r>
          </w:p>
        </w:tc>
        <w:tc>
          <w:tcPr/>
          <w:p>
            <w:pPr>
              <w:pStyle w:val="Compact"/>
              <w:jc w:val="left"/>
            </w:pPr>
            <w:r>
              <w:rPr>
                <w:bCs/>
                <w:b/>
              </w:rPr>
              <w:t xml:space="preserve">$114,034</w:t>
            </w:r>
          </w:p>
        </w:tc>
        <w:tc>
          <w:tcPr/>
          <w:p>
            <w:pPr>
              <w:pStyle w:val="Compact"/>
              <w:jc w:val="left"/>
            </w:pPr>
            <w:r>
              <w:rPr>
                <w:bCs/>
                <w:b/>
              </w:rPr>
              <w:t xml:space="preserve">$77,476</w:t>
            </w:r>
          </w:p>
        </w:tc>
        <w:tc>
          <w:tcPr/>
          <w:p>
            <w:pPr>
              <w:pStyle w:val="Compact"/>
              <w:jc w:val="left"/>
            </w:pPr>
            <w:r>
              <w:rPr>
                <w:bCs/>
                <w:b/>
              </w:rPr>
              <w:t xml:space="preserve">($36,558)</w:t>
            </w:r>
          </w:p>
        </w:tc>
      </w:tr>
      <w:tr>
        <w:tc>
          <w:tcPr/>
          <w:p>
            <w:pPr>
              <w:pStyle w:val="Compact"/>
              <w:jc w:val="left"/>
            </w:pPr>
            <w:r>
              <w:t xml:space="preserve">Schedule A revisado</w:t>
            </w:r>
          </w:p>
        </w:tc>
        <w:tc>
          <w:tcPr/>
          <w:p>
            <w:pPr>
              <w:pStyle w:val="Compact"/>
              <w:jc w:val="left"/>
            </w:pPr>
            <w:r>
              <w:t xml:space="preserve">$122,109</w:t>
            </w:r>
          </w:p>
        </w:tc>
        <w:tc>
          <w:tcPr/>
          <w:p>
            <w:pPr>
              <w:pStyle w:val="Compact"/>
              <w:jc w:val="left"/>
            </w:pPr>
            <w:r>
              <w:t xml:space="preserve">$85,551</w:t>
            </w:r>
          </w:p>
        </w:tc>
        <w:tc>
          <w:tcPr/>
          <w:p>
            <w:pPr>
              <w:pStyle w:val="Compact"/>
              <w:jc w:val="left"/>
            </w:pPr>
            <w:r>
              <w:t xml:space="preserve">($36,558)</w:t>
            </w:r>
          </w:p>
        </w:tc>
      </w:tr>
      <w:tr>
        <w:tc>
          <w:tcPr/>
          <w:p>
            <w:pPr>
              <w:pStyle w:val="Compact"/>
              <w:jc w:val="left"/>
            </w:pPr>
            <w:r>
              <w:t xml:space="preserve">Renda tributável pré-QBID revisada</w:t>
            </w:r>
          </w:p>
        </w:tc>
        <w:tc>
          <w:tcPr/>
          <w:p>
            <w:pPr>
              <w:pStyle w:val="Compact"/>
              <w:jc w:val="left"/>
            </w:pPr>
            <w:r>
              <w:t xml:space="preserve">$25,980</w:t>
            </w:r>
          </w:p>
        </w:tc>
        <w:tc>
          <w:tcPr/>
          <w:p>
            <w:pPr>
              <w:pStyle w:val="Compact"/>
              <w:jc w:val="left"/>
            </w:pPr>
            <w:r>
              <w:t xml:space="preserve">$62,538</w:t>
            </w:r>
          </w:p>
        </w:tc>
        <w:tc>
          <w:tcPr/>
          <w:p>
            <w:pPr>
              <w:pStyle w:val="Compact"/>
              <w:jc w:val="left"/>
            </w:pPr>
            <w:r>
              <w:t xml:space="preserve">+$36,558</w:t>
            </w:r>
          </w:p>
        </w:tc>
      </w:tr>
      <w:tr>
        <w:tc>
          <w:tcPr/>
          <w:p>
            <w:pPr>
              <w:pStyle w:val="Compact"/>
              <w:jc w:val="left"/>
            </w:pPr>
            <w:r>
              <w:t xml:space="preserve">Limitação de 20% da renda</w:t>
            </w:r>
          </w:p>
        </w:tc>
        <w:tc>
          <w:tcPr/>
          <w:p>
            <w:pPr>
              <w:pStyle w:val="Compact"/>
              <w:jc w:val="left"/>
            </w:pPr>
            <w:r>
              <w:t xml:space="preserve">$5,196</w:t>
            </w:r>
          </w:p>
        </w:tc>
        <w:tc>
          <w:tcPr/>
          <w:p>
            <w:pPr>
              <w:pStyle w:val="Compact"/>
              <w:jc w:val="left"/>
            </w:pPr>
            <w:r>
              <w:t xml:space="preserve">$12,508</w:t>
            </w:r>
          </w:p>
        </w:tc>
        <w:tc>
          <w:tcPr/>
          <w:p>
            <w:pPr>
              <w:pStyle w:val="Compact"/>
              <w:jc w:val="left"/>
            </w:pPr>
            <w:r>
              <w:t xml:space="preserve">+$7,312</w:t>
            </w:r>
          </w:p>
        </w:tc>
      </w:tr>
      <w:tr>
        <w:tc>
          <w:tcPr/>
          <w:p>
            <w:pPr>
              <w:pStyle w:val="Compact"/>
              <w:jc w:val="left"/>
            </w:pPr>
            <w:r>
              <w:t xml:space="preserve">20% do QBI ($81,379)</w:t>
            </w:r>
          </w:p>
        </w:tc>
        <w:tc>
          <w:tcPr/>
          <w:p>
            <w:pPr>
              <w:pStyle w:val="Compact"/>
              <w:jc w:val="left"/>
            </w:pPr>
            <w:r>
              <w:t xml:space="preserve">$16,276</w:t>
            </w:r>
          </w:p>
        </w:tc>
        <w:tc>
          <w:tcPr/>
          <w:p>
            <w:pPr>
              <w:pStyle w:val="Compact"/>
              <w:jc w:val="left"/>
            </w:pPr>
            <w:r>
              <w:t xml:space="preserve">$16,276</w:t>
            </w:r>
          </w:p>
        </w:tc>
        <w:tc>
          <w:tcPr/>
          <w:p>
            <w:pPr>
              <w:pStyle w:val="Compact"/>
              <w:jc w:val="left"/>
            </w:pPr>
            <w:r>
              <w:t xml:space="preserve">—</w:t>
            </w:r>
          </w:p>
        </w:tc>
      </w:tr>
      <w:tr>
        <w:tc>
          <w:tcPr/>
          <w:p>
            <w:pPr>
              <w:pStyle w:val="Compact"/>
              <w:jc w:val="left"/>
            </w:pPr>
            <w:r>
              <w:rPr>
                <w:bCs/>
                <w:b/>
              </w:rPr>
              <w:t xml:space="preserve">QBID revisado</w:t>
            </w:r>
          </w:p>
        </w:tc>
        <w:tc>
          <w:tcPr/>
          <w:p>
            <w:pPr>
              <w:pStyle w:val="Compact"/>
              <w:jc w:val="left"/>
            </w:pPr>
            <w:r>
              <w:rPr>
                <w:bCs/>
                <w:b/>
              </w:rPr>
              <w:t xml:space="preserve">$5,196</w:t>
            </w:r>
          </w:p>
        </w:tc>
        <w:tc>
          <w:tcPr/>
          <w:p>
            <w:pPr>
              <w:pStyle w:val="Compact"/>
              <w:jc w:val="left"/>
            </w:pPr>
            <w:r>
              <w:rPr>
                <w:bCs/>
                <w:b/>
              </w:rPr>
              <w:t xml:space="preserve">$12,508</w:t>
            </w:r>
          </w:p>
        </w:tc>
        <w:tc>
          <w:tcPr/>
          <w:p>
            <w:pPr>
              <w:pStyle w:val="Compact"/>
              <w:jc w:val="left"/>
            </w:pPr>
            <w:r>
              <w:rPr>
                <w:bCs/>
                <w:b/>
              </w:rPr>
              <w:t xml:space="preserve">+$7,312</w:t>
            </w:r>
          </w:p>
        </w:tc>
      </w:tr>
      <w:tr>
        <w:tc>
          <w:tcPr/>
          <w:p>
            <w:pPr>
              <w:pStyle w:val="Compact"/>
              <w:jc w:val="left"/>
            </w:pPr>
            <w:r>
              <w:t xml:space="preserve">Aumento líquido da renda tributável</w:t>
            </w:r>
          </w:p>
        </w:tc>
        <w:tc>
          <w:tcPr/>
          <w:p>
            <w:pPr>
              <w:pStyle w:val="Compact"/>
            </w:pPr>
          </w:p>
        </w:tc>
        <w:tc>
          <w:tcPr/>
          <w:p>
            <w:pPr>
              <w:pStyle w:val="Compact"/>
            </w:pPr>
          </w:p>
        </w:tc>
        <w:tc>
          <w:tcPr/>
          <w:p>
            <w:pPr>
              <w:pStyle w:val="Compact"/>
              <w:jc w:val="left"/>
            </w:pPr>
            <w:r>
              <w:rPr>
                <w:bCs/>
                <w:b/>
              </w:rPr>
              <w:t xml:space="preserve">+$29,246</w:t>
            </w:r>
          </w:p>
        </w:tc>
      </w:tr>
    </w:tbl>
    <w:p>
      <w:pPr>
        <w:pStyle w:val="BodyText"/>
      </w:pPr>
      <w:r>
        <w:t xml:space="preserve">O aumento do QBID de $7,312 compensa parcialmente o impacto tributário. A renda tributável adicional líquida é de aproximadamente $29,246.</w:t>
      </w:r>
    </w:p>
    <w:p>
      <w:pPr>
        <w:pStyle w:val="BodyText"/>
      </w:pPr>
      <w:r>
        <w:rPr>
          <w:bCs/>
          <w:b/>
        </w:rPr>
        <w:t xml:space="preserve">Imposto de renda adicional estimado</w:t>
      </w:r>
      <w:r>
        <w:t xml:space="preserve"> </w:t>
      </w:r>
      <w:r>
        <w:t xml:space="preserve">(aproximado):</w:t>
      </w:r>
      <w:r>
        <w:t xml:space="preserve"> </w:t>
      </w:r>
      <w:r>
        <w:t xml:space="preserve">Os $29,246 adicionais de renda tributável enquadram-se na faixa de 12% ($23,201–$94,300 para declarantes solteiros em 2024).</w:t>
      </w:r>
      <w:r>
        <w:t xml:space="preserve"> </w:t>
      </w:r>
      <w:r>
        <w:t xml:space="preserve">Imposto de renda adicional estimado: $29,246 × 12% ≈</w:t>
      </w:r>
      <w:r>
        <w:t xml:space="preserve"> </w:t>
      </w:r>
      <w:r>
        <w:rPr>
          <w:bCs/>
          <w:b/>
        </w:rPr>
        <w:t xml:space="preserve">$3,510</w:t>
      </w:r>
      <w:r>
        <w:t xml:space="preserve"> </w:t>
      </w:r>
      <w:r>
        <w:t xml:space="preserve">(O valor exato será determinado no Form 1040-X com todos os ajustes corretivos aplicados no Drake)</w:t>
      </w:r>
    </w:p>
    <w:p>
      <w:r>
        <w:pict>
          <v:rect style="width:0;height:1.5pt" o:hralign="center" o:hrstd="t" o:hr="t"/>
        </w:pict>
      </w:r>
    </w:p>
    <w:p>
      <w:r>
        <w:pict>
          <v:rect style="width:0;height:1.5pt" o:hralign="center" o:hrstd="t" o:hr="t"/>
        </w:pict>
      </w:r>
    </w:p>
    <w:bookmarkEnd w:id="53"/>
    <w:bookmarkEnd w:id="54"/>
    <w:bookmarkStart w:id="55" w:name="X80096133b0a40f0b41e367b50f61d33326301f0"/>
    <w:p>
      <w:pPr>
        <w:pStyle w:val="Heading1"/>
      </w:pPr>
      <w:r>
        <w:t xml:space="preserve">SEÇÃO 6 — CARTA DE APRESENTAÇÃO AO IRS (MINUTA)</w:t>
      </w:r>
    </w:p>
    <w:p>
      <w:r>
        <w:pict>
          <v:rect style="width:0;height:1.5pt" o:hralign="center" o:hrstd="t" o:hr="t"/>
        </w:pict>
      </w:r>
    </w:p>
    <w:p>
      <w:pPr>
        <w:pStyle w:val="FirstParagraph"/>
      </w:pPr>
      <w:r>
        <w:t xml:space="preserve">June 7, 2026</w:t>
      </w:r>
    </w:p>
    <w:p>
      <w:pPr>
        <w:pStyle w:val="BodyText"/>
      </w:pPr>
      <w:r>
        <w:t xml:space="preserve">Internal Revenue Service</w:t>
      </w:r>
      <w:r>
        <w:t xml:space="preserve"> </w:t>
      </w:r>
      <w:r>
        <w:t xml:space="preserve">P.O. Box 309011, AMC 8236</w:t>
      </w:r>
      <w:r>
        <w:t xml:space="preserve"> </w:t>
      </w:r>
      <w:r>
        <w:t xml:space="preserve">Memphis TN 38130-0911</w:t>
      </w:r>
    </w:p>
    <w:p>
      <w:pPr>
        <w:pStyle w:val="BodyText"/>
      </w:pPr>
      <w:r>
        <w:rPr>
          <w:bCs/>
          <w:b/>
        </w:rPr>
        <w:t xml:space="preserve">Ref.:</w:t>
      </w:r>
      <w:r>
        <w:t xml:space="preserve"> </w:t>
      </w:r>
      <w:r>
        <w:t xml:space="preserve">ELIANA MACHADO DE ALMEIDA</w:t>
      </w:r>
      <w:r>
        <w:t xml:space="preserve"> </w:t>
      </w:r>
      <w:r>
        <w:rPr>
          <w:bCs/>
          <w:b/>
        </w:rPr>
        <w:t xml:space="preserve">Número de Identificação do Contribuinte:</w:t>
      </w:r>
      <w:r>
        <w:t xml:space="preserve"> </w:t>
      </w:r>
      <w:r>
        <w:t xml:space="preserve">XXX-XX-6336</w:t>
      </w:r>
      <w:r>
        <w:t xml:space="preserve"> </w:t>
      </w:r>
      <w:r>
        <w:rPr>
          <w:bCs/>
          <w:b/>
        </w:rPr>
        <w:t xml:space="preserve">Formulário:</w:t>
      </w:r>
      <w:r>
        <w:t xml:space="preserve"> </w:t>
      </w:r>
      <w:r>
        <w:t xml:space="preserve">1040 |</w:t>
      </w:r>
      <w:r>
        <w:t xml:space="preserve"> </w:t>
      </w:r>
      <w:r>
        <w:rPr>
          <w:bCs/>
          <w:b/>
        </w:rPr>
        <w:t xml:space="preserve">Período Fiscal Encerrado em:</w:t>
      </w:r>
      <w:r>
        <w:t xml:space="preserve"> </w:t>
      </w:r>
      <w:r>
        <w:t xml:space="preserve">December 31, 2024</w:t>
      </w:r>
      <w:r>
        <w:t xml:space="preserve"> </w:t>
      </w:r>
      <w:r>
        <w:rPr>
          <w:bCs/>
          <w:b/>
        </w:rPr>
        <w:t xml:space="preserve">Notificação:</w:t>
      </w:r>
      <w:r>
        <w:t xml:space="preserve"> </w:t>
      </w:r>
      <w:r>
        <w:t xml:space="preserve">Carta 566-T (Letter 566-T), datada de May 18, 2026 |</w:t>
      </w:r>
      <w:r>
        <w:t xml:space="preserve"> </w:t>
      </w:r>
      <w:r>
        <w:rPr>
          <w:bCs/>
          <w:b/>
        </w:rPr>
        <w:t xml:space="preserve">Código do Projeto:</w:t>
      </w:r>
      <w:r>
        <w:t xml:space="preserve"> </w:t>
      </w:r>
      <w:r>
        <w:t xml:space="preserve">0417</w:t>
      </w:r>
      <w:r>
        <w:t xml:space="preserve"> </w:t>
      </w:r>
      <w:r>
        <w:t xml:space="preserve">—</w:t>
      </w:r>
    </w:p>
    <w:p>
      <w:pPr>
        <w:pStyle w:val="BodyText"/>
      </w:pPr>
      <w:r>
        <w:t xml:space="preserve">Prezado(a) Auditor(a) Fiscal (ID Nº 0361000000):</w:t>
      </w:r>
    </w:p>
    <w:p>
      <w:pPr>
        <w:pStyle w:val="BodyText"/>
      </w:pPr>
      <w:r>
        <w:t xml:space="preserve">Eu, Eliana Machado de Almeida, submeto a seguinte resposta à Carta 566-T (Letter 566-T) datada de May 18, 2026. O exame diz respeito à dedução de juros hipotecários no Schedule A no valor de $114,034 declarada no meu Form 1040 do exercício de 2024. Realizei uma revisão minuciosa de todos os documentos de origem, incluindo ambos os Forms 1098, o Relatório de Atividade do Empréstimo (Loan Activity Report) da AmWest, a Declaração de Fechamento (Closing Disclosure), a Nota Hipotecária (Mortgage Note) e os registros da minha declaração fiscal. A reconciliação está integralmente resolvida. Minhas conclusões, concessões e documentação comprobatória estão expostas a seguir.</w:t>
      </w:r>
    </w:p>
    <w:p>
      <w:r>
        <w:pict>
          <v:rect style="width:0;height:1.5pt" o:hralign="center" o:hrstd="t" o:hr="t"/>
        </w:pict>
      </w:r>
    </w:p>
    <w:p>
      <w:pPr>
        <w:pStyle w:val="FirstParagraph"/>
      </w:pPr>
      <w:r>
        <w:rPr>
          <w:bCs/>
          <w:b/>
        </w:rPr>
        <w:t xml:space="preserve">I. Declaração de Boa-Fé e Caráter da Contribuinte</w:t>
      </w:r>
    </w:p>
    <w:p>
      <w:pPr>
        <w:pStyle w:val="BodyText"/>
      </w:pPr>
      <w:r>
        <w:t xml:space="preserve">De início, desejo abordar diretamente a natureza e a origem da discrepância que motivou este exame.</w:t>
      </w:r>
    </w:p>
    <w:p>
      <w:pPr>
        <w:pStyle w:val="BodyText"/>
      </w:pPr>
      <w:r>
        <w:t xml:space="preserve">Declarei cada item de renda e cada dedução em minha declaração de 2024 de boa-fé, com base em documentos fornecidos pelos meus credores institucionais. O valor de $114,034 declarado no Schedule A, Linha 8a, corresponde precisamente aos valores efetivos refletidos nos Forms 1098 emitidos pela AmWest Funding Corp e pela Radius Financial Group — dois credores hipotecários regulamentados. Nenhum valor foi fabricado, estimado ou inflacionado. Cada dólar declarado remete diretamente a um pagamento documentado.</w:t>
      </w:r>
    </w:p>
    <w:p>
      <w:pPr>
        <w:pStyle w:val="BodyText"/>
      </w:pPr>
      <w:r>
        <w:t xml:space="preserve">Ademais, e de relevância para a questão da boa-fé, um erro secundário de lançamento de dados fez com que os juros da Radius no valor de $1,869.86 (Form 1098, Caixa 1) fossem</w:t>
      </w:r>
      <w:r>
        <w:t xml:space="preserve"> </w:t>
      </w:r>
      <w:r>
        <w:rPr>
          <w:bCs/>
          <w:b/>
        </w:rPr>
        <w:t xml:space="preserve">omitidos</w:t>
      </w:r>
      <w:r>
        <w:t xml:space="preserve"> </w:t>
      </w:r>
      <w:r>
        <w:t xml:space="preserve">do Schedule A — circunstância que subestimou a minha dedução em $1,870. Caso eu houvesse sido motivada a reivindicar a maior dedução possível, este valor não teria sido omitido. Divulgo esta omissão de forma voluntária e integral, em consonância com o meu compromisso de precisão.</w:t>
      </w:r>
    </w:p>
    <w:p>
      <w:pPr>
        <w:pStyle w:val="BodyText"/>
      </w:pPr>
      <w:r>
        <w:t xml:space="preserve">O excesso identificado neste documento decorre de dois equívocos técnicos sobre disposições complexas pós-TCJA: (1) não apliquei o limite de empréstimo qualificado de US$ 750.000 do IRC §163(h)(3)(B) à dívida de aquisição de imóvel pós-2017, e (2) os pontos hipotecários do refinanciamento Radius foram tratados como totalmente dedutíveis em 2024, em vez de amortizados rateadamente nos termos do IRC §461(g)(2). Esses são equívocos de interpretação legal e procedimento, não declarações falsas de fatos, e não refletem qualquer intenção de obter uma dedução à qual não tenho direito.</w:t>
      </w:r>
    </w:p>
    <w:p>
      <w:pPr>
        <w:pStyle w:val="BodyText"/>
      </w:pPr>
      <w:r>
        <w:t xml:space="preserve">Sou uma profissional autônoma que declarou integralmente o lucro líquido do Schedule C no valor de $81,379, recolheu o imposto sobre trabalho autônomo correspondente e manteve registros completos das minhas transações hipotecárias. Ofereço a concessão voluntária exposta nesta resposta.</w:t>
      </w:r>
    </w:p>
    <w:p>
      <w:r>
        <w:pict>
          <v:rect style="width:0;height:1.5pt" o:hralign="center" o:hrstd="t" o:hr="t"/>
        </w:pict>
      </w:r>
    </w:p>
    <w:p>
      <w:pPr>
        <w:pStyle w:val="FirstParagraph"/>
      </w:pPr>
      <w:r>
        <w:rPr>
          <w:bCs/>
          <w:b/>
        </w:rPr>
        <w:t xml:space="preserve">II. Reconciliação do Valor de $114,034 Declarado no Schedule A</w:t>
      </w:r>
    </w:p>
    <w:p>
      <w:pPr>
        <w:pStyle w:val="BodyText"/>
      </w:pPr>
      <w:r>
        <w:t xml:space="preserve">O valor declarado no Schedule A, Linha 8a, está integralmente explicado e verificado conforme segue:</w:t>
      </w:r>
    </w:p>
    <w:tbl>
      <w:tblPr>
        <w:tblStyle w:val="Table"/>
        <w:tblW w:type="pct" w:w="5000"/>
        <w:tblLook w:firstRow="1" w:lastRow="0" w:firstColumn="0" w:lastColumn="0" w:noHBand="0" w:noVBand="0" w:val="0020"/>
        <w:jc w:val="start"/>
      </w:tblPr>
      <w:tblGrid>
        <w:gridCol w:w="2210"/>
        <w:gridCol w:w="1289"/>
        <w:gridCol w:w="4420"/>
      </w:tblGrid>
      <w:tr>
        <w:trPr>
          <w:tblHeader w:val="true"/>
        </w:trPr>
        <w:tc>
          <w:tcPr/>
          <w:p>
            <w:pPr>
              <w:pStyle w:val="Compact"/>
              <w:jc w:val="left"/>
            </w:pPr>
            <w:r>
              <w:t xml:space="preserve">Componente</w:t>
            </w:r>
          </w:p>
        </w:tc>
        <w:tc>
          <w:tcPr/>
          <w:p>
            <w:pPr>
              <w:pStyle w:val="Compact"/>
              <w:jc w:val="left"/>
            </w:pPr>
            <w:r>
              <w:t xml:space="preserve">Valor</w:t>
            </w:r>
          </w:p>
        </w:tc>
        <w:tc>
          <w:tcPr/>
          <w:p>
            <w:pPr>
              <w:pStyle w:val="Compact"/>
              <w:jc w:val="left"/>
            </w:pPr>
            <w:r>
              <w:t xml:space="preserve">Documento Comprobatório</w:t>
            </w:r>
          </w:p>
        </w:tc>
      </w:tr>
      <w:tr>
        <w:tc>
          <w:tcPr/>
          <w:p>
            <w:pPr>
              <w:pStyle w:val="Compact"/>
              <w:jc w:val="left"/>
            </w:pPr>
            <w:r>
              <w:t xml:space="preserve">AmWest Funding Corp — juros hipotecários</w:t>
            </w:r>
          </w:p>
        </w:tc>
        <w:tc>
          <w:tcPr/>
          <w:p>
            <w:pPr>
              <w:pStyle w:val="Compact"/>
              <w:jc w:val="left"/>
            </w:pPr>
            <w:r>
              <w:t xml:space="preserve">$95,134</w:t>
            </w:r>
          </w:p>
        </w:tc>
        <w:tc>
          <w:tcPr/>
          <w:p>
            <w:pPr>
              <w:pStyle w:val="Compact"/>
              <w:jc w:val="left"/>
            </w:pPr>
            <w:r>
              <w:t xml:space="preserve">Form 1098, Caixa 1 (verificado pagamento a pagamento contra o Relatório de Atividade do Empréstimo (Loan Activity Report))</w:t>
            </w:r>
          </w:p>
        </w:tc>
      </w:tr>
      <w:tr>
        <w:tc>
          <w:tcPr/>
          <w:p>
            <w:pPr>
              <w:pStyle w:val="Compact"/>
              <w:jc w:val="left"/>
            </w:pPr>
            <w:r>
              <w:t xml:space="preserve">Radius Financial Group — pontos hipotecários (points) pagos no fechamento</w:t>
            </w:r>
          </w:p>
        </w:tc>
        <w:tc>
          <w:tcPr/>
          <w:p>
            <w:pPr>
              <w:pStyle w:val="Compact"/>
              <w:jc w:val="left"/>
            </w:pPr>
            <w:r>
              <w:t xml:space="preserve">$18,900</w:t>
            </w:r>
          </w:p>
        </w:tc>
        <w:tc>
          <w:tcPr/>
          <w:p>
            <w:pPr>
              <w:pStyle w:val="Compact"/>
              <w:jc w:val="left"/>
            </w:pPr>
            <w:r>
              <w:t xml:space="preserve">Form 1098, Caixa 6 (confirmado a partir do documento original)</w:t>
            </w:r>
          </w:p>
        </w:tc>
      </w:tr>
      <w:tr>
        <w:tc>
          <w:tcPr/>
          <w:p>
            <w:pPr>
              <w:pStyle w:val="Compact"/>
              <w:jc w:val="left"/>
            </w:pPr>
            <w:r>
              <w:rPr>
                <w:bCs/>
                <w:b/>
              </w:rPr>
              <w:t xml:space="preserve">Total — conforme declarado</w:t>
            </w:r>
          </w:p>
        </w:tc>
        <w:tc>
          <w:tcPr/>
          <w:p>
            <w:pPr>
              <w:pStyle w:val="Compact"/>
              <w:jc w:val="left"/>
            </w:pPr>
            <w:r>
              <w:rPr>
                <w:bCs/>
                <w:b/>
              </w:rPr>
              <w:t xml:space="preserve">$114,034</w:t>
            </w:r>
          </w:p>
        </w:tc>
        <w:tc>
          <w:tcPr/>
          <w:p>
            <w:pPr>
              <w:pStyle w:val="Compact"/>
            </w:pPr>
          </w:p>
        </w:tc>
      </w:tr>
      <w:tr>
        <w:tc>
          <w:tcPr/>
          <w:p>
            <w:pPr>
              <w:pStyle w:val="Compact"/>
              <w:jc w:val="left"/>
            </w:pPr>
            <w:r>
              <w:t xml:space="preserve">Radius Financial Group — juros hipotecários (omitidos)</w:t>
            </w:r>
          </w:p>
        </w:tc>
        <w:tc>
          <w:tcPr/>
          <w:p>
            <w:pPr>
              <w:pStyle w:val="Compact"/>
              <w:jc w:val="left"/>
            </w:pPr>
            <w:r>
              <w:t xml:space="preserve">($1,870)</w:t>
            </w:r>
          </w:p>
        </w:tc>
        <w:tc>
          <w:tcPr/>
          <w:p>
            <w:pPr>
              <w:pStyle w:val="Compact"/>
              <w:jc w:val="left"/>
            </w:pPr>
            <w:r>
              <w:t xml:space="preserve">Form 1098, Caixa 1 — divulgado neste documento</w:t>
            </w:r>
          </w:p>
        </w:tc>
      </w:tr>
    </w:tbl>
    <w:p>
      <w:pPr>
        <w:pStyle w:val="BodyText"/>
      </w:pPr>
      <w:r>
        <w:t xml:space="preserve">O valor de $114,034 não contém nenhum montante proveniente de fonte que não seja um Form 1098. Não contém valores estimados, sintéticos ou sem documentação.</w:t>
      </w:r>
    </w:p>
    <w:p>
      <w:r>
        <w:pict>
          <v:rect style="width:0;height:1.5pt" o:hralign="center" o:hrstd="t" o:hr="t"/>
        </w:pict>
      </w:r>
    </w:p>
    <w:p>
      <w:pPr>
        <w:pStyle w:val="FirstParagraph"/>
      </w:pPr>
      <w:r>
        <w:rPr>
          <w:bCs/>
          <w:b/>
        </w:rPr>
        <w:t xml:space="preserve">III. AmWest Funding Corp — Juros Hipotecários Verificados</w:t>
      </w:r>
    </w:p>
    <w:p>
      <w:pPr>
        <w:pStyle w:val="BodyText"/>
      </w:pPr>
      <w:r>
        <w:t xml:space="preserve">Os juros da AmWest no valor de $95,134 foram confirmados pagamento a pagamento contra o Relatório de Atividade do Empréstimo (Loan Activity Report) do Empréstimo Nº 2000086400, datado de June 3, 2026. Onze pagamentos mensais regulares foram efetuados no período de janeiro a novembro de 2024, e um pagamento final de juros no valor de $4,842.28 foi realizado em November 19, 2024, por ocasião da quitação do empréstimo. O Relatório de Atividade do Empréstimo (Loan Activity Report) e o Form 1098 estão em perfeita concordância. Não há juros dedutíveis adicionais embutidos na transação de quitação.</w:t>
      </w:r>
    </w:p>
    <w:p>
      <w:pPr>
        <w:pStyle w:val="BodyText"/>
      </w:pPr>
      <w:r>
        <w:t xml:space="preserve">Anexo o Relatório de Atividade do Empréstimo (Loan Activity Report) (Anexo 6) e o Form 1098 da AmWest (Anexo 4) para apreciação do(a) Auditor(a).</w:t>
      </w:r>
    </w:p>
    <w:p>
      <w:r>
        <w:pict>
          <v:rect style="width:0;height:1.5pt" o:hralign="center" o:hrstd="t" o:hr="t"/>
        </w:pict>
      </w:r>
    </w:p>
    <w:p>
      <w:pPr>
        <w:pStyle w:val="FirstParagraph"/>
      </w:pPr>
      <w:r>
        <w:rPr>
          <w:bCs/>
          <w:b/>
        </w:rPr>
        <w:t xml:space="preserve">IV. Radius Financial Group — Classificação do Empréstimo, Juros e Pontos Hipotecários (points)</w:t>
      </w:r>
    </w:p>
    <w:p>
      <w:pPr>
        <w:pStyle w:val="BodyText"/>
      </w:pPr>
      <w:r>
        <w:t xml:space="preserve">O empréstimo da Radius Financial Group (Empréstimo Nº 1068729, originado em November 13, 2024, principal original de $840,000) foi utilizado para liquidar o financiamento de aquisição da AmWest, que foi quitado integralmente em November 19, 2024. Isso constitui um</w:t>
      </w:r>
      <w:r>
        <w:t xml:space="preserve"> </w:t>
      </w:r>
      <w:r>
        <w:rPr>
          <w:bCs/>
          <w:b/>
        </w:rPr>
        <w:t xml:space="preserve">refinanciamento</w:t>
      </w:r>
      <w:r>
        <w:t xml:space="preserve"> </w:t>
      </w:r>
      <w:r>
        <w:t xml:space="preserve">do financiamento hipotecário original de aquisição do imóvel, e não uma nova aquisição.</w:t>
      </w:r>
    </w:p>
    <w:p>
      <w:pPr>
        <w:pStyle w:val="BodyText"/>
      </w:pPr>
      <w:r>
        <w:t xml:space="preserve">O Form 1098 da Radius (Anexo 5) registra:</w:t>
      </w:r>
      <w:r>
        <w:t xml:space="preserve"> </w:t>
      </w:r>
      <w:r>
        <w:t xml:space="preserve">- Caixa 1 — Juros hipotecários recebidos: $1,869.86</w:t>
      </w:r>
      <w:r>
        <w:t xml:space="preserve"> </w:t>
      </w:r>
      <w:r>
        <w:t xml:space="preserve">- Caixa 2 — Principal em aberto: $840,000</w:t>
      </w:r>
      <w:r>
        <w:t xml:space="preserve"> </w:t>
      </w:r>
      <w:r>
        <w:t xml:space="preserve">- Caixa 3 — Data de originação do financiamento: November 13, 2024</w:t>
      </w:r>
      <w:r>
        <w:t xml:space="preserve"> </w:t>
      </w:r>
      <w:r>
        <w:t xml:space="preserve">- Caixa 6 — Pontos hipotecários (points) pagos na aquisição da residência principal: $18,900.00</w:t>
      </w:r>
    </w:p>
    <w:p>
      <w:pPr>
        <w:pStyle w:val="BodyText"/>
      </w:pPr>
      <w:r>
        <w:rPr>
          <w:bCs/>
          <w:b/>
        </w:rPr>
        <w:t xml:space="preserve">Classificação dos pontos hipotecários (points):</w:t>
      </w:r>
      <w:r>
        <w:t xml:space="preserve"> </w:t>
      </w:r>
      <w:r>
        <w:t xml:space="preserve">Nos termos do IRC §461(g)(2) e da Publication 936 do IRS, os pontos hipotecários (points) pagos em conexão com um refinanciamento devem ser deduzidos proporcionalmente ao longo da vigência do empréstimo. Não podem ser integralmente deduzidos no ano do pagamento. A parcela correta dedutível em 2024, após a aplicação do cronograma de amortização com base no prazo do empréstimo (prazo de 30 anos confirmado pela Declaração de Fechamento (Closing Disclosure)) e da proporção dedutível prevista no IRC §163(h)(3)(B), é de aproximadamente</w:t>
      </w:r>
      <w:r>
        <w:t xml:space="preserve"> </w:t>
      </w:r>
      <w:r>
        <w:rPr>
          <w:bCs/>
          <w:b/>
        </w:rPr>
        <w:t xml:space="preserve">$67</w:t>
      </w:r>
      <w:r>
        <w:t xml:space="preserve">. Os $18,833 restantes serão deduzidos proporcionalmente ao longo do prazo remanescente do empréstimo nos exercícios futuros.</w:t>
      </w:r>
    </w:p>
    <w:p>
      <w:pPr>
        <w:pStyle w:val="BodyText"/>
      </w:pPr>
      <w:r>
        <w:t xml:space="preserve">A declaração original tratou os $18,900 como integralmente dedutíveis em 2024. Este tratamento estava incorreto e é concedido neste documento.</w:t>
      </w:r>
    </w:p>
    <w:p>
      <w:r>
        <w:pict>
          <v:rect style="width:0;height:1.5pt" o:hralign="center" o:hrstd="t" o:hr="t"/>
        </w:pict>
      </w:r>
    </w:p>
    <w:p>
      <w:pPr>
        <w:pStyle w:val="FirstParagraph"/>
      </w:pPr>
      <w:r>
        <w:rPr>
          <w:bCs/>
          <w:b/>
        </w:rPr>
        <w:t xml:space="preserve">V. IRC §163(h)(3)(B) — Limite do Empréstimo Qualificado de $750,000</w:t>
      </w:r>
    </w:p>
    <w:p>
      <w:pPr>
        <w:pStyle w:val="BodyText"/>
      </w:pPr>
      <w:r>
        <w:t xml:space="preserve">Ambos os empréstimos hipotecários foram originados após December 15, 2017 e estão, portanto, sujeitos ao limite do empréstimo qualificado de $750,000 instituído pelo Tax Cuts and Jobs Act de 2017. A planilha do Form 14900 não foi preenchida na declaração original e o limite não foi aplicado. Esta é a principal fonte do excesso.</w:t>
      </w:r>
    </w:p>
    <w:p>
      <w:pPr>
        <w:pStyle w:val="BodyText"/>
      </w:pPr>
      <w:r>
        <w:t xml:space="preserve">Concluí agora o preenchimento integral do Form 14900 (anexado como Anexo 11), utilizando a metodologia de saldo médio prescrita pela Publication 936 do IRS:</w:t>
      </w:r>
    </w:p>
    <w:tbl>
      <w:tblPr>
        <w:tblStyle w:val="Table"/>
        <w:tblW w:type="pct" w:w="5000"/>
        <w:tblLook w:firstRow="1" w:lastRow="0" w:firstColumn="0" w:lastColumn="0" w:noHBand="0" w:noVBand="0" w:val="0020"/>
        <w:jc w:val="start"/>
      </w:tblPr>
      <w:tblGrid>
        <w:gridCol w:w="6072"/>
        <w:gridCol w:w="1848"/>
      </w:tblGrid>
      <w:tr>
        <w:trPr>
          <w:tblHeader w:val="true"/>
        </w:trPr>
        <w:tc>
          <w:tcPr/>
          <w:p>
            <w:pPr>
              <w:pStyle w:val="Compact"/>
              <w:jc w:val="left"/>
            </w:pPr>
            <w:r>
              <w:t xml:space="preserve">Form 14900 — Planilha</w:t>
            </w:r>
          </w:p>
        </w:tc>
        <w:tc>
          <w:tcPr/>
          <w:p>
            <w:pPr>
              <w:pStyle w:val="Compact"/>
              <w:jc w:val="left"/>
            </w:pPr>
            <w:r>
              <w:t xml:space="preserve">Valor</w:t>
            </w:r>
          </w:p>
        </w:tc>
      </w:tr>
      <w:tr>
        <w:tc>
          <w:tcPr/>
          <w:p>
            <w:pPr>
              <w:pStyle w:val="Compact"/>
              <w:jc w:val="left"/>
            </w:pPr>
            <w:r>
              <w:t xml:space="preserve">Saldo médio da AmWest (January 1 – December 31, 2024)</w:t>
            </w:r>
          </w:p>
        </w:tc>
        <w:tc>
          <w:tcPr/>
          <w:p>
            <w:pPr>
              <w:pStyle w:val="Compact"/>
              <w:jc w:val="left"/>
            </w:pPr>
            <w:r>
              <w:t xml:space="preserve">$519,744</w:t>
            </w:r>
          </w:p>
        </w:tc>
      </w:tr>
      <w:tr>
        <w:tc>
          <w:tcPr/>
          <w:p>
            <w:pPr>
              <w:pStyle w:val="Compact"/>
              <w:jc w:val="left"/>
            </w:pPr>
            <w:r>
              <w:t xml:space="preserve">Saldo médio da Radius (January 1 – December 31, 2024)</w:t>
            </w:r>
          </w:p>
        </w:tc>
        <w:tc>
          <w:tcPr/>
          <w:p>
            <w:pPr>
              <w:pStyle w:val="Compact"/>
              <w:jc w:val="left"/>
            </w:pPr>
            <w:r>
              <w:t xml:space="preserve">$420,000</w:t>
            </w:r>
          </w:p>
        </w:tc>
      </w:tr>
      <w:tr>
        <w:tc>
          <w:tcPr/>
          <w:p>
            <w:pPr>
              <w:pStyle w:val="Compact"/>
              <w:jc w:val="left"/>
            </w:pPr>
            <w:r>
              <w:rPr>
                <w:bCs/>
                <w:b/>
              </w:rPr>
              <w:t xml:space="preserve">Saldo médio total — Linha 7 e Linha 12</w:t>
            </w:r>
          </w:p>
        </w:tc>
        <w:tc>
          <w:tcPr/>
          <w:p>
            <w:pPr>
              <w:pStyle w:val="Compact"/>
              <w:jc w:val="left"/>
            </w:pPr>
            <w:r>
              <w:rPr>
                <w:bCs/>
                <w:b/>
              </w:rPr>
              <w:t xml:space="preserve">$939,744</w:t>
            </w:r>
          </w:p>
        </w:tc>
      </w:tr>
      <w:tr>
        <w:tc>
          <w:tcPr/>
          <w:p>
            <w:pPr>
              <w:pStyle w:val="Compact"/>
              <w:jc w:val="left"/>
            </w:pPr>
            <w:r>
              <w:t xml:space="preserve">Limite do empréstimo qualificado — Linha 11</w:t>
            </w:r>
          </w:p>
        </w:tc>
        <w:tc>
          <w:tcPr/>
          <w:p>
            <w:pPr>
              <w:pStyle w:val="Compact"/>
              <w:jc w:val="left"/>
            </w:pPr>
            <w:r>
              <w:t xml:space="preserve">$750,000</w:t>
            </w:r>
          </w:p>
        </w:tc>
      </w:tr>
      <w:tr>
        <w:tc>
          <w:tcPr/>
          <w:p>
            <w:pPr>
              <w:pStyle w:val="Compact"/>
              <w:jc w:val="left"/>
            </w:pPr>
            <w:r>
              <w:t xml:space="preserve">Proporção dedutível — Linha 14: $750,000 ÷ $939,744</w:t>
            </w:r>
          </w:p>
        </w:tc>
        <w:tc>
          <w:tcPr/>
          <w:p>
            <w:pPr>
              <w:pStyle w:val="Compact"/>
              <w:jc w:val="left"/>
            </w:pPr>
            <w:r>
              <w:rPr>
                <w:bCs/>
                <w:b/>
              </w:rPr>
              <w:t xml:space="preserve">0.798</w:t>
            </w:r>
          </w:p>
        </w:tc>
      </w:tr>
      <w:tr>
        <w:tc>
          <w:tcPr/>
          <w:p>
            <w:pPr>
              <w:pStyle w:val="Compact"/>
              <w:jc w:val="left"/>
            </w:pPr>
            <w:r>
              <w:t xml:space="preserve">Total de juros pagos (AmWest + Radius) — Linha 13</w:t>
            </w:r>
          </w:p>
        </w:tc>
        <w:tc>
          <w:tcPr/>
          <w:p>
            <w:pPr>
              <w:pStyle w:val="Compact"/>
              <w:jc w:val="left"/>
            </w:pPr>
            <w:r>
              <w:t xml:space="preserve">$97,004</w:t>
            </w:r>
          </w:p>
        </w:tc>
      </w:tr>
      <w:tr>
        <w:tc>
          <w:tcPr/>
          <w:p>
            <w:pPr>
              <w:pStyle w:val="Compact"/>
              <w:jc w:val="left"/>
            </w:pPr>
            <w:r>
              <w:rPr>
                <w:bCs/>
                <w:b/>
              </w:rPr>
              <w:t xml:space="preserve">Juros hipotecários residenciais dedutíveis — Linha 15</w:t>
            </w:r>
          </w:p>
        </w:tc>
        <w:tc>
          <w:tcPr/>
          <w:p>
            <w:pPr>
              <w:pStyle w:val="Compact"/>
              <w:jc w:val="left"/>
            </w:pPr>
            <w:r>
              <w:rPr>
                <w:bCs/>
                <w:b/>
              </w:rPr>
              <w:t xml:space="preserve">$77,409</w:t>
            </w:r>
          </w:p>
        </w:tc>
      </w:tr>
      <w:tr>
        <w:tc>
          <w:tcPr/>
          <w:p>
            <w:pPr>
              <w:pStyle w:val="Compact"/>
              <w:jc w:val="left"/>
            </w:pPr>
            <w:r>
              <w:t xml:space="preserve">Juros pessoais não dedutíveis — Linha 16</w:t>
            </w:r>
          </w:p>
        </w:tc>
        <w:tc>
          <w:tcPr/>
          <w:p>
            <w:pPr>
              <w:pStyle w:val="Compact"/>
              <w:jc w:val="left"/>
            </w:pPr>
            <w:r>
              <w:t xml:space="preserve">$19,595</w:t>
            </w:r>
          </w:p>
        </w:tc>
      </w:tr>
    </w:tbl>
    <w:p>
      <w:pPr>
        <w:pStyle w:val="BodyText"/>
      </w:pPr>
      <w:r>
        <w:t xml:space="preserve">O Form 14900 foi preenchido integralmente e está anexado como Anexo 11.</w:t>
      </w:r>
    </w:p>
    <w:p>
      <w:r>
        <w:pict>
          <v:rect style="width:0;height:1.5pt" o:hralign="center" o:hrstd="t" o:hr="t"/>
        </w:pict>
      </w:r>
    </w:p>
    <w:p>
      <w:pPr>
        <w:pStyle w:val="FirstParagraph"/>
      </w:pPr>
      <w:r>
        <w:rPr>
          <w:bCs/>
          <w:b/>
        </w:rPr>
        <w:t xml:space="preserve">VI. Concessão e Correção Proposta</w:t>
      </w:r>
    </w:p>
    <w:p>
      <w:pPr>
        <w:pStyle w:val="BodyText"/>
      </w:pPr>
      <w:r>
        <w:t xml:space="preserve">Após revisão cuidadosa e minuciosa, concedo respeitosamente o excesso da dedução de juros hipotecários residenciais e apresento os valores corretos abaixo.</w:t>
      </w:r>
    </w:p>
    <w:tbl>
      <w:tblPr>
        <w:tblStyle w:val="Table"/>
        <w:tblW w:type="pct" w:w="5000"/>
        <w:tblLook w:firstRow="1" w:lastRow="0" w:firstColumn="0" w:lastColumn="0" w:noHBand="0" w:noVBand="0" w:val="0020"/>
        <w:jc w:val="start"/>
      </w:tblPr>
      <w:tblGrid>
        <w:gridCol w:w="880"/>
        <w:gridCol w:w="2933"/>
        <w:gridCol w:w="1613"/>
        <w:gridCol w:w="2493"/>
      </w:tblGrid>
      <w:tr>
        <w:trPr>
          <w:tblHeader w:val="true"/>
        </w:trPr>
        <w:tc>
          <w:tcPr/>
          <w:p>
            <w:pPr>
              <w:pStyle w:val="Compact"/>
              <w:jc w:val="left"/>
            </w:pPr>
            <w:r>
              <w:t xml:space="preserve">Item</w:t>
            </w:r>
          </w:p>
        </w:tc>
        <w:tc>
          <w:tcPr/>
          <w:p>
            <w:pPr>
              <w:pStyle w:val="Compact"/>
              <w:jc w:val="left"/>
            </w:pPr>
            <w:r>
              <w:t xml:space="preserve">Conforme Declarado</w:t>
            </w:r>
          </w:p>
        </w:tc>
        <w:tc>
          <w:tcPr/>
          <w:p>
            <w:pPr>
              <w:pStyle w:val="Compact"/>
              <w:jc w:val="left"/>
            </w:pPr>
            <w:r>
              <w:t xml:space="preserve">Corrigido</w:t>
            </w:r>
          </w:p>
        </w:tc>
        <w:tc>
          <w:tcPr/>
          <w:p>
            <w:pPr>
              <w:pStyle w:val="Compact"/>
              <w:jc w:val="left"/>
            </w:pPr>
            <w:r>
              <w:t xml:space="preserve">Fundamento Legal</w:t>
            </w:r>
          </w:p>
        </w:tc>
      </w:tr>
      <w:tr>
        <w:tc>
          <w:tcPr/>
          <w:p>
            <w:pPr>
              <w:pStyle w:val="Compact"/>
              <w:jc w:val="left"/>
            </w:pPr>
            <w:r>
              <w:t xml:space="preserve">Juros dedutíveis — Form 14900, Linha 15</w:t>
            </w:r>
          </w:p>
        </w:tc>
        <w:tc>
          <w:tcPr/>
          <w:p>
            <w:pPr>
              <w:pStyle w:val="Compact"/>
              <w:jc w:val="left"/>
            </w:pPr>
            <w:r>
              <w:t xml:space="preserve">$114,034</w:t>
            </w:r>
          </w:p>
        </w:tc>
        <w:tc>
          <w:tcPr/>
          <w:p>
            <w:pPr>
              <w:pStyle w:val="Compact"/>
              <w:jc w:val="left"/>
            </w:pPr>
            <w:r>
              <w:t xml:space="preserve">$77,409</w:t>
            </w:r>
          </w:p>
        </w:tc>
        <w:tc>
          <w:tcPr/>
          <w:p>
            <w:pPr>
              <w:pStyle w:val="Compact"/>
              <w:jc w:val="left"/>
            </w:pPr>
            <w:r>
              <w:t xml:space="preserve">IRC §163(h)(3)(B); Form 14900</w:t>
            </w:r>
          </w:p>
        </w:tc>
      </w:tr>
      <w:tr>
        <w:tc>
          <w:tcPr/>
          <w:p>
            <w:pPr>
              <w:pStyle w:val="Compact"/>
              <w:jc w:val="left"/>
            </w:pPr>
            <w:r>
              <w:t xml:space="preserve">Pontos hipotecários (points) dedutíveis da Radius — 2024 (amortizados, ajustados pela proporção)</w:t>
            </w:r>
          </w:p>
        </w:tc>
        <w:tc>
          <w:tcPr/>
          <w:p>
            <w:pPr>
              <w:pStyle w:val="Compact"/>
              <w:jc w:val="left"/>
            </w:pPr>
            <w:r>
              <w:t xml:space="preserve">$18,900</w:t>
            </w:r>
          </w:p>
        </w:tc>
        <w:tc>
          <w:tcPr/>
          <w:p>
            <w:pPr>
              <w:pStyle w:val="Compact"/>
              <w:jc w:val="left"/>
            </w:pPr>
            <w:r>
              <w:t xml:space="preserve">$67</w:t>
            </w:r>
          </w:p>
        </w:tc>
        <w:tc>
          <w:tcPr/>
          <w:p>
            <w:pPr>
              <w:pStyle w:val="Compact"/>
              <w:jc w:val="left"/>
            </w:pPr>
            <w:r>
              <w:t xml:space="preserve">IRC §461(g)(2); Publication 936</w:t>
            </w:r>
          </w:p>
        </w:tc>
      </w:tr>
      <w:tr>
        <w:tc>
          <w:tcPr/>
          <w:p>
            <w:pPr>
              <w:pStyle w:val="Compact"/>
              <w:jc w:val="left"/>
            </w:pPr>
            <w:r>
              <w:rPr>
                <w:bCs/>
                <w:b/>
              </w:rPr>
              <w:t xml:space="preserve">Total da dedução hipotecária corrigida — Schedule A</w:t>
            </w:r>
          </w:p>
        </w:tc>
        <w:tc>
          <w:tcPr/>
          <w:p>
            <w:pPr>
              <w:pStyle w:val="Compact"/>
              <w:jc w:val="left"/>
            </w:pPr>
            <w:r>
              <w:rPr>
                <w:bCs/>
                <w:b/>
              </w:rPr>
              <w:t xml:space="preserve">$114,034</w:t>
            </w:r>
          </w:p>
        </w:tc>
        <w:tc>
          <w:tcPr/>
          <w:p>
            <w:pPr>
              <w:pStyle w:val="Compact"/>
              <w:jc w:val="left"/>
            </w:pPr>
            <w:r>
              <w:rPr>
                <w:bCs/>
                <w:b/>
              </w:rPr>
              <w:t xml:space="preserve">$77,476</w:t>
            </w:r>
          </w:p>
        </w:tc>
        <w:tc>
          <w:tcPr/>
          <w:p>
            <w:pPr>
              <w:pStyle w:val="Compact"/>
            </w:pPr>
          </w:p>
        </w:tc>
      </w:tr>
      <w:tr>
        <w:tc>
          <w:tcPr/>
          <w:p>
            <w:pPr>
              <w:pStyle w:val="Compact"/>
              <w:jc w:val="left"/>
            </w:pPr>
            <w:r>
              <w:rPr>
                <w:bCs/>
                <w:b/>
              </w:rPr>
              <w:t xml:space="preserve">Redução líquida no Schedule A</w:t>
            </w:r>
          </w:p>
        </w:tc>
        <w:tc>
          <w:tcPr/>
          <w:p>
            <w:pPr>
              <w:pStyle w:val="Compact"/>
            </w:pPr>
          </w:p>
        </w:tc>
        <w:tc>
          <w:tcPr/>
          <w:p>
            <w:pPr>
              <w:pStyle w:val="Compact"/>
              <w:jc w:val="left"/>
            </w:pPr>
            <w:r>
              <w:rPr>
                <w:bCs/>
                <w:b/>
              </w:rPr>
              <w:t xml:space="preserve">($36,558)</w:t>
            </w:r>
          </w:p>
        </w:tc>
        <w:tc>
          <w:tcPr/>
          <w:p>
            <w:pPr>
              <w:pStyle w:val="Compact"/>
            </w:pPr>
          </w:p>
        </w:tc>
      </w:tr>
    </w:tbl>
    <w:p>
      <w:pPr>
        <w:pStyle w:val="BodyText"/>
      </w:pPr>
      <w:r>
        <w:t xml:space="preserve">Registro ainda que a redução das deduções discriminadas aumentará a minha Dedução de Renda de Negócio Qualificado (QBID) nos termos do IRC §199A de $5,196 para aproximadamente $12,508, compensando parcialmente o impacto tributário. A renda tributável adicional líquida, após a compensação do QBID, é de aproximadamente $29,246, e o imposto de renda adicional estimado é de aproximadamente $3,510. Os valores exatos serão refletidos no Form 1040-X.</w:t>
      </w:r>
    </w:p>
    <w:p>
      <w:pPr>
        <w:pStyle w:val="BodyText"/>
      </w:pPr>
      <w:r>
        <w:t xml:space="preserve">Estou preparada para protocolar o Form 1040-X a fim de refletir todas as correções. No interesse de uma resolução ordenada e eficiente, solicito respeitosamente que o(a) Auditor(a) informe se o processamento por meio do exame por correspondência é preferível, ou se é necessário o protocolo de uma declaração retificadora formal em separado antes da emissão de qualquer ajuste proposto.</w:t>
      </w:r>
    </w:p>
    <w:p>
      <w:pPr>
        <w:pStyle w:val="BodyText"/>
      </w:pPr>
      <w:r>
        <w:t xml:space="preserve">Todos os documentos comprobatórios estão anexados conforme o Índice de Anexos em apenso.</w:t>
      </w:r>
    </w:p>
    <w:p>
      <w:r>
        <w:pict>
          <v:rect style="width:0;height:1.5pt" o:hralign="center" o:hrstd="t" o:hr="t"/>
        </w:pict>
      </w:r>
    </w:p>
    <w:p>
      <w:pPr>
        <w:pStyle w:val="FirstParagraph"/>
      </w:pPr>
      <w:r>
        <w:t xml:space="preserve">Respeitosamente submetido,</w:t>
      </w:r>
    </w:p>
    <w:p>
      <w:pPr>
        <w:pStyle w:val="BodyText"/>
      </w:pPr>
      <w:r>
        <w:rPr>
          <w:bCs/>
          <w:b/>
        </w:rPr>
        <w:t xml:space="preserve">Eliana Machado de Almeida</w:t>
      </w:r>
      <w:r>
        <w:t xml:space="preserve"> </w:t>
      </w:r>
      <w:r>
        <w:t xml:space="preserve">7 Briarwood Drive</w:t>
      </w:r>
      <w:r>
        <w:t xml:space="preserve"> </w:t>
      </w:r>
      <w:r>
        <w:t xml:space="preserve">Edgartown, MA 02539</w:t>
      </w:r>
    </w:p>
    <w:p>
      <w:pPr>
        <w:pStyle w:val="BodyText"/>
      </w:pPr>
      <w:r>
        <w:rPr>
          <w:iCs/>
          <w:i/>
        </w:rPr>
        <w:t xml:space="preserve">Anexos: Form 14817 (Folha de Rosto de Resposta); Anexos 1–12</w:t>
      </w:r>
    </w:p>
    <w:p>
      <w:r>
        <w:pict>
          <v:rect style="width:0;height:1.5pt" o:hralign="center" o:hrstd="t" o:hr="t"/>
        </w:pict>
      </w:r>
    </w:p>
    <w:p>
      <w:r>
        <w:pict>
          <v:rect style="width:0;height:1.5pt" o:hralign="center" o:hrstd="t" o:hr="t"/>
        </w:pict>
      </w:r>
    </w:p>
    <w:bookmarkEnd w:id="55"/>
    <w:bookmarkStart w:id="56" w:name="seção-7-comentários-ao-form-14817"/>
    <w:p>
      <w:pPr>
        <w:pStyle w:val="Heading1"/>
      </w:pPr>
      <w:r>
        <w:t xml:space="preserve">SEÇÃO 7 — COMENTÁRIOS AO FORM 14817</w:t>
      </w:r>
    </w:p>
    <w:p>
      <w:pPr>
        <w:pStyle w:val="FirstParagraph"/>
      </w:pPr>
      <w:r>
        <w:rPr>
          <w:bCs/>
          <w:b/>
        </w:rPr>
        <w:t xml:space="preserve">Form 14817 — Folha de Rosto de Resposta</w:t>
      </w:r>
      <w:r>
        <w:t xml:space="preserve"> </w:t>
      </w:r>
      <w:r>
        <w:rPr>
          <w:bCs/>
          <w:b/>
        </w:rPr>
        <w:t xml:space="preserve">Notificação:</w:t>
      </w:r>
      <w:r>
        <w:t xml:space="preserve"> </w:t>
      </w:r>
      <w:r>
        <w:t xml:space="preserve">Carta 566-T (Letter 566-T) |</w:t>
      </w:r>
      <w:r>
        <w:t xml:space="preserve"> </w:t>
      </w:r>
      <w:r>
        <w:rPr>
          <w:bCs/>
          <w:b/>
        </w:rPr>
        <w:t xml:space="preserve">Data da Notificação:</w:t>
      </w:r>
      <w:r>
        <w:t xml:space="preserve"> </w:t>
      </w:r>
      <w:r>
        <w:t xml:space="preserve">May 18, 2026</w:t>
      </w:r>
      <w:r>
        <w:t xml:space="preserve"> </w:t>
      </w:r>
      <w:r>
        <w:rPr>
          <w:bCs/>
          <w:b/>
        </w:rPr>
        <w:t xml:space="preserve">Contribuinte:</w:t>
      </w:r>
      <w:r>
        <w:t xml:space="preserve"> </w:t>
      </w:r>
      <w:r>
        <w:t xml:space="preserve">ELIANA MACHADO DE ALMEIDA |</w:t>
      </w:r>
      <w:r>
        <w:t xml:space="preserve"> </w:t>
      </w:r>
      <w:r>
        <w:rPr>
          <w:bCs/>
          <w:b/>
        </w:rPr>
        <w:t xml:space="preserve">SSN últimos 4 dígitos:</w:t>
      </w:r>
      <w:r>
        <w:t xml:space="preserve"> </w:t>
      </w:r>
      <w:r>
        <w:t xml:space="preserve">6336 |</w:t>
      </w:r>
      <w:r>
        <w:t xml:space="preserve"> </w:t>
      </w:r>
      <w:r>
        <w:rPr>
          <w:bCs/>
          <w:b/>
        </w:rPr>
        <w:t xml:space="preserve">Período Fiscal:</w:t>
      </w:r>
      <w:r>
        <w:t xml:space="preserve"> </w:t>
      </w:r>
      <w:r>
        <w:t xml:space="preserve">December 31, 2024</w:t>
      </w:r>
    </w:p>
    <w:p>
      <w:pPr>
        <w:pStyle w:val="BodyText"/>
      </w:pPr>
      <w:r>
        <w:rPr>
          <w:bCs/>
          <w:b/>
        </w:rPr>
        <w:t xml:space="preserve">Para:</w:t>
      </w:r>
      <w:r>
        <w:t xml:space="preserve"> </w:t>
      </w:r>
      <w:r>
        <w:t xml:space="preserve">Internal Revenue Service, Exame por Correspondência</w:t>
      </w:r>
      <w:r>
        <w:t xml:space="preserve"> </w:t>
      </w:r>
      <w:r>
        <w:rPr>
          <w:bCs/>
          <w:b/>
        </w:rPr>
        <w:t xml:space="preserve">De:</w:t>
      </w:r>
      <w:r>
        <w:t xml:space="preserve"> </w:t>
      </w:r>
      <w:r>
        <w:t xml:space="preserve">Eliana Machado de Almeida, Contribuinte sem Representação</w:t>
      </w:r>
      <w:r>
        <w:t xml:space="preserve"> </w:t>
      </w:r>
      <w:r>
        <w:rPr>
          <w:bCs/>
          <w:b/>
        </w:rPr>
        <w:t xml:space="preserve">Telefone:</w:t>
      </w:r>
      <w:r>
        <w:t xml:space="preserve"> </w:t>
      </w:r>
      <w:r>
        <w:t xml:space="preserve">[constante dos registros do IRS]</w:t>
      </w:r>
    </w:p>
    <w:p>
      <w:r>
        <w:pict>
          <v:rect style="width:0;height:1.5pt" o:hralign="center" o:hrstd="t" o:hr="t"/>
        </w:pict>
      </w:r>
    </w:p>
    <w:p>
      <w:pPr>
        <w:pStyle w:val="FirstParagraph"/>
      </w:pPr>
      <w:r>
        <w:rPr>
          <w:bCs/>
          <w:b/>
        </w:rPr>
        <w:t xml:space="preserve">Comentários:</w:t>
      </w:r>
    </w:p>
    <w:p>
      <w:pPr>
        <w:pStyle w:val="BodyText"/>
      </w:pPr>
      <w:r>
        <w:t xml:space="preserve">Submeto a seguinte resposta completa à Carta 566-T (Letter 566-T) (Schedule A — Juros Hipotecários Residenciais e Pontos Hipotecários (points), $114,034) para o meu ano fiscal de 2024. Todas as questões foram identificadas, analisadas e resolvidas integralmente. Uma concessão voluntária é oferecida.</w:t>
      </w:r>
    </w:p>
    <w:p>
      <w:r>
        <w:pict>
          <v:rect style="width:0;height:1.5pt" o:hralign="center" o:hrstd="t" o:hr="t"/>
        </w:pict>
      </w:r>
    </w:p>
    <w:p>
      <w:pPr>
        <w:pStyle w:val="FirstParagraph"/>
      </w:pPr>
      <w:r>
        <w:rPr>
          <w:bCs/>
          <w:b/>
        </w:rPr>
        <w:t xml:space="preserve">(1) Boa-Fé da Contribuinte — Ausência de Fabricação ou Inflação de Qualquer Valor</w:t>
      </w:r>
    </w:p>
    <w:p>
      <w:pPr>
        <w:pStyle w:val="BodyText"/>
      </w:pPr>
      <w:r>
        <w:t xml:space="preserve">Declarei juros hipotecários com base exclusivamente nos Forms 1098 emitidos por dois credores institucionais regulamentados: AmWest Funding Corp e Radius Financial Group. Cada dólar declarado no Schedule A remete diretamente a um documento emitido pelo credor. Em nenhum momento estimei, fabriquei ou inflacionei qualquer valor. Os erros identificados neste documento envolvem disposições complexas do Tax Cuts and Jobs Act de 2017.</w:t>
      </w:r>
    </w:p>
    <w:p>
      <w:pPr>
        <w:pStyle w:val="BodyText"/>
      </w:pPr>
      <w:r>
        <w:t xml:space="preserve">Registro ainda que um erro secundário fez com que os juros da Radius no valor de $1,869.86 fossem</w:t>
      </w:r>
      <w:r>
        <w:t xml:space="preserve"> </w:t>
      </w:r>
      <w:r>
        <w:rPr>
          <w:bCs/>
          <w:b/>
        </w:rPr>
        <w:t xml:space="preserve">omitidos</w:t>
      </w:r>
      <w:r>
        <w:t xml:space="preserve"> </w:t>
      </w:r>
      <w:r>
        <w:t xml:space="preserve">do Schedule A — reduzindo a minha dedução declarada abaixo de seu valor correto em $1,870. Este resultado é incompatível com qualquer intenção de declarar valores indevidos e está sendo divulgado voluntariamente.</w:t>
      </w:r>
    </w:p>
    <w:p>
      <w:r>
        <w:pict>
          <v:rect style="width:0;height:1.5pt" o:hralign="center" o:hrstd="t" o:hr="t"/>
        </w:pict>
      </w:r>
    </w:p>
    <w:p>
      <w:pPr>
        <w:pStyle w:val="FirstParagraph"/>
      </w:pPr>
      <w:r>
        <w:rPr>
          <w:bCs/>
          <w:b/>
        </w:rPr>
        <w:t xml:space="preserve">(2) Reconciliação de $114,034 — Totalmente Resolvida</w:t>
      </w:r>
    </w:p>
    <w:p>
      <w:pPr>
        <w:pStyle w:val="BodyText"/>
      </w:pPr>
      <w:r>
        <w:t xml:space="preserve">A dedução do Schedule A no valor de $114,034 é composta por:</w:t>
      </w:r>
      <w:r>
        <w:t xml:space="preserve"> </w:t>
      </w:r>
      <w:r>
        <w:t xml:space="preserve">- AmWest Funding Corp — juros hipotecários:</w:t>
      </w:r>
      <w:r>
        <w:t xml:space="preserve"> </w:t>
      </w:r>
      <w:r>
        <w:rPr>
          <w:bCs/>
          <w:b/>
        </w:rPr>
        <w:t xml:space="preserve">$95,134</w:t>
      </w:r>
      <w:r>
        <w:t xml:space="preserve"> </w:t>
      </w:r>
      <w:r>
        <w:t xml:space="preserve">(Form 1098, verificado por meio do Relatório de Atividade do Empréstimo (Loan Activity Report))</w:t>
      </w:r>
      <w:r>
        <w:t xml:space="preserve"> </w:t>
      </w:r>
      <w:r>
        <w:t xml:space="preserve">- Radius Financial Group — pontos hipotecários (points) pagos no fechamento:</w:t>
      </w:r>
      <w:r>
        <w:t xml:space="preserve"> </w:t>
      </w:r>
      <w:r>
        <w:rPr>
          <w:bCs/>
          <w:b/>
        </w:rPr>
        <w:t xml:space="preserve">$18,900</w:t>
      </w:r>
      <w:r>
        <w:t xml:space="preserve"> </w:t>
      </w:r>
      <w:r>
        <w:t xml:space="preserve">(Form 1098, Caixa 6, confirmado)</w:t>
      </w:r>
      <w:r>
        <w:t xml:space="preserve"> </w:t>
      </w:r>
      <w:r>
        <w:t xml:space="preserve">- Radius Financial Group — juros hipotecários:</w:t>
      </w:r>
      <w:r>
        <w:t xml:space="preserve"> </w:t>
      </w:r>
      <w:r>
        <w:rPr>
          <w:bCs/>
          <w:b/>
        </w:rPr>
        <w:t xml:space="preserve">$0 declarado / $1,870 efetivo</w:t>
      </w:r>
      <w:r>
        <w:t xml:space="preserve"> </w:t>
      </w:r>
      <w:r>
        <w:t xml:space="preserve">(inadvertidamente omitido; divulgado neste documento)</w:t>
      </w:r>
    </w:p>
    <w:p>
      <w:r>
        <w:pict>
          <v:rect style="width:0;height:1.5pt" o:hralign="center" o:hrstd="t" o:hr="t"/>
        </w:pict>
      </w:r>
    </w:p>
    <w:p>
      <w:pPr>
        <w:pStyle w:val="FirstParagraph"/>
      </w:pPr>
      <w:r>
        <w:rPr>
          <w:bCs/>
          <w:b/>
        </w:rPr>
        <w:t xml:space="preserve">(3) Juros AmWest — $95,134 Verificados</w:t>
      </w:r>
    </w:p>
    <w:p>
      <w:pPr>
        <w:pStyle w:val="BodyText"/>
      </w:pPr>
      <w:r>
        <w:t xml:space="preserve">Os juros da AmWest foram confirmados pagamento a pagamento contra o Relatório de Atividade do Empréstimo (Loan Activity Report) (Empréstimo Nº 2000086400). Onze pagamentos mensais mais os juros finais de quitação em November 19, 2024, totalizam $95,134.47, em perfeita concordância com o Form 1098, Caixa 1. Não há juros dedutíveis adicionais na transação de quitação.</w:t>
      </w:r>
    </w:p>
    <w:p>
      <w:r>
        <w:pict>
          <v:rect style="width:0;height:1.5pt" o:hralign="center" o:hrstd="t" o:hr="t"/>
        </w:pict>
      </w:r>
    </w:p>
    <w:p>
      <w:pPr>
        <w:pStyle w:val="FirstParagraph"/>
      </w:pPr>
      <w:r>
        <w:rPr>
          <w:bCs/>
          <w:b/>
        </w:rPr>
        <w:t xml:space="preserve">(4) Empréstimo Radius — Refinanciamento; Pontos Hipotecários (points) Devem Ser Amortizados</w:t>
      </w:r>
    </w:p>
    <w:p>
      <w:pPr>
        <w:pStyle w:val="BodyText"/>
      </w:pPr>
      <w:r>
        <w:t xml:space="preserve">O empréstimo da Radius liquidou o financiamento de aquisição da AmWest seis dias após a originação. Trata-se de um refinanciamento. Nos termos do IRC §461(g)(2) e da Publication 936 do IRS, os $18,900 em pontos hipotecários (points) devem ser deduzidos proporcionalmente ao longo do prazo de 30 anos do empréstimo. O valor dedutível correto para 2024, após a aplicação da proporção do limite do empréstimo, é de aproximadamente</w:t>
      </w:r>
      <w:r>
        <w:t xml:space="preserve"> </w:t>
      </w:r>
      <w:r>
        <w:rPr>
          <w:bCs/>
          <w:b/>
        </w:rPr>
        <w:t xml:space="preserve">$67</w:t>
      </w:r>
      <w:r>
        <w:t xml:space="preserve">. A declaração original tratou os $18,900 integrais como atualmente dedutíveis; este tratamento é concedido como incorreto.</w:t>
      </w:r>
    </w:p>
    <w:p>
      <w:r>
        <w:pict>
          <v:rect style="width:0;height:1.5pt" o:hralign="center" o:hrstd="t" o:hr="t"/>
        </w:pict>
      </w:r>
    </w:p>
    <w:p>
      <w:pPr>
        <w:pStyle w:val="FirstParagraph"/>
      </w:pPr>
      <w:r>
        <w:rPr>
          <w:bCs/>
          <w:b/>
        </w:rPr>
        <w:t xml:space="preserve">(5) IRC §163(h)(3)(B) — Limite do Empréstimo de $750,000 Não Aplicado</w:t>
      </w:r>
    </w:p>
    <w:p>
      <w:pPr>
        <w:pStyle w:val="BodyText"/>
      </w:pPr>
      <w:r>
        <w:t xml:space="preserve">Ambos os empréstimos foram originados após December 15, 2017. O limite do empréstimo qualificado de $750,000 pós-TCJA é aplicável. O Form 14900 não foi preenchido na declaração original. O Form 14900 preenchido (Anexo 11) estabelece:</w:t>
      </w:r>
      <w:r>
        <w:t xml:space="preserve"> </w:t>
      </w:r>
      <w:r>
        <w:t xml:space="preserve">- Saldo médio combinado do financiamento hipotecário (Linha 12): $939,744</w:t>
      </w:r>
      <w:r>
        <w:t xml:space="preserve"> </w:t>
      </w:r>
      <w:r>
        <w:t xml:space="preserve">- Limite do empréstimo qualificado (Linha 11): $750,000</w:t>
      </w:r>
      <w:r>
        <w:t xml:space="preserve"> </w:t>
      </w:r>
      <w:r>
        <w:t xml:space="preserve">- Proporção dedutível (Linha 14): 0.798</w:t>
      </w:r>
      <w:r>
        <w:t xml:space="preserve"> </w:t>
      </w:r>
      <w:r>
        <w:t xml:space="preserve">-</w:t>
      </w:r>
      <w:r>
        <w:t xml:space="preserve"> </w:t>
      </w:r>
      <w:r>
        <w:rPr>
          <w:bCs/>
          <w:b/>
        </w:rPr>
        <w:t xml:space="preserve">Juros dedutíveis corretos (Linha 15): $77,409</w:t>
      </w:r>
      <w:r>
        <w:t xml:space="preserve"> </w:t>
      </w:r>
      <w:r>
        <w:t xml:space="preserve">- Juros pessoais não dedutíveis (Linha 16): $19,595</w:t>
      </w:r>
    </w:p>
    <w:p>
      <w:r>
        <w:pict>
          <v:rect style="width:0;height:1.5pt" o:hralign="center" o:hrstd="t" o:hr="t"/>
        </w:pict>
      </w:r>
    </w:p>
    <w:p>
      <w:pPr>
        <w:pStyle w:val="FirstParagraph"/>
      </w:pPr>
      <w:r>
        <w:rPr>
          <w:bCs/>
          <w:b/>
        </w:rPr>
        <w:t xml:space="preserve">(6) Concessão Voluntária</w:t>
      </w:r>
    </w:p>
    <w:p>
      <w:pPr>
        <w:pStyle w:val="BodyText"/>
      </w:pPr>
      <w:r>
        <w:t xml:space="preserve">Concedo respeitosamente que a dedução hipotecária correta do Schedule A para 2024 é</w:t>
      </w:r>
      <w:r>
        <w:t xml:space="preserve"> </w:t>
      </w:r>
      <w:r>
        <w:rPr>
          <w:bCs/>
          <w:b/>
        </w:rPr>
        <w:t xml:space="preserve">$77,476</w:t>
      </w:r>
      <w:r>
        <w:t xml:space="preserve"> </w:t>
      </w:r>
      <w:r>
        <w:t xml:space="preserve">($77,409 de juros dedutíveis nos termos do Form 14900, acrescidos de $67 de pontos hipotecários (points) da Radius amortizados e ajustados pela proporção), em comparação com $114,034 conforme declarado. O excesso líquido é de</w:t>
      </w:r>
      <w:r>
        <w:t xml:space="preserve"> </w:t>
      </w:r>
      <w:r>
        <w:rPr>
          <w:bCs/>
          <w:b/>
        </w:rPr>
        <w:t xml:space="preserve">$36,558</w:t>
      </w:r>
      <w:r>
        <w:t xml:space="preserve">.</w:t>
      </w:r>
    </w:p>
    <w:p>
      <w:pPr>
        <w:pStyle w:val="BodyText"/>
      </w:pPr>
      <w:r>
        <w:t xml:space="preserve">Em decorrência desta redução, a minha Dedução de Renda de Negócio Qualificado (QBID) nos termos do IRC §199A aumenta de $5,196 para aproximadamente $12,508. A renda tributável adicional líquida, após a compensação do QBID, é de aproximadamente $29,246. Estou preparada para protocolar o Form 1040-X a fim de refletir todas as correções.</w:t>
      </w:r>
    </w:p>
    <w:p>
      <w:pPr>
        <w:pStyle w:val="BodyText"/>
      </w:pPr>
      <w:r>
        <w:t xml:space="preserve">Os documentos comprobatórios (Anexos 1–12) estão anexados conforme o Índice de Anexos.</w:t>
      </w:r>
    </w:p>
    <w:p>
      <w:r>
        <w:pict>
          <v:rect style="width:0;height:1.5pt" o:hralign="center" o:hrstd="t" o:hr="t"/>
        </w:pict>
      </w:r>
    </w:p>
    <w:p>
      <w:r>
        <w:pict>
          <v:rect style="width:0;height:1.5pt" o:hralign="center" o:hrstd="t" o:hr="t"/>
        </w:pict>
      </w:r>
    </w:p>
    <w:bookmarkEnd w:id="56"/>
    <w:bookmarkStart w:id="57" w:name="seção-8-índice-de-anexos"/>
    <w:p>
      <w:pPr>
        <w:pStyle w:val="Heading1"/>
      </w:pPr>
      <w:r>
        <w:t xml:space="preserve">SEÇÃO 8 — ÍNDICE DE ANEXOS</w:t>
      </w:r>
    </w:p>
    <w:tbl>
      <w:tblPr>
        <w:tblStyle w:val="Table"/>
        <w:tblW w:type="pct" w:w="5000"/>
        <w:tblLook w:firstRow="1" w:lastRow="0" w:firstColumn="0" w:lastColumn="0" w:noHBand="0" w:noVBand="0" w:val="0020"/>
        <w:jc w:val="start"/>
      </w:tblPr>
      <w:tblGrid>
        <w:gridCol w:w="1066"/>
        <w:gridCol w:w="1675"/>
        <w:gridCol w:w="1675"/>
        <w:gridCol w:w="3503"/>
      </w:tblGrid>
      <w:tr>
        <w:trPr>
          <w:tblHeader w:val="true"/>
        </w:trPr>
        <w:tc>
          <w:tcPr/>
          <w:p>
            <w:pPr>
              <w:pStyle w:val="Compact"/>
              <w:jc w:val="left"/>
            </w:pPr>
            <w:r>
              <w:t xml:space="preserve">Anexo</w:t>
            </w:r>
          </w:p>
        </w:tc>
        <w:tc>
          <w:tcPr/>
          <w:p>
            <w:pPr>
              <w:pStyle w:val="Compact"/>
              <w:jc w:val="left"/>
            </w:pPr>
            <w:r>
              <w:t xml:space="preserve">Descrição</w:t>
            </w:r>
          </w:p>
        </w:tc>
        <w:tc>
          <w:tcPr/>
          <w:p>
            <w:pPr>
              <w:pStyle w:val="Compact"/>
              <w:jc w:val="left"/>
            </w:pPr>
            <w:r>
              <w:t xml:space="preserve">Documento</w:t>
            </w:r>
          </w:p>
        </w:tc>
        <w:tc>
          <w:tcPr/>
          <w:p>
            <w:pPr>
              <w:pStyle w:val="Compact"/>
              <w:jc w:val="left"/>
            </w:pPr>
            <w:r>
              <w:t xml:space="preserve">Status de Verificação</w:t>
            </w:r>
          </w:p>
        </w:tc>
      </w:tr>
      <w:tr>
        <w:tc>
          <w:tcPr/>
          <w:p>
            <w:pPr>
              <w:pStyle w:val="Compact"/>
              <w:jc w:val="left"/>
            </w:pPr>
            <w:r>
              <w:rPr>
                <w:bCs/>
                <w:b/>
              </w:rPr>
              <w:t xml:space="preserve">1</w:t>
            </w:r>
          </w:p>
        </w:tc>
        <w:tc>
          <w:tcPr/>
          <w:p>
            <w:pPr>
              <w:pStyle w:val="Compact"/>
              <w:jc w:val="left"/>
            </w:pPr>
            <w:r>
              <w:t xml:space="preserve">Carta 566-T (Letter 566-T) do IRS (May 18, 2026)</w:t>
            </w:r>
          </w:p>
        </w:tc>
        <w:tc>
          <w:tcPr/>
          <w:p>
            <w:pPr>
              <w:pStyle w:val="Compact"/>
              <w:jc w:val="left"/>
            </w:pPr>
            <w:r>
              <w:t xml:space="preserve">Correspondência do IRS</w:t>
            </w:r>
          </w:p>
        </w:tc>
        <w:tc>
          <w:tcPr/>
          <w:p>
            <w:pPr>
              <w:pStyle w:val="Compact"/>
              <w:jc w:val="left"/>
            </w:pPr>
            <w:r>
              <w:t xml:space="preserve">✓</w:t>
            </w:r>
          </w:p>
        </w:tc>
      </w:tr>
      <w:tr>
        <w:tc>
          <w:tcPr/>
          <w:p>
            <w:pPr>
              <w:pStyle w:val="Compact"/>
              <w:jc w:val="left"/>
            </w:pPr>
            <w:r>
              <w:rPr>
                <w:bCs/>
                <w:b/>
              </w:rPr>
              <w:t xml:space="preserve">2</w:t>
            </w:r>
          </w:p>
        </w:tc>
        <w:tc>
          <w:tcPr/>
          <w:p>
            <w:pPr>
              <w:pStyle w:val="Compact"/>
              <w:jc w:val="left"/>
            </w:pPr>
            <w:r>
              <w:t xml:space="preserve">Declaração de Fechamento (Closing Disclosure) — 4 Laura’s Way, Edgartown MA</w:t>
            </w:r>
          </w:p>
        </w:tc>
        <w:tc>
          <w:tcPr/>
          <w:p>
            <w:pPr>
              <w:pStyle w:val="Compact"/>
              <w:jc w:val="left"/>
            </w:pPr>
            <w:r>
              <w:t xml:space="preserve">Agente de Liquidação</w:t>
            </w:r>
          </w:p>
        </w:tc>
        <w:tc>
          <w:tcPr/>
          <w:p>
            <w:pPr>
              <w:pStyle w:val="Compact"/>
              <w:jc w:val="left"/>
            </w:pPr>
            <w:r>
              <w:t xml:space="preserve">✓ Anexado</w:t>
            </w:r>
          </w:p>
        </w:tc>
      </w:tr>
      <w:tr>
        <w:tc>
          <w:tcPr/>
          <w:p>
            <w:pPr>
              <w:pStyle w:val="Compact"/>
              <w:jc w:val="left"/>
            </w:pPr>
            <w:r>
              <w:rPr>
                <w:bCs/>
                <w:b/>
              </w:rPr>
              <w:t xml:space="preserve">3</w:t>
            </w:r>
          </w:p>
        </w:tc>
        <w:tc>
          <w:tcPr/>
          <w:p>
            <w:pPr>
              <w:pStyle w:val="Compact"/>
              <w:jc w:val="left"/>
            </w:pPr>
            <w:r>
              <w:t xml:space="preserve">Nota Hipotecária (Mortgage Note) — AmWest Funding Corp &amp; Radius Financial</w:t>
            </w:r>
          </w:p>
        </w:tc>
        <w:tc>
          <w:tcPr/>
          <w:p>
            <w:pPr>
              <w:pStyle w:val="Compact"/>
              <w:jc w:val="left"/>
            </w:pPr>
            <w:r>
              <w:t xml:space="preserve">Credor</w:t>
            </w:r>
          </w:p>
        </w:tc>
        <w:tc>
          <w:tcPr/>
          <w:p>
            <w:pPr>
              <w:pStyle w:val="Compact"/>
              <w:jc w:val="left"/>
            </w:pPr>
            <w:r>
              <w:t xml:space="preserve">✓ Anexado</w:t>
            </w:r>
          </w:p>
        </w:tc>
      </w:tr>
      <w:tr>
        <w:tc>
          <w:tcPr/>
          <w:p>
            <w:pPr>
              <w:pStyle w:val="Compact"/>
              <w:jc w:val="left"/>
            </w:pPr>
            <w:r>
              <w:rPr>
                <w:bCs/>
                <w:b/>
              </w:rPr>
              <w:t xml:space="preserve">4</w:t>
            </w:r>
          </w:p>
        </w:tc>
        <w:tc>
          <w:tcPr/>
          <w:p>
            <w:pPr>
              <w:pStyle w:val="Compact"/>
              <w:jc w:val="left"/>
            </w:pPr>
            <w:r>
              <w:t xml:space="preserve">Form 1098 — AmWest Funding Corp (Caixa 1: $95,134.47; Caixa 6: $0)</w:t>
            </w:r>
          </w:p>
        </w:tc>
        <w:tc>
          <w:tcPr/>
          <w:p>
            <w:pPr>
              <w:pStyle w:val="Compact"/>
              <w:jc w:val="left"/>
            </w:pPr>
            <w:r>
              <w:t xml:space="preserve">AmWest</w:t>
            </w:r>
          </w:p>
        </w:tc>
        <w:tc>
          <w:tcPr/>
          <w:p>
            <w:pPr>
              <w:pStyle w:val="Compact"/>
              <w:jc w:val="left"/>
            </w:pPr>
            <w:r>
              <w:t xml:space="preserve">✓ Verificado</w:t>
            </w:r>
          </w:p>
        </w:tc>
      </w:tr>
      <w:tr>
        <w:tc>
          <w:tcPr/>
          <w:p>
            <w:pPr>
              <w:pStyle w:val="Compact"/>
              <w:jc w:val="left"/>
            </w:pPr>
            <w:r>
              <w:rPr>
                <w:bCs/>
                <w:b/>
              </w:rPr>
              <w:t xml:space="preserve">5</w:t>
            </w:r>
          </w:p>
        </w:tc>
        <w:tc>
          <w:tcPr/>
          <w:p>
            <w:pPr>
              <w:pStyle w:val="Compact"/>
              <w:jc w:val="left"/>
            </w:pPr>
            <w:r>
              <w:t xml:space="preserve">Form 1098 — Radius Financial Group (Caixa 1: $1,869.86; Caixa 6: $18,900)</w:t>
            </w:r>
          </w:p>
        </w:tc>
        <w:tc>
          <w:tcPr/>
          <w:p>
            <w:pPr>
              <w:pStyle w:val="Compact"/>
              <w:jc w:val="left"/>
            </w:pPr>
            <w:r>
              <w:t xml:space="preserve">Radius</w:t>
            </w:r>
          </w:p>
        </w:tc>
        <w:tc>
          <w:tcPr/>
          <w:p>
            <w:pPr>
              <w:pStyle w:val="Compact"/>
              <w:jc w:val="left"/>
            </w:pPr>
            <w:r>
              <w:t xml:space="preserve">✓ Confirmado</w:t>
            </w:r>
          </w:p>
        </w:tc>
      </w:tr>
      <w:tr>
        <w:tc>
          <w:tcPr/>
          <w:p>
            <w:pPr>
              <w:pStyle w:val="Compact"/>
              <w:jc w:val="left"/>
            </w:pPr>
            <w:r>
              <w:rPr>
                <w:bCs/>
                <w:b/>
              </w:rPr>
              <w:t xml:space="preserve">6</w:t>
            </w:r>
          </w:p>
        </w:tc>
        <w:tc>
          <w:tcPr/>
          <w:p>
            <w:pPr>
              <w:pStyle w:val="Compact"/>
              <w:jc w:val="left"/>
            </w:pPr>
            <w:r>
              <w:t xml:space="preserve">Relatório de Atividade do Empréstimo (Loan Activity Report) — AmWest, Empréstimo Nº 2000086400 (June 3, 2026)</w:t>
            </w:r>
          </w:p>
        </w:tc>
        <w:tc>
          <w:tcPr/>
          <w:p>
            <w:pPr>
              <w:pStyle w:val="Compact"/>
              <w:jc w:val="left"/>
            </w:pPr>
            <w:r>
              <w:t xml:space="preserve">AmWest</w:t>
            </w:r>
          </w:p>
        </w:tc>
        <w:tc>
          <w:tcPr/>
          <w:p>
            <w:pPr>
              <w:pStyle w:val="Compact"/>
              <w:jc w:val="left"/>
            </w:pPr>
            <w:r>
              <w:t xml:space="preserve">✓ Verificado</w:t>
            </w:r>
          </w:p>
        </w:tc>
      </w:tr>
      <w:tr>
        <w:tc>
          <w:tcPr/>
          <w:p>
            <w:pPr>
              <w:pStyle w:val="Compact"/>
              <w:jc w:val="left"/>
            </w:pPr>
            <w:r>
              <w:rPr>
                <w:bCs/>
                <w:b/>
              </w:rPr>
              <w:t xml:space="preserve">7</w:t>
            </w:r>
          </w:p>
        </w:tc>
        <w:tc>
          <w:tcPr/>
          <w:p>
            <w:pPr>
              <w:pStyle w:val="Compact"/>
              <w:jc w:val="left"/>
            </w:pPr>
            <w:r>
              <w:t xml:space="preserve">Schedule A — 2024</w:t>
            </w:r>
          </w:p>
        </w:tc>
        <w:tc>
          <w:tcPr/>
          <w:p>
            <w:pPr>
              <w:pStyle w:val="Compact"/>
              <w:jc w:val="left"/>
            </w:pPr>
            <w:r>
              <w:t xml:space="preserve">Declaração Protocolada</w:t>
            </w:r>
          </w:p>
        </w:tc>
        <w:tc>
          <w:tcPr/>
          <w:p>
            <w:pPr>
              <w:pStyle w:val="Compact"/>
              <w:jc w:val="left"/>
            </w:pPr>
            <w:r>
              <w:t xml:space="preserve">✓</w:t>
            </w:r>
          </w:p>
        </w:tc>
      </w:tr>
      <w:tr>
        <w:tc>
          <w:tcPr/>
          <w:p>
            <w:pPr>
              <w:pStyle w:val="Compact"/>
              <w:jc w:val="left"/>
            </w:pPr>
            <w:r>
              <w:rPr>
                <w:bCs/>
                <w:b/>
              </w:rPr>
              <w:t xml:space="preserve">8</w:t>
            </w:r>
          </w:p>
        </w:tc>
        <w:tc>
          <w:tcPr/>
          <w:p>
            <w:pPr>
              <w:pStyle w:val="Compact"/>
              <w:jc w:val="left"/>
            </w:pPr>
            <w:r>
              <w:t xml:space="preserve">Form 1040 — 2024 (Páginas 1–2)</w:t>
            </w:r>
          </w:p>
        </w:tc>
        <w:tc>
          <w:tcPr/>
          <w:p>
            <w:pPr>
              <w:pStyle w:val="Compact"/>
              <w:jc w:val="left"/>
            </w:pPr>
            <w:r>
              <w:t xml:space="preserve">Declaração Protocolada</w:t>
            </w:r>
          </w:p>
        </w:tc>
        <w:tc>
          <w:tcPr/>
          <w:p>
            <w:pPr>
              <w:pStyle w:val="Compact"/>
              <w:jc w:val="left"/>
            </w:pPr>
            <w:r>
              <w:t xml:space="preserve">✓</w:t>
            </w:r>
          </w:p>
        </w:tc>
      </w:tr>
      <w:tr>
        <w:tc>
          <w:tcPr/>
          <w:p>
            <w:pPr>
              <w:pStyle w:val="Compact"/>
              <w:jc w:val="left"/>
            </w:pPr>
            <w:r>
              <w:rPr>
                <w:bCs/>
                <w:b/>
              </w:rPr>
              <w:t xml:space="preserve">9</w:t>
            </w:r>
          </w:p>
        </w:tc>
        <w:tc>
          <w:tcPr/>
          <w:p>
            <w:pPr>
              <w:pStyle w:val="Compact"/>
              <w:jc w:val="left"/>
            </w:pPr>
            <w:r>
              <w:t xml:space="preserve">Capturas de Tela do Drake — Lançamento de Dados do Form 1098 (Registros 1 e 2) + Planilha de Limite do Empréstimo</w:t>
            </w:r>
          </w:p>
        </w:tc>
        <w:tc>
          <w:tcPr/>
          <w:p>
            <w:pPr>
              <w:pStyle w:val="Compact"/>
              <w:jc w:val="left"/>
            </w:pPr>
            <w:r>
              <w:t xml:space="preserve">Drake Software</w:t>
            </w:r>
          </w:p>
        </w:tc>
        <w:tc>
          <w:tcPr/>
          <w:p>
            <w:pPr>
              <w:pStyle w:val="Compact"/>
              <w:jc w:val="left"/>
            </w:pPr>
            <w:r>
              <w:t xml:space="preserve">✓</w:t>
            </w:r>
          </w:p>
        </w:tc>
      </w:tr>
      <w:tr>
        <w:tc>
          <w:tcPr/>
          <w:p>
            <w:pPr>
              <w:pStyle w:val="Compact"/>
              <w:jc w:val="left"/>
            </w:pPr>
            <w:r>
              <w:rPr>
                <w:bCs/>
                <w:b/>
              </w:rPr>
              <w:t xml:space="preserve">10</w:t>
            </w:r>
          </w:p>
        </w:tc>
        <w:tc>
          <w:tcPr/>
          <w:p>
            <w:pPr>
              <w:pStyle w:val="Compact"/>
              <w:jc w:val="left"/>
            </w:pPr>
            <w:r>
              <w:t xml:space="preserve">Reconciliação de Juros Hipotecários (este pacote, Seção 2)</w:t>
            </w:r>
          </w:p>
        </w:tc>
        <w:tc>
          <w:tcPr/>
          <w:p>
            <w:pPr>
              <w:pStyle w:val="Compact"/>
              <w:jc w:val="left"/>
            </w:pPr>
            <w:r>
              <w:t xml:space="preserve">Elaborado</w:t>
            </w:r>
          </w:p>
        </w:tc>
        <w:tc>
          <w:tcPr/>
          <w:p>
            <w:pPr>
              <w:pStyle w:val="Compact"/>
              <w:jc w:val="left"/>
            </w:pPr>
            <w:r>
              <w:t xml:space="preserve">✓</w:t>
            </w:r>
          </w:p>
        </w:tc>
      </w:tr>
      <w:tr>
        <w:tc>
          <w:tcPr/>
          <w:p>
            <w:pPr>
              <w:pStyle w:val="Compact"/>
              <w:jc w:val="left"/>
            </w:pPr>
            <w:r>
              <w:rPr>
                <w:bCs/>
                <w:b/>
              </w:rPr>
              <w:t xml:space="preserve">11</w:t>
            </w:r>
          </w:p>
        </w:tc>
        <w:tc>
          <w:tcPr/>
          <w:p>
            <w:pPr>
              <w:pStyle w:val="Compact"/>
              <w:jc w:val="left"/>
            </w:pPr>
            <w:r>
              <w:t xml:space="preserve">Form 14900 Preenchido (este pacote, Seção 3)</w:t>
            </w:r>
          </w:p>
        </w:tc>
        <w:tc>
          <w:tcPr/>
          <w:p>
            <w:pPr>
              <w:pStyle w:val="Compact"/>
              <w:jc w:val="left"/>
            </w:pPr>
            <w:r>
              <w:t xml:space="preserve">Elaborado</w:t>
            </w:r>
          </w:p>
        </w:tc>
        <w:tc>
          <w:tcPr/>
          <w:p>
            <w:pPr>
              <w:pStyle w:val="Compact"/>
              <w:jc w:val="left"/>
            </w:pPr>
            <w:r>
              <w:t xml:space="preserve">✓</w:t>
            </w:r>
          </w:p>
        </w:tc>
      </w:tr>
      <w:tr>
        <w:tc>
          <w:tcPr/>
          <w:p>
            <w:pPr>
              <w:pStyle w:val="Compact"/>
              <w:jc w:val="left"/>
            </w:pPr>
            <w:r>
              <w:rPr>
                <w:bCs/>
                <w:b/>
              </w:rPr>
              <w:t xml:space="preserve">12</w:t>
            </w:r>
          </w:p>
        </w:tc>
        <w:tc>
          <w:tcPr/>
          <w:p>
            <w:pPr>
              <w:pStyle w:val="Compact"/>
              <w:jc w:val="left"/>
            </w:pPr>
            <w:r>
              <w:t xml:space="preserve">Carta de Resposta ao IRS (este pacote, Seção 6)</w:t>
            </w:r>
          </w:p>
        </w:tc>
        <w:tc>
          <w:tcPr/>
          <w:p>
            <w:pPr>
              <w:pStyle w:val="Compact"/>
              <w:jc w:val="left"/>
            </w:pPr>
            <w:r>
              <w:t xml:space="preserve">Elaborado</w:t>
            </w:r>
          </w:p>
        </w:tc>
        <w:tc>
          <w:tcPr/>
          <w:p>
            <w:pPr>
              <w:pStyle w:val="Compact"/>
              <w:jc w:val="left"/>
            </w:pPr>
            <w:r>
              <w:t xml:space="preserve">✓</w:t>
            </w:r>
          </w:p>
        </w:tc>
      </w:tr>
    </w:tbl>
    <w:p>
      <w:r>
        <w:pict>
          <v:rect style="width:0;height:1.5pt" o:hralign="center" o:hrstd="t" o:hr="t"/>
        </w:pict>
      </w:r>
    </w:p>
    <w:p>
      <w:r>
        <w:pict>
          <v:rect style="width:0;height:1.5pt" o:hralign="center" o:hrstd="t" o:hr="t"/>
        </w:pict>
      </w:r>
    </w:p>
    <w:bookmarkEnd w:id="57"/>
    <w:bookmarkStart w:id="65" w:name="seção-9-lista-de-verificação-para-envio"/>
    <w:p>
      <w:pPr>
        <w:pStyle w:val="Heading1"/>
      </w:pPr>
      <w:r>
        <w:t xml:space="preserve">SEÇÃO 9 — LISTA DE VERIFICAÇÃO PARA ENVIO</w:t>
      </w:r>
    </w:p>
    <w:bookmarkStart w:id="64" w:name="revisão-pré-envio"/>
    <w:p>
      <w:pPr>
        <w:pStyle w:val="Heading2"/>
      </w:pPr>
      <w:r>
        <w:t xml:space="preserve">Revisão Pré-Envio</w:t>
      </w:r>
    </w:p>
    <w:bookmarkStart w:id="58" w:name="documentos-verificados-e-confirmados"/>
    <w:p>
      <w:pPr>
        <w:pStyle w:val="Heading3"/>
      </w:pPr>
      <w:r>
        <w:t xml:space="preserve">✅ Documentos Verificados e Confirmados</w:t>
      </w:r>
    </w:p>
    <w:p>
      <w:pPr>
        <w:numPr>
          <w:ilvl w:val="0"/>
          <w:numId w:val="1002"/>
        </w:numPr>
        <w:pStyle w:val="Compact"/>
      </w:pPr>
      <w:r>
        <w:t xml:space="preserve">☒ Carta 566-T (Letter 566-T) do IRS revisada — prazo de resposta June 17, 2026</w:t>
      </w:r>
    </w:p>
    <w:p>
      <w:pPr>
        <w:numPr>
          <w:ilvl w:val="0"/>
          <w:numId w:val="1002"/>
        </w:numPr>
        <w:pStyle w:val="Compact"/>
      </w:pPr>
      <w:r>
        <w:t xml:space="preserve">☒ Requisitos do Form 886-H-INT revisados (extratos anuais de juros, contratos de empréstimo, Declaração de Fechamento (Closing Disclosure))</w:t>
      </w:r>
    </w:p>
    <w:p>
      <w:pPr>
        <w:numPr>
          <w:ilvl w:val="0"/>
          <w:numId w:val="1002"/>
        </w:numPr>
        <w:pStyle w:val="Compact"/>
      </w:pPr>
      <w:r>
        <w:t xml:space="preserve">☒ Form 1098 da AmWest verificado contra o Relatório de Atividade do Empréstimo (Loan Activity Report) — $95,134 ✓</w:t>
      </w:r>
    </w:p>
    <w:p>
      <w:pPr>
        <w:numPr>
          <w:ilvl w:val="0"/>
          <w:numId w:val="1002"/>
        </w:numPr>
        <w:pStyle w:val="Compact"/>
      </w:pPr>
      <w:r>
        <w:t xml:space="preserve">☒ Form 1098 da Radius confirmado — juros $1,869.86; pontos hipotecários (points) $18,900 ✓</w:t>
      </w:r>
    </w:p>
    <w:p>
      <w:pPr>
        <w:numPr>
          <w:ilvl w:val="0"/>
          <w:numId w:val="1002"/>
        </w:numPr>
        <w:pStyle w:val="Compact"/>
      </w:pPr>
      <w:r>
        <w:t xml:space="preserve">☒ Transação de quitação revisada — não há juros adicionais além do Form 1098 ✓</w:t>
      </w:r>
    </w:p>
    <w:p>
      <w:pPr>
        <w:numPr>
          <w:ilvl w:val="0"/>
          <w:numId w:val="1002"/>
        </w:numPr>
        <w:pStyle w:val="Compact"/>
      </w:pPr>
      <w:r>
        <w:t xml:space="preserve">☒ Declaração de Fechamento (Closing Disclosure) revisada e anexada</w:t>
      </w:r>
    </w:p>
    <w:p>
      <w:pPr>
        <w:numPr>
          <w:ilvl w:val="0"/>
          <w:numId w:val="1002"/>
        </w:numPr>
        <w:pStyle w:val="Compact"/>
      </w:pPr>
      <w:r>
        <w:t xml:space="preserve">☒ Nota Hipotecária (Mortgage Note) revisada e anexada</w:t>
      </w:r>
    </w:p>
    <w:p>
      <w:pPr>
        <w:numPr>
          <w:ilvl w:val="0"/>
          <w:numId w:val="1002"/>
        </w:numPr>
        <w:pStyle w:val="Compact"/>
      </w:pPr>
      <w:r>
        <w:t xml:space="preserve">☒ Lançamento de dados no Drake confirmado — ambas as telas do Form 1098 revisadas</w:t>
      </w:r>
    </w:p>
    <w:p>
      <w:pPr>
        <w:numPr>
          <w:ilvl w:val="0"/>
          <w:numId w:val="1002"/>
        </w:numPr>
        <w:pStyle w:val="Compact"/>
      </w:pPr>
      <w:r>
        <w:t xml:space="preserve">☒ Planilha de Juros Hipotecários Dedutíveis do Drake — confirmada como EM BRANCO (Form 14900 não executado)</w:t>
      </w:r>
    </w:p>
    <w:bookmarkEnd w:id="58"/>
    <w:bookmarkStart w:id="59" w:name="reconciliação-concluída"/>
    <w:p>
      <w:pPr>
        <w:pStyle w:val="Heading3"/>
      </w:pPr>
      <w:r>
        <w:t xml:space="preserve">✅ Reconciliação Concluída</w:t>
      </w:r>
    </w:p>
    <w:p>
      <w:pPr>
        <w:numPr>
          <w:ilvl w:val="0"/>
          <w:numId w:val="1003"/>
        </w:numPr>
        <w:pStyle w:val="Compact"/>
      </w:pPr>
      <w:r>
        <w:t xml:space="preserve">☒ $114,034 = $95,134 (AmWest) + $18,900 (pontos hipotecários (points) Radius) — TOTALMENTE EXPLICADO ✓</w:t>
      </w:r>
    </w:p>
    <w:p>
      <w:pPr>
        <w:numPr>
          <w:ilvl w:val="0"/>
          <w:numId w:val="1003"/>
        </w:numPr>
        <w:pStyle w:val="Compact"/>
      </w:pPr>
      <w:r>
        <w:t xml:space="preserve">☒ Juros da Radius omitidos ($1,869.86) identificados e divulgados</w:t>
      </w:r>
    </w:p>
    <w:p>
      <w:pPr>
        <w:numPr>
          <w:ilvl w:val="0"/>
          <w:numId w:val="1003"/>
        </w:numPr>
        <w:pStyle w:val="Compact"/>
      </w:pPr>
      <w:r>
        <w:t xml:space="preserve">☒ Empréstimo Radius classificado como refinanciamento — pontos hipotecários (points) devem ser amortizados</w:t>
      </w:r>
    </w:p>
    <w:p>
      <w:pPr>
        <w:numPr>
          <w:ilvl w:val="0"/>
          <w:numId w:val="1003"/>
        </w:numPr>
        <w:pStyle w:val="Compact"/>
      </w:pPr>
      <w:r>
        <w:t xml:space="preserve">☒ Limitação do IRC §163(h)(3)(B) calculada via Form 14900</w:t>
      </w:r>
    </w:p>
    <w:bookmarkEnd w:id="59"/>
    <w:bookmarkStart w:id="60" w:name="cálculos-do-form-14900-verificados"/>
    <w:p>
      <w:pPr>
        <w:pStyle w:val="Heading3"/>
      </w:pPr>
      <w:r>
        <w:t xml:space="preserve">✅ Cálculos do Form 14900 Verificados</w:t>
      </w:r>
    </w:p>
    <w:p>
      <w:pPr>
        <w:numPr>
          <w:ilvl w:val="0"/>
          <w:numId w:val="1004"/>
        </w:numPr>
        <w:pStyle w:val="Compact"/>
      </w:pPr>
      <w:r>
        <w:t xml:space="preserve">☒ Saldo médio da AmWest: $519,744</w:t>
      </w:r>
    </w:p>
    <w:p>
      <w:pPr>
        <w:numPr>
          <w:ilvl w:val="0"/>
          <w:numId w:val="1004"/>
        </w:numPr>
        <w:pStyle w:val="Compact"/>
      </w:pPr>
      <w:r>
        <w:t xml:space="preserve">☒ Saldo médio da Radius: $420,000</w:t>
      </w:r>
    </w:p>
    <w:p>
      <w:pPr>
        <w:numPr>
          <w:ilvl w:val="0"/>
          <w:numId w:val="1004"/>
        </w:numPr>
        <w:pStyle w:val="Compact"/>
      </w:pPr>
      <w:r>
        <w:t xml:space="preserve">☒ Saldo médio combinado (Linha 12): $939,744</w:t>
      </w:r>
    </w:p>
    <w:p>
      <w:pPr>
        <w:numPr>
          <w:ilvl w:val="0"/>
          <w:numId w:val="1004"/>
        </w:numPr>
        <w:pStyle w:val="Compact"/>
      </w:pPr>
      <w:r>
        <w:t xml:space="preserve">☒ Limite do empréstimo qualificado (Linha 11): $750,000</w:t>
      </w:r>
    </w:p>
    <w:p>
      <w:pPr>
        <w:numPr>
          <w:ilvl w:val="0"/>
          <w:numId w:val="1004"/>
        </w:numPr>
        <w:pStyle w:val="Compact"/>
      </w:pPr>
      <w:r>
        <w:t xml:space="preserve">☒ Proporção dedutível (Linha 14): 0.798</w:t>
      </w:r>
    </w:p>
    <w:p>
      <w:pPr>
        <w:numPr>
          <w:ilvl w:val="0"/>
          <w:numId w:val="1004"/>
        </w:numPr>
        <w:pStyle w:val="Compact"/>
      </w:pPr>
      <w:r>
        <w:t xml:space="preserve">☒ Juros dedutíveis (Linha 15):</w:t>
      </w:r>
      <w:r>
        <w:t xml:space="preserve"> </w:t>
      </w:r>
      <w:r>
        <w:rPr>
          <w:bCs/>
          <w:b/>
        </w:rPr>
        <w:t xml:space="preserve">$77,409</w:t>
      </w:r>
    </w:p>
    <w:p>
      <w:pPr>
        <w:numPr>
          <w:ilvl w:val="0"/>
          <w:numId w:val="1004"/>
        </w:numPr>
        <w:pStyle w:val="Compact"/>
      </w:pPr>
      <w:r>
        <w:t xml:space="preserve">☒ Juros não dedutíveis (Linha 16): $19,595</w:t>
      </w:r>
    </w:p>
    <w:bookmarkEnd w:id="60"/>
    <w:bookmarkStart w:id="61" w:name="resumo-da-dedução-corrigida"/>
    <w:p>
      <w:pPr>
        <w:pStyle w:val="Heading3"/>
      </w:pPr>
      <w:r>
        <w:t xml:space="preserve">✅ Resumo da Dedução Corrigida</w:t>
      </w:r>
    </w:p>
    <w:tbl>
      <w:tblPr>
        <w:tblStyle w:val="Table"/>
        <w:tblW w:type="pct" w:w="5000"/>
        <w:tblLook w:firstRow="1" w:lastRow="0" w:firstColumn="0" w:lastColumn="0" w:noHBand="0" w:noVBand="0" w:val="0020"/>
        <w:jc w:val="start"/>
      </w:tblPr>
      <w:tblGrid>
        <w:gridCol w:w="5002"/>
        <w:gridCol w:w="2917"/>
      </w:tblGrid>
      <w:tr>
        <w:trPr>
          <w:tblHeader w:val="true"/>
        </w:trPr>
        <w:tc>
          <w:tcPr/>
          <w:p>
            <w:pPr>
              <w:pStyle w:val="Compact"/>
              <w:jc w:val="left"/>
            </w:pPr>
            <w:r>
              <w:t xml:space="preserve">Componente</w:t>
            </w:r>
          </w:p>
        </w:tc>
        <w:tc>
          <w:tcPr/>
          <w:p>
            <w:pPr>
              <w:pStyle w:val="Compact"/>
              <w:jc w:val="left"/>
            </w:pPr>
            <w:r>
              <w:t xml:space="preserve">Valor</w:t>
            </w:r>
          </w:p>
        </w:tc>
      </w:tr>
      <w:tr>
        <w:tc>
          <w:tcPr/>
          <w:p>
            <w:pPr>
              <w:pStyle w:val="Compact"/>
              <w:jc w:val="left"/>
            </w:pPr>
            <w:r>
              <w:t xml:space="preserve">Juros dedutíveis (Form 14900, Linha 15) — inclui proporcionalmente os juros da AmWest e da Radius</w:t>
            </w:r>
          </w:p>
        </w:tc>
        <w:tc>
          <w:tcPr/>
          <w:p>
            <w:pPr>
              <w:pStyle w:val="Compact"/>
              <w:jc w:val="left"/>
            </w:pPr>
            <w:r>
              <w:t xml:space="preserve">$77,409</w:t>
            </w:r>
          </w:p>
        </w:tc>
      </w:tr>
      <w:tr>
        <w:tc>
          <w:tcPr/>
          <w:p>
            <w:pPr>
              <w:pStyle w:val="Compact"/>
              <w:jc w:val="left"/>
            </w:pPr>
            <w:r>
              <w:t xml:space="preserve">Pontos hipotecários (points) dedutíveis da Radius em 2024 (amortizados, ajustados pela proporção)</w:t>
            </w:r>
          </w:p>
        </w:tc>
        <w:tc>
          <w:tcPr/>
          <w:p>
            <w:pPr>
              <w:pStyle w:val="Compact"/>
              <w:jc w:val="left"/>
            </w:pPr>
            <w:r>
              <w:t xml:space="preserve">$67</w:t>
            </w:r>
          </w:p>
        </w:tc>
      </w:tr>
      <w:tr>
        <w:tc>
          <w:tcPr/>
          <w:p>
            <w:pPr>
              <w:pStyle w:val="Compact"/>
              <w:jc w:val="left"/>
            </w:pPr>
            <w:r>
              <w:rPr>
                <w:bCs/>
                <w:b/>
              </w:rPr>
              <w:t xml:space="preserve">Dedução hipotecária correta do Schedule A</w:t>
            </w:r>
          </w:p>
        </w:tc>
        <w:tc>
          <w:tcPr/>
          <w:p>
            <w:pPr>
              <w:pStyle w:val="Compact"/>
              <w:jc w:val="left"/>
            </w:pPr>
            <w:r>
              <w:rPr>
                <w:bCs/>
                <w:b/>
              </w:rPr>
              <w:t xml:space="preserve">$77,476</w:t>
            </w:r>
          </w:p>
        </w:tc>
      </w:tr>
      <w:tr>
        <w:tc>
          <w:tcPr/>
          <w:p>
            <w:pPr>
              <w:pStyle w:val="Compact"/>
              <w:jc w:val="left"/>
            </w:pPr>
            <w:r>
              <w:t xml:space="preserve">Valor declarado</w:t>
            </w:r>
          </w:p>
        </w:tc>
        <w:tc>
          <w:tcPr/>
          <w:p>
            <w:pPr>
              <w:pStyle w:val="Compact"/>
              <w:jc w:val="left"/>
            </w:pPr>
            <w:r>
              <w:t xml:space="preserve">$114,034</w:t>
            </w:r>
          </w:p>
        </w:tc>
      </w:tr>
      <w:tr>
        <w:tc>
          <w:tcPr/>
          <w:p>
            <w:pPr>
              <w:pStyle w:val="Compact"/>
              <w:jc w:val="left"/>
            </w:pPr>
            <w:r>
              <w:rPr>
                <w:bCs/>
                <w:b/>
              </w:rPr>
              <w:t xml:space="preserve">Excesso concedido</w:t>
            </w:r>
          </w:p>
        </w:tc>
        <w:tc>
          <w:tcPr/>
          <w:p>
            <w:pPr>
              <w:pStyle w:val="Compact"/>
              <w:jc w:val="left"/>
            </w:pPr>
            <w:r>
              <w:rPr>
                <w:bCs/>
                <w:b/>
              </w:rPr>
              <w:t xml:space="preserve">$36,558</w:t>
            </w:r>
          </w:p>
        </w:tc>
      </w:tr>
    </w:tbl>
    <w:bookmarkEnd w:id="61"/>
    <w:bookmarkStart w:id="62" w:name="confirmar-antes-do-envio-final"/>
    <w:p>
      <w:pPr>
        <w:pStyle w:val="Heading3"/>
      </w:pPr>
      <w:r>
        <w:t xml:space="preserve">⚠️ Confirmar Antes do Envio Final</w:t>
      </w:r>
    </w:p>
    <w:p>
      <w:pPr>
        <w:numPr>
          <w:ilvl w:val="0"/>
          <w:numId w:val="1005"/>
        </w:numPr>
        <w:pStyle w:val="Compact"/>
      </w:pPr>
      <w:r>
        <w:t xml:space="preserve">☐ Obter a Nota Hipotecária (Mortgage Note) da Radius — confirmar o prazo exato do empréstimo para amortização dos pontos hipotecários (points)</w:t>
      </w:r>
    </w:p>
    <w:p>
      <w:pPr>
        <w:numPr>
          <w:ilvl w:val="1"/>
          <w:numId w:val="1006"/>
        </w:numPr>
        <w:pStyle w:val="Compact"/>
      </w:pPr>
      <w:r>
        <w:t xml:space="preserve">Se 30 anos (360 meses): pontos hipotecários (points) dedutíveis em 2024 ≈ $67 (conforme calculado)</w:t>
      </w:r>
    </w:p>
    <w:p>
      <w:pPr>
        <w:numPr>
          <w:ilvl w:val="1"/>
          <w:numId w:val="1006"/>
        </w:numPr>
        <w:pStyle w:val="Compact"/>
      </w:pPr>
      <w:r>
        <w:t xml:space="preserve">Se 15 anos (180 meses): pontos hipotecários (points) dedutíveis em 2024 ≈ $134</w:t>
      </w:r>
    </w:p>
    <w:p>
      <w:pPr>
        <w:numPr>
          <w:ilvl w:val="0"/>
          <w:numId w:val="1005"/>
        </w:numPr>
        <w:pStyle w:val="Compact"/>
      </w:pPr>
      <w:r>
        <w:t xml:space="preserve">☐ Decidir entre Form 1040-X ou ajuste pelo exame do IRS</w:t>
      </w:r>
    </w:p>
    <w:p>
      <w:pPr>
        <w:numPr>
          <w:ilvl w:val="0"/>
          <w:numId w:val="1005"/>
        </w:numPr>
        <w:pStyle w:val="Compact"/>
      </w:pPr>
      <w:r>
        <w:t xml:space="preserve">☐ Assinar e datar a Folha de Rosto de Resposta do Form 14817</w:t>
      </w:r>
    </w:p>
    <w:p>
      <w:pPr>
        <w:numPr>
          <w:ilvl w:val="0"/>
          <w:numId w:val="1005"/>
        </w:numPr>
        <w:pStyle w:val="Compact"/>
      </w:pPr>
      <w:r>
        <w:t xml:space="preserve">☐ Assinar e datar a Carta de Apresentação ao IRS</w:t>
      </w:r>
    </w:p>
    <w:p>
      <w:pPr>
        <w:numPr>
          <w:ilvl w:val="0"/>
          <w:numId w:val="1005"/>
        </w:numPr>
        <w:pStyle w:val="Compact"/>
      </w:pPr>
      <w:r>
        <w:t xml:space="preserve">☐ Organizar todos os anexos em ordem numérica com o nome do contribuinte/SSN em cada página</w:t>
      </w:r>
    </w:p>
    <w:bookmarkEnd w:id="62"/>
    <w:bookmarkStart w:id="63" w:name="envio"/>
    <w:p>
      <w:pPr>
        <w:pStyle w:val="Heading3"/>
      </w:pPr>
      <w:r>
        <w:t xml:space="preserve">Envio</w:t>
      </w:r>
    </w:p>
    <w:p>
      <w:pPr>
        <w:numPr>
          <w:ilvl w:val="0"/>
          <w:numId w:val="1007"/>
        </w:numPr>
        <w:pStyle w:val="Compact"/>
      </w:pPr>
      <w:r>
        <w:t xml:space="preserve">☐</w:t>
      </w:r>
      <w:r>
        <w:t xml:space="preserve"> </w:t>
      </w:r>
      <w:r>
        <w:rPr>
          <w:bCs/>
          <w:b/>
        </w:rPr>
        <w:t xml:space="preserve">PRAZO: June 17, 2026</w:t>
      </w:r>
      <w:r>
        <w:t xml:space="preserve"> </w:t>
      </w:r>
      <w:r>
        <w:t xml:space="preserve">(30 dias a partir da carta de May 18, 2026)</w:t>
      </w:r>
    </w:p>
    <w:p>
      <w:pPr>
        <w:numPr>
          <w:ilvl w:val="0"/>
          <w:numId w:val="1007"/>
        </w:numPr>
        <w:pStyle w:val="Compact"/>
      </w:pPr>
      <w:r>
        <w:t xml:space="preserve">☐ Enviar pelo Sistema de Mensagens Seguras do IRS (www.irs.gov/connect) — PREFERENCIAL</w:t>
      </w:r>
    </w:p>
    <w:p>
      <w:pPr>
        <w:numPr>
          <w:ilvl w:val="0"/>
          <w:numId w:val="1007"/>
        </w:numPr>
        <w:pStyle w:val="Compact"/>
      </w:pPr>
      <w:r>
        <w:t xml:space="preserve">☐ OU enviar por fax para 1-855-235-6796</w:t>
      </w:r>
    </w:p>
    <w:p>
      <w:pPr>
        <w:numPr>
          <w:ilvl w:val="0"/>
          <w:numId w:val="1007"/>
        </w:numPr>
        <w:pStyle w:val="Compact"/>
      </w:pPr>
      <w:r>
        <w:t xml:space="preserve">☐ OU enviar por correio para P.O. Box 309011, AMC 8236, Memphis TN 38130-0911</w:t>
      </w:r>
    </w:p>
    <w:p>
      <w:pPr>
        <w:numPr>
          <w:ilvl w:val="0"/>
          <w:numId w:val="1007"/>
        </w:numPr>
        <w:pStyle w:val="Compact"/>
      </w:pPr>
      <w:r>
        <w:t xml:space="preserve">☐ Arquivar cópia do pacote de envio completo</w:t>
      </w:r>
    </w:p>
    <w:p>
      <w:r>
        <w:pict>
          <v:rect style="width:0;height:1.5pt" o:hralign="center" o:hrstd="t" o:hr="t"/>
        </w:pict>
      </w:r>
    </w:p>
    <w:p>
      <w:r>
        <w:pict>
          <v:rect style="width:0;height:1.5pt" o:hralign="center" o:hrstd="t" o:hr="t"/>
        </w:pict>
      </w:r>
    </w:p>
    <w:bookmarkEnd w:id="63"/>
    <w:bookmarkEnd w:id="64"/>
    <w:bookmarkEnd w:id="65"/>
    <w:bookmarkStart w:id="68" w:name="resumo-de-todos-os-cálculos"/>
    <w:p>
      <w:pPr>
        <w:pStyle w:val="Heading1"/>
      </w:pPr>
      <w:r>
        <w:t xml:space="preserve">RESUMO DE TODOS OS CÁLCULOS</w:t>
      </w:r>
    </w:p>
    <w:bookmarkStart w:id="66" w:name="X95fd3d11d96c84fe9c3dc66f97c2fceb5f8230f"/>
    <w:p>
      <w:pPr>
        <w:pStyle w:val="Heading2"/>
      </w:pPr>
      <w:r>
        <w:t xml:space="preserve">Resposta Final — Dedução Correta de Juros Hipotecários Residenciais no Schedule A</w:t>
      </w:r>
    </w:p>
    <w:tbl>
      <w:tblPr>
        <w:tblStyle w:val="Table"/>
        <w:tblW w:type="pct" w:w="5000"/>
        <w:tblLook w:firstRow="1" w:lastRow="0" w:firstColumn="0" w:lastColumn="0" w:noHBand="0" w:noVBand="0" w:val="0020"/>
        <w:jc w:val="start"/>
      </w:tblPr>
      <w:tblGrid>
        <w:gridCol w:w="1584"/>
        <w:gridCol w:w="1848"/>
        <w:gridCol w:w="4488"/>
      </w:tblGrid>
      <w:tr>
        <w:trPr>
          <w:tblHeader w:val="true"/>
        </w:trPr>
        <w:tc>
          <w:tcPr/>
          <w:p>
            <w:pPr>
              <w:pStyle w:val="Compact"/>
              <w:jc w:val="left"/>
            </w:pPr>
            <w:r>
              <w:t xml:space="preserve">Item</w:t>
            </w:r>
          </w:p>
        </w:tc>
        <w:tc>
          <w:tcPr/>
          <w:p>
            <w:pPr>
              <w:pStyle w:val="Compact"/>
              <w:jc w:val="left"/>
            </w:pPr>
            <w:r>
              <w:t xml:space="preserve">Valor</w:t>
            </w:r>
          </w:p>
        </w:tc>
        <w:tc>
          <w:tcPr/>
          <w:p>
            <w:pPr>
              <w:pStyle w:val="Compact"/>
              <w:jc w:val="left"/>
            </w:pPr>
            <w:r>
              <w:t xml:space="preserve">Fundamento Legal</w:t>
            </w:r>
          </w:p>
        </w:tc>
      </w:tr>
      <w:tr>
        <w:tc>
          <w:tcPr/>
          <w:p>
            <w:pPr>
              <w:pStyle w:val="Compact"/>
              <w:jc w:val="left"/>
            </w:pPr>
            <w:r>
              <w:t xml:space="preserve">Total de juros pagos (AmWest + Radius)</w:t>
            </w:r>
          </w:p>
        </w:tc>
        <w:tc>
          <w:tcPr/>
          <w:p>
            <w:pPr>
              <w:pStyle w:val="Compact"/>
              <w:jc w:val="left"/>
            </w:pPr>
            <w:r>
              <w:t xml:space="preserve">$97,004</w:t>
            </w:r>
          </w:p>
        </w:tc>
        <w:tc>
          <w:tcPr/>
          <w:p>
            <w:pPr>
              <w:pStyle w:val="Compact"/>
              <w:jc w:val="left"/>
            </w:pPr>
            <w:r>
              <w:t xml:space="preserve">Forms 1098</w:t>
            </w:r>
          </w:p>
        </w:tc>
      </w:tr>
      <w:tr>
        <w:tc>
          <w:tcPr/>
          <w:p>
            <w:pPr>
              <w:pStyle w:val="Compact"/>
              <w:jc w:val="left"/>
            </w:pPr>
            <w:r>
              <w:t xml:space="preserve">Proporção dedutível (Form 14900, Linha 14)</w:t>
            </w:r>
          </w:p>
        </w:tc>
        <w:tc>
          <w:tcPr/>
          <w:p>
            <w:pPr>
              <w:pStyle w:val="Compact"/>
              <w:jc w:val="left"/>
            </w:pPr>
            <w:r>
              <w:t xml:space="preserve">0.798</w:t>
            </w:r>
          </w:p>
        </w:tc>
        <w:tc>
          <w:tcPr/>
          <w:p>
            <w:pPr>
              <w:pStyle w:val="Compact"/>
              <w:jc w:val="left"/>
            </w:pPr>
            <w:r>
              <w:t xml:space="preserve">IRC §163(h)(3)(B)</w:t>
            </w:r>
          </w:p>
        </w:tc>
      </w:tr>
      <w:tr>
        <w:tc>
          <w:tcPr/>
          <w:p>
            <w:pPr>
              <w:pStyle w:val="Compact"/>
              <w:jc w:val="left"/>
            </w:pPr>
            <w:r>
              <w:rPr>
                <w:bCs/>
                <w:b/>
              </w:rPr>
              <w:t xml:space="preserve">Juros dedutíveis (Form 14900, Linha 15)</w:t>
            </w:r>
          </w:p>
        </w:tc>
        <w:tc>
          <w:tcPr/>
          <w:p>
            <w:pPr>
              <w:pStyle w:val="Compact"/>
              <w:jc w:val="left"/>
            </w:pPr>
            <w:r>
              <w:rPr>
                <w:bCs/>
                <w:b/>
              </w:rPr>
              <w:t xml:space="preserve">$77,409</w:t>
            </w:r>
          </w:p>
        </w:tc>
        <w:tc>
          <w:tcPr/>
          <w:p>
            <w:pPr>
              <w:pStyle w:val="Compact"/>
              <w:jc w:val="left"/>
            </w:pPr>
            <w:r>
              <w:t xml:space="preserve">Form 14900</w:t>
            </w:r>
          </w:p>
        </w:tc>
      </w:tr>
      <w:tr>
        <w:tc>
          <w:tcPr/>
          <w:p>
            <w:pPr>
              <w:pStyle w:val="Compact"/>
              <w:jc w:val="left"/>
            </w:pPr>
            <w:r>
              <w:t xml:space="preserve">Juros não dedutíveis (Linha 16)</w:t>
            </w:r>
          </w:p>
        </w:tc>
        <w:tc>
          <w:tcPr/>
          <w:p>
            <w:pPr>
              <w:pStyle w:val="Compact"/>
              <w:jc w:val="left"/>
            </w:pPr>
            <w:r>
              <w:t xml:space="preserve">$19,595</w:t>
            </w:r>
          </w:p>
        </w:tc>
        <w:tc>
          <w:tcPr/>
          <w:p>
            <w:pPr>
              <w:pStyle w:val="Compact"/>
              <w:jc w:val="left"/>
            </w:pPr>
            <w:r>
              <w:t xml:space="preserve">IRC §163(h)(1)</w:t>
            </w:r>
          </w:p>
        </w:tc>
      </w:tr>
      <w:tr>
        <w:tc>
          <w:tcPr/>
          <w:p>
            <w:pPr>
              <w:pStyle w:val="Compact"/>
              <w:jc w:val="left"/>
            </w:pPr>
            <w:r>
              <w:t xml:space="preserve">Pontos hipotecários (points) dedutíveis da Radius em 2024 (amortizados, ajustados pela proporção)</w:t>
            </w:r>
          </w:p>
        </w:tc>
        <w:tc>
          <w:tcPr/>
          <w:p>
            <w:pPr>
              <w:pStyle w:val="Compact"/>
              <w:jc w:val="left"/>
            </w:pPr>
            <w:r>
              <w:t xml:space="preserve">$67</w:t>
            </w:r>
          </w:p>
        </w:tc>
        <w:tc>
          <w:tcPr/>
          <w:p>
            <w:pPr>
              <w:pStyle w:val="Compact"/>
              <w:jc w:val="left"/>
            </w:pPr>
            <w:r>
              <w:t xml:space="preserve">IRC §461(g)(2), Publication 936</w:t>
            </w:r>
          </w:p>
        </w:tc>
      </w:tr>
      <w:tr>
        <w:tc>
          <w:tcPr/>
          <w:p>
            <w:pPr>
              <w:pStyle w:val="Compact"/>
              <w:jc w:val="left"/>
            </w:pPr>
            <w:r>
              <w:rPr>
                <w:bCs/>
                <w:b/>
              </w:rPr>
              <w:t xml:space="preserve">TOTAL CORRETO DA LINHA 8 DO SCHEDULE A</w:t>
            </w:r>
          </w:p>
        </w:tc>
        <w:tc>
          <w:tcPr/>
          <w:p>
            <w:pPr>
              <w:pStyle w:val="Compact"/>
              <w:jc w:val="left"/>
            </w:pPr>
            <w:r>
              <w:rPr>
                <w:bCs/>
                <w:b/>
              </w:rPr>
              <w:t xml:space="preserve">$77,476</w:t>
            </w:r>
          </w:p>
        </w:tc>
        <w:tc>
          <w:tcPr/>
          <w:p>
            <w:pPr>
              <w:pStyle w:val="Compact"/>
            </w:pPr>
          </w:p>
        </w:tc>
      </w:tr>
      <w:tr>
        <w:tc>
          <w:tcPr/>
          <w:p>
            <w:pPr>
              <w:pStyle w:val="Compact"/>
              <w:jc w:val="left"/>
            </w:pPr>
            <w:r>
              <w:rPr>
                <w:bCs/>
                <w:b/>
              </w:rPr>
              <w:t xml:space="preserve">VALOR DECLARADO</w:t>
            </w:r>
          </w:p>
        </w:tc>
        <w:tc>
          <w:tcPr/>
          <w:p>
            <w:pPr>
              <w:pStyle w:val="Compact"/>
              <w:jc w:val="left"/>
            </w:pPr>
            <w:r>
              <w:rPr>
                <w:bCs/>
                <w:b/>
              </w:rPr>
              <w:t xml:space="preserve">$114,034</w:t>
            </w:r>
          </w:p>
        </w:tc>
        <w:tc>
          <w:tcPr/>
          <w:p>
            <w:pPr>
              <w:pStyle w:val="Compact"/>
            </w:pPr>
          </w:p>
        </w:tc>
      </w:tr>
      <w:tr>
        <w:tc>
          <w:tcPr/>
          <w:p>
            <w:pPr>
              <w:pStyle w:val="Compact"/>
              <w:jc w:val="left"/>
            </w:pPr>
            <w:r>
              <w:rPr>
                <w:bCs/>
                <w:b/>
              </w:rPr>
              <w:t xml:space="preserve">EXCESSO CONCEDIDO</w:t>
            </w:r>
          </w:p>
        </w:tc>
        <w:tc>
          <w:tcPr/>
          <w:p>
            <w:pPr>
              <w:pStyle w:val="Compact"/>
              <w:jc w:val="left"/>
            </w:pPr>
            <w:r>
              <w:rPr>
                <w:bCs/>
                <w:b/>
              </w:rPr>
              <w:t xml:space="preserve">$36,558</w:t>
            </w:r>
          </w:p>
        </w:tc>
        <w:tc>
          <w:tcPr/>
          <w:p>
            <w:pPr>
              <w:pStyle w:val="Compact"/>
            </w:pPr>
          </w:p>
        </w:tc>
      </w:tr>
    </w:tbl>
    <w:p>
      <w:pPr>
        <w:pStyle w:val="BlockText"/>
      </w:pPr>
      <w:r>
        <w:rPr>
          <w:bCs/>
          <w:b/>
        </w:rPr>
        <w:t xml:space="preserve">Observação sobre os juros da Radius:</w:t>
      </w:r>
      <w:r>
        <w:t xml:space="preserve"> </w:t>
      </w:r>
      <w:r>
        <w:t xml:space="preserve">Os juros da Radius no valor de $1,869.86 (Form 1098, Caixa 1) já estão incorporados ao total de juros de $97,004 que integra a Linha 13 do Form 14900. Estão, portanto, proporcionalmente embutidos no valor de $77,409 de juros dedutíveis (Linha 15) e não devem ser somados separadamente. A declaração original omitiu esses $1,870 do Schedule A; o Form 14900 corrigido os restitui por meio do cálculo adequado da limitação.</w:t>
      </w:r>
    </w:p>
    <w:p>
      <w:r>
        <w:pict>
          <v:rect style="width:0;height:1.5pt" o:hralign="center" o:hrstd="t" o:hr="t"/>
        </w:pict>
      </w:r>
    </w:p>
    <w:bookmarkEnd w:id="66"/>
    <w:bookmarkStart w:id="67" w:name="fundamentos-legais"/>
    <w:p>
      <w:pPr>
        <w:pStyle w:val="Heading2"/>
      </w:pPr>
      <w:r>
        <w:t xml:space="preserve">Fundamentos Legais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Fundamento</w:t>
            </w:r>
          </w:p>
        </w:tc>
        <w:tc>
          <w:tcPr/>
          <w:p>
            <w:pPr>
              <w:pStyle w:val="Compact"/>
              <w:jc w:val="left"/>
            </w:pPr>
            <w:r>
              <w:t xml:space="preserve">Relevância</w:t>
            </w:r>
          </w:p>
        </w:tc>
      </w:tr>
      <w:tr>
        <w:tc>
          <w:tcPr/>
          <w:p>
            <w:pPr>
              <w:pStyle w:val="Compact"/>
              <w:jc w:val="left"/>
            </w:pPr>
            <w:r>
              <w:t xml:space="preserve">IRC §163(h)(1)</w:t>
            </w:r>
          </w:p>
        </w:tc>
        <w:tc>
          <w:tcPr/>
          <w:p>
            <w:pPr>
              <w:pStyle w:val="Compact"/>
              <w:jc w:val="left"/>
            </w:pPr>
            <w:r>
              <w:t xml:space="preserve">Juros pessoais não são dedutíveis</w:t>
            </w:r>
          </w:p>
        </w:tc>
      </w:tr>
      <w:tr>
        <w:tc>
          <w:tcPr/>
          <w:p>
            <w:pPr>
              <w:pStyle w:val="Compact"/>
              <w:jc w:val="left"/>
            </w:pPr>
            <w:r>
              <w:t xml:space="preserve">IRC §163(h)(3)(B)(ii)</w:t>
            </w:r>
          </w:p>
        </w:tc>
        <w:tc>
          <w:tcPr/>
          <w:p>
            <w:pPr>
              <w:pStyle w:val="Compact"/>
              <w:jc w:val="left"/>
            </w:pPr>
            <w:r>
              <w:t xml:space="preserve">Limite de $750,000 para dívida de aquisição de imóvel residencial posterior a 12/15/2017</w:t>
            </w:r>
          </w:p>
        </w:tc>
      </w:tr>
      <w:tr>
        <w:tc>
          <w:tcPr/>
          <w:p>
            <w:pPr>
              <w:pStyle w:val="Compact"/>
              <w:jc w:val="left"/>
            </w:pPr>
            <w:r>
              <w:t xml:space="preserve">IRC §461(g)(2)</w:t>
            </w:r>
          </w:p>
        </w:tc>
        <w:tc>
          <w:tcPr/>
          <w:p>
            <w:pPr>
              <w:pStyle w:val="Compact"/>
              <w:jc w:val="left"/>
            </w:pPr>
            <w:r>
              <w:t xml:space="preserve">Pontos hipotecários (points) em refinanciamento devem ser deduzidos proporcionalmente ao longo do prazo do empréstimo</w:t>
            </w:r>
          </w:p>
        </w:tc>
      </w:tr>
      <w:tr>
        <w:tc>
          <w:tcPr/>
          <w:p>
            <w:pPr>
              <w:pStyle w:val="Compact"/>
              <w:jc w:val="left"/>
            </w:pPr>
            <w:r>
              <w:t xml:space="preserve">IRC §199A</w:t>
            </w:r>
          </w:p>
        </w:tc>
        <w:tc>
          <w:tcPr/>
          <w:p>
            <w:pPr>
              <w:pStyle w:val="Compact"/>
              <w:jc w:val="left"/>
            </w:pPr>
            <w:r>
              <w:t xml:space="preserve">QBID — recalculado em razão da alteração na renda tributável</w:t>
            </w:r>
          </w:p>
        </w:tc>
      </w:tr>
      <w:tr>
        <w:tc>
          <w:tcPr/>
          <w:p>
            <w:pPr>
              <w:pStyle w:val="Compact"/>
              <w:jc w:val="left"/>
            </w:pPr>
            <w:r>
              <w:t xml:space="preserve">Publication 936 do IRS</w:t>
            </w:r>
          </w:p>
        </w:tc>
        <w:tc>
          <w:tcPr/>
          <w:p>
            <w:pPr>
              <w:pStyle w:val="Compact"/>
              <w:jc w:val="left"/>
            </w:pPr>
            <w:r>
              <w:t xml:space="preserve">Dedução de Juros Hipotecários Residenciais — metodologia para cálculo de saldos médios</w:t>
            </w:r>
          </w:p>
        </w:tc>
      </w:tr>
      <w:tr>
        <w:tc>
          <w:tcPr/>
          <w:p>
            <w:pPr>
              <w:pStyle w:val="Compact"/>
              <w:jc w:val="left"/>
            </w:pPr>
            <w:r>
              <w:t xml:space="preserve">Form 14900 (julho de 2020)</w:t>
            </w:r>
          </w:p>
        </w:tc>
        <w:tc>
          <w:tcPr/>
          <w:p>
            <w:pPr>
              <w:pStyle w:val="Compact"/>
              <w:jc w:val="left"/>
            </w:pPr>
            <w:r>
              <w:t xml:space="preserve">Planilha para Limite do Empréstimo Qualificado e Juros Hipotecários Residenciais Dedutíveis</w:t>
            </w:r>
          </w:p>
        </w:tc>
      </w:tr>
      <w:tr>
        <w:tc>
          <w:tcPr/>
          <w:p>
            <w:pPr>
              <w:pStyle w:val="Compact"/>
              <w:jc w:val="left"/>
            </w:pPr>
            <w:r>
              <w:t xml:space="preserve">Form 886-H-INT (fevereiro de 2015)</w:t>
            </w:r>
          </w:p>
        </w:tc>
        <w:tc>
          <w:tcPr/>
          <w:p>
            <w:pPr>
              <w:pStyle w:val="Compact"/>
              <w:jc w:val="left"/>
            </w:pPr>
            <w:r>
              <w:t xml:space="preserve">Solicitação de documentos do IRS para comprovação de dedução limitada de juros hipotecários residenciais</w:t>
            </w:r>
          </w:p>
        </w:tc>
      </w:tr>
      <w:tr>
        <w:tc>
          <w:tcPr/>
          <w:p>
            <w:pPr>
              <w:pStyle w:val="Compact"/>
              <w:jc w:val="left"/>
            </w:pPr>
            <w:r>
              <w:t xml:space="preserve">Carta 566-T (Letter 566-T) do IRS</w:t>
            </w:r>
          </w:p>
        </w:tc>
        <w:tc>
          <w:tcPr/>
          <w:p>
            <w:pPr>
              <w:pStyle w:val="Compact"/>
              <w:jc w:val="left"/>
            </w:pPr>
            <w:r>
              <w:t xml:space="preserve">Notificação de exame por correspondência</w:t>
            </w:r>
          </w:p>
        </w:tc>
      </w:tr>
      <w:tr>
        <w:tc>
          <w:tcPr/>
          <w:p>
            <w:pPr>
              <w:pStyle w:val="Compact"/>
              <w:jc w:val="left"/>
            </w:pPr>
            <w:r>
              <w:t xml:space="preserve">Publication 1 do IRS</w:t>
            </w:r>
          </w:p>
        </w:tc>
        <w:tc>
          <w:tcPr/>
          <w:p>
            <w:pPr>
              <w:pStyle w:val="Compact"/>
              <w:jc w:val="left"/>
            </w:pPr>
            <w:r>
              <w:t xml:space="preserve">Direitos do contribuinte</w:t>
            </w:r>
          </w:p>
        </w:tc>
      </w:tr>
      <w:tr>
        <w:tc>
          <w:tcPr/>
          <w:p>
            <w:pPr>
              <w:pStyle w:val="Compact"/>
              <w:jc w:val="left"/>
            </w:pPr>
            <w:r>
              <w:t xml:space="preserve">Publication 3498-A do IRS</w:t>
            </w:r>
          </w:p>
        </w:tc>
        <w:tc>
          <w:tcPr/>
          <w:p>
            <w:pPr>
              <w:pStyle w:val="Compact"/>
              <w:jc w:val="left"/>
            </w:pPr>
            <w:r>
              <w:t xml:space="preserve">Processo de exame — auditorias por correspondência</w:t>
            </w:r>
          </w:p>
        </w:tc>
      </w:tr>
    </w:tbl>
    <w:p>
      <w:r>
        <w:pict>
          <v:rect style="width:0;height:1.5pt" o:hralign="center" o:hrstd="t" o:hr="t"/>
        </w:pict>
      </w:r>
    </w:p>
    <w:p>
      <w:pPr>
        <w:pStyle w:val="FirstParagraph"/>
      </w:pPr>
      <w:r>
        <w:rPr>
          <w:iCs/>
          <w:i/>
        </w:rPr>
        <w:t xml:space="preserve">Fim do Pacote de Defesa em Auditoria</w:t>
      </w:r>
      <w:r>
        <w:t xml:space="preserve"> </w:t>
      </w:r>
      <w:r>
        <w:rPr>
          <w:iCs/>
          <w:i/>
        </w:rPr>
        <w:t xml:space="preserve">Elaborado em: June 7, 2026</w:t>
      </w:r>
      <w:r>
        <w:t xml:space="preserve"> </w:t>
      </w:r>
      <w:r>
        <w:rPr>
          <w:iCs/>
          <w:i/>
        </w:rPr>
        <w:t xml:space="preserve">Eliana Machado de Almeida | Contribuinte sem Representação | 7 Briarwood Drive, Edgartown MA 02539</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2026-06-07T20:37:15Z</dcterms:created>
  <dcterms:modified xsi:type="dcterms:W3CDTF">2026-06-07T20:37:15Z</dcterms:modified>
</cp:coreProperties>
</file>

<file path=docProps/custom.xml><?xml version="1.0" encoding="utf-8"?>
<Properties xmlns="http://schemas.openxmlformats.org/officeDocument/2006/custom-properties" xmlns:vt="http://schemas.openxmlformats.org/officeDocument/2006/docPropsVTypes"/>
</file>