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EB" w:rsidRDefault="00E65AEB" w:rsidP="00F013BF">
      <w:pPr>
        <w:jc w:val="both"/>
      </w:pPr>
      <w:r>
        <w:t>Matemática reversa</w:t>
      </w:r>
    </w:p>
    <w:p w:rsidR="00670E61" w:rsidRDefault="00E65AEB" w:rsidP="00F013BF">
      <w:pPr>
        <w:jc w:val="both"/>
      </w:pPr>
      <w:r>
        <w:t xml:space="preserve">Matemática reversa é um programa em logica matemática que procura determinar quais axiomas são necessários para provar teoremas matemáticos. É um método que pose ser rapidamente descrito como “ir </w:t>
      </w:r>
      <w:proofErr w:type="spellStart"/>
      <w:r>
        <w:t>reversamente</w:t>
      </w:r>
      <w:proofErr w:type="spellEnd"/>
      <w:r>
        <w:t xml:space="preserve"> dos teoremas para os axiomas”, que vai de encontro com a prática da matemática tradicional, derivando um </w:t>
      </w:r>
      <w:r w:rsidR="00670E61">
        <w:t>teorema a partir de axiomas.</w:t>
      </w:r>
      <w:r>
        <w:t xml:space="preserve"> </w:t>
      </w:r>
      <w:r w:rsidR="00670E61">
        <w:t xml:space="preserve">O programa da matemática reversa foi prenunciado pelos resultados na teoria de conjuntos, um exemplo de tais resultados é o clássico teorema “O </w:t>
      </w:r>
      <w:proofErr w:type="spellStart"/>
      <w:r w:rsidR="00670E61">
        <w:t>axiom</w:t>
      </w:r>
      <w:proofErr w:type="spellEnd"/>
      <w:r w:rsidR="00670E61">
        <w:t xml:space="preserve"> </w:t>
      </w:r>
      <w:proofErr w:type="spellStart"/>
      <w:r w:rsidR="00670E61">
        <w:t>of</w:t>
      </w:r>
      <w:proofErr w:type="spellEnd"/>
      <w:r w:rsidR="00670E61">
        <w:t xml:space="preserve"> </w:t>
      </w:r>
      <w:proofErr w:type="spellStart"/>
      <w:r w:rsidR="00670E61">
        <w:t>choice</w:t>
      </w:r>
      <w:proofErr w:type="spellEnd"/>
      <w:r w:rsidR="00670E61">
        <w:t xml:space="preserve"> e </w:t>
      </w:r>
      <w:proofErr w:type="spellStart"/>
      <w:r w:rsidR="00670E61">
        <w:t>Zorn’s</w:t>
      </w:r>
      <w:proofErr w:type="spellEnd"/>
      <w:r w:rsidR="00670E61">
        <w:t xml:space="preserve"> </w:t>
      </w:r>
      <w:proofErr w:type="spellStart"/>
      <w:r w:rsidR="00670E61">
        <w:t>lemma</w:t>
      </w:r>
      <w:proofErr w:type="spellEnd"/>
      <w:r w:rsidR="00670E61">
        <w:t xml:space="preserve"> são equivalentes à teoria dos conjuntos de </w:t>
      </w:r>
      <w:r w:rsidR="00F013BF">
        <w:t>ZF (</w:t>
      </w:r>
      <w:proofErr w:type="spellStart"/>
      <w:r w:rsidR="00670E61">
        <w:t>Zermelo-Fraenkel</w:t>
      </w:r>
      <w:proofErr w:type="spellEnd"/>
      <w:r w:rsidR="00F013BF">
        <w:t>)</w:t>
      </w:r>
      <w:r w:rsidR="00670E61">
        <w:t xml:space="preserve">”. O proposito da matemática reversa, no entanto, é estudar </w:t>
      </w:r>
      <w:r w:rsidR="00B3785E">
        <w:t>possíveis axiomas dos teoremas matemáticos tradicionais e não os possíveis axiomas da teoria dos conjuntos.</w:t>
      </w:r>
    </w:p>
    <w:p w:rsidR="00F013BF" w:rsidRDefault="00F013BF" w:rsidP="00F013BF">
      <w:pPr>
        <w:jc w:val="both"/>
      </w:pPr>
      <w:r>
        <w:t>Matemática reversa usualmente é fundamentada usando subsistemas da aritmética de segunda ordem, em que muitas definições e métodos são inspirados em trabalhos anteriores em analise construtiva e teoria da prova. O uso da aritmética de segunda ordem permite que muitas técnicas da teoria da recursão sejam empregadas; muitos resultados em matemática reversa têm resultados correspondentes em análise computável.</w:t>
      </w:r>
    </w:p>
    <w:p w:rsidR="00F013BF" w:rsidRDefault="00F013BF" w:rsidP="00F013BF">
      <w:pPr>
        <w:jc w:val="both"/>
      </w:pPr>
      <w:r>
        <w:t>O programa foi fundado por Harvey Friedman (</w:t>
      </w:r>
      <w:proofErr w:type="gramStart"/>
      <w:r>
        <w:t>1975, 1976</w:t>
      </w:r>
      <w:proofErr w:type="gramEnd"/>
      <w:r>
        <w:t xml:space="preserve">). </w:t>
      </w:r>
      <w:r w:rsidR="00B37037">
        <w:t>A referencia principal para o assunto é (Simpson, 2009</w:t>
      </w:r>
      <w:proofErr w:type="gramStart"/>
      <w:r w:rsidR="00B37037">
        <w:t>)</w:t>
      </w:r>
      <w:proofErr w:type="gramEnd"/>
    </w:p>
    <w:p w:rsidR="00B37037" w:rsidRDefault="00B37037" w:rsidP="00F013BF">
      <w:pPr>
        <w:jc w:val="both"/>
      </w:pPr>
      <w:r>
        <w:t xml:space="preserve">Conteúdo </w:t>
      </w:r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r>
        <w:t>Princípios Gerais</w:t>
      </w:r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>Uso da Aritmética de segunda ordem</w:t>
      </w:r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proofErr w:type="gramStart"/>
      <w:r>
        <w:t>O cinco grandes</w:t>
      </w:r>
      <w:proofErr w:type="gramEnd"/>
      <w:r>
        <w:t xml:space="preserve"> subsistemas da aritmética de segunda ordem</w:t>
      </w:r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 xml:space="preserve"> O sistema base </w:t>
      </w:r>
      <w:hyperlink r:id="rId6" w:anchor="The_base_system_RCA0" w:history="1">
        <w:r w:rsidRPr="00B37037">
          <w:rPr>
            <w:rStyle w:val="toctext"/>
            <w:rFonts w:ascii="Arial" w:hAnsi="Arial" w:cs="Arial"/>
            <w:sz w:val="20"/>
            <w:szCs w:val="20"/>
            <w:shd w:val="clear" w:color="auto" w:fill="F9F9F9"/>
          </w:rPr>
          <w:t>RCA</w:t>
        </w:r>
        <w:r w:rsidRPr="00B37037">
          <w:rPr>
            <w:rStyle w:val="toctext"/>
            <w:rFonts w:ascii="Arial" w:hAnsi="Arial" w:cs="Arial"/>
            <w:sz w:val="16"/>
            <w:szCs w:val="16"/>
            <w:shd w:val="clear" w:color="auto" w:fill="F9F9F9"/>
            <w:vertAlign w:val="subscript"/>
          </w:rPr>
          <w:t>0</w:t>
        </w:r>
      </w:hyperlink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König’s</w:t>
      </w:r>
      <w:proofErr w:type="spellEnd"/>
      <w:r>
        <w:t xml:space="preserve"> </w:t>
      </w:r>
      <w:proofErr w:type="spellStart"/>
      <w:r>
        <w:t>lemma</w:t>
      </w:r>
      <w:proofErr w:type="spellEnd"/>
      <w:r>
        <w:t xml:space="preserve"> </w:t>
      </w:r>
      <w:hyperlink r:id="rId7" w:anchor="Weak_K.C3.B6nig.27s_lemma_WKL0" w:history="1">
        <w:r w:rsidRPr="00B37037">
          <w:rPr>
            <w:rStyle w:val="toctext"/>
            <w:rFonts w:ascii="Arial" w:hAnsi="Arial" w:cs="Arial"/>
            <w:sz w:val="20"/>
            <w:szCs w:val="20"/>
            <w:shd w:val="clear" w:color="auto" w:fill="F9F9F9"/>
          </w:rPr>
          <w:t>WKL</w:t>
        </w:r>
        <w:r w:rsidRPr="00B37037">
          <w:rPr>
            <w:rStyle w:val="toctext"/>
            <w:rFonts w:ascii="Arial" w:hAnsi="Arial" w:cs="Arial"/>
            <w:sz w:val="16"/>
            <w:szCs w:val="16"/>
            <w:shd w:val="clear" w:color="auto" w:fill="F9F9F9"/>
            <w:vertAlign w:val="subscript"/>
          </w:rPr>
          <w:t>0</w:t>
        </w:r>
      </w:hyperlink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>Compreensão Aritmética</w:t>
      </w:r>
      <w:r w:rsidRPr="00B37037">
        <w:t xml:space="preserve"> </w:t>
      </w:r>
      <w:hyperlink r:id="rId8" w:anchor="Arithmetical_comprehension_ACA0" w:history="1">
        <w:r w:rsidRPr="00B37037">
          <w:rPr>
            <w:rStyle w:val="toctext"/>
            <w:rFonts w:ascii="Arial" w:hAnsi="Arial" w:cs="Arial"/>
            <w:sz w:val="20"/>
            <w:szCs w:val="20"/>
            <w:shd w:val="clear" w:color="auto" w:fill="F9F9F9"/>
          </w:rPr>
          <w:t>ACA</w:t>
        </w:r>
        <w:r w:rsidRPr="00B37037">
          <w:rPr>
            <w:rStyle w:val="toctext"/>
            <w:rFonts w:ascii="Arial" w:hAnsi="Arial" w:cs="Arial"/>
            <w:sz w:val="16"/>
            <w:szCs w:val="16"/>
            <w:shd w:val="clear" w:color="auto" w:fill="F9F9F9"/>
            <w:vertAlign w:val="subscript"/>
          </w:rPr>
          <w:t>0</w:t>
        </w:r>
      </w:hyperlink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 xml:space="preserve">Recursão Transfinita Aritmética </w:t>
      </w:r>
      <w:hyperlink r:id="rId9" w:anchor="Arithmetical_transfinite_recursion_ATR0" w:history="1">
        <w:r w:rsidRPr="00B37037">
          <w:rPr>
            <w:rStyle w:val="toctext"/>
            <w:rFonts w:ascii="Arial" w:hAnsi="Arial" w:cs="Arial"/>
            <w:sz w:val="20"/>
            <w:szCs w:val="20"/>
            <w:shd w:val="clear" w:color="auto" w:fill="F9F9F9"/>
          </w:rPr>
          <w:t>ATR</w:t>
        </w:r>
        <w:r w:rsidRPr="00B37037">
          <w:rPr>
            <w:rStyle w:val="toctext"/>
            <w:rFonts w:ascii="Arial" w:hAnsi="Arial" w:cs="Arial"/>
            <w:sz w:val="16"/>
            <w:szCs w:val="16"/>
            <w:shd w:val="clear" w:color="auto" w:fill="F9F9F9"/>
            <w:vertAlign w:val="subscript"/>
          </w:rPr>
          <w:t>0</w:t>
        </w:r>
      </w:hyperlink>
    </w:p>
    <w:p w:rsidR="00B37037" w:rsidRDefault="000157A1" w:rsidP="00B37037">
      <w:pPr>
        <w:pStyle w:val="PargrafodaLista"/>
        <w:numPr>
          <w:ilvl w:val="1"/>
          <w:numId w:val="1"/>
        </w:numPr>
        <w:jc w:val="both"/>
      </w:pPr>
      <w:hyperlink r:id="rId10" w:anchor=".CE.A011_comprehension_.CE.A011-CA0" w:history="1">
        <w:r w:rsidR="00B37037" w:rsidRPr="00B37037">
          <w:rPr>
            <w:rStyle w:val="toctext"/>
            <w:rFonts w:cs="Arial"/>
            <w:shd w:val="clear" w:color="auto" w:fill="F9F9F9"/>
          </w:rPr>
          <w:t>Π</w:t>
        </w:r>
        <w:r w:rsidR="00B37037" w:rsidRPr="00B37037">
          <w:rPr>
            <w:rStyle w:val="toctext"/>
            <w:rFonts w:cs="Arial"/>
            <w:shd w:val="clear" w:color="auto" w:fill="F9F9F9"/>
            <w:vertAlign w:val="superscript"/>
          </w:rPr>
          <w:t>1</w:t>
        </w:r>
        <w:r w:rsidR="00B37037" w:rsidRPr="00B37037">
          <w:rPr>
            <w:rStyle w:val="toctext"/>
            <w:rFonts w:cs="Arial"/>
            <w:shd w:val="clear" w:color="auto" w:fill="F9F9F9"/>
            <w:vertAlign w:val="subscript"/>
          </w:rPr>
          <w:t>1</w:t>
        </w:r>
        <w:r w:rsidR="00B37037" w:rsidRPr="00B37037">
          <w:rPr>
            <w:rStyle w:val="apple-converted-space"/>
            <w:rFonts w:cs="Arial"/>
            <w:shd w:val="clear" w:color="auto" w:fill="F9F9F9"/>
          </w:rPr>
          <w:t> </w:t>
        </w:r>
        <w:r w:rsidR="00B37037" w:rsidRPr="00B37037">
          <w:rPr>
            <w:rStyle w:val="toctext"/>
            <w:rFonts w:cs="Arial"/>
            <w:shd w:val="clear" w:color="auto" w:fill="F9F9F9"/>
          </w:rPr>
          <w:t>compreensão Π</w:t>
        </w:r>
        <w:r w:rsidR="00B37037" w:rsidRPr="00B37037">
          <w:rPr>
            <w:rStyle w:val="toctext"/>
            <w:rFonts w:cs="Arial"/>
            <w:shd w:val="clear" w:color="auto" w:fill="F9F9F9"/>
            <w:vertAlign w:val="superscript"/>
          </w:rPr>
          <w:t>1</w:t>
        </w:r>
        <w:r w:rsidR="00B37037" w:rsidRPr="00B37037">
          <w:rPr>
            <w:rStyle w:val="toctext"/>
            <w:rFonts w:cs="Arial"/>
            <w:shd w:val="clear" w:color="auto" w:fill="F9F9F9"/>
            <w:vertAlign w:val="subscript"/>
          </w:rPr>
          <w:t>1</w:t>
        </w:r>
        <w:r w:rsidR="00B37037" w:rsidRPr="00B37037">
          <w:rPr>
            <w:rStyle w:val="toctext"/>
            <w:rFonts w:cs="Arial"/>
            <w:shd w:val="clear" w:color="auto" w:fill="F9F9F9"/>
          </w:rPr>
          <w:t>-CA</w:t>
        </w:r>
        <w:r w:rsidR="00B37037" w:rsidRPr="00B37037">
          <w:rPr>
            <w:rStyle w:val="toctext"/>
            <w:rFonts w:cs="Arial"/>
            <w:shd w:val="clear" w:color="auto" w:fill="F9F9F9"/>
            <w:vertAlign w:val="subscript"/>
          </w:rPr>
          <w:t>0</w:t>
        </w:r>
      </w:hyperlink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r>
        <w:t xml:space="preserve">Sistemas Adicionais </w:t>
      </w:r>
    </w:p>
    <w:p w:rsidR="00B37037" w:rsidRDefault="000157A1" w:rsidP="00B37037">
      <w:pPr>
        <w:pStyle w:val="PargrafodaLista"/>
        <w:numPr>
          <w:ilvl w:val="0"/>
          <w:numId w:val="1"/>
        </w:numPr>
        <w:jc w:val="both"/>
      </w:pPr>
      <w:hyperlink r:id="rId11" w:anchor=".CF.89-models_and_.CE.B2-models" w:history="1">
        <w:r w:rsidR="00B37037" w:rsidRPr="00B37037">
          <w:rPr>
            <w:rStyle w:val="toctext"/>
            <w:rFonts w:cs="Arial"/>
            <w:shd w:val="clear" w:color="auto" w:fill="F9F9F9"/>
          </w:rPr>
          <w:t>ω-modelos e β-mode</w:t>
        </w:r>
      </w:hyperlink>
      <w:r w:rsidR="00B37037" w:rsidRPr="00B37037">
        <w:t>los</w:t>
      </w:r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r>
        <w:t>Referencias</w:t>
      </w:r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r>
        <w:t>Links Externos</w:t>
      </w:r>
    </w:p>
    <w:p w:rsidR="00B37037" w:rsidRDefault="00B37037" w:rsidP="00B37037">
      <w:pPr>
        <w:jc w:val="both"/>
      </w:pPr>
      <w:r>
        <w:t xml:space="preserve">Princípios Gerais </w:t>
      </w:r>
    </w:p>
    <w:p w:rsidR="00B37037" w:rsidRDefault="00B20070" w:rsidP="00B37037">
      <w:pPr>
        <w:jc w:val="both"/>
      </w:pPr>
      <w:r>
        <w:t xml:space="preserve">Na matemática reversa, começa-se com uma linguagem estruturada e a base teórica – O núcleo de um sistema axiomático - o que é fraquíssimo para que possamos provar a maioria dos teoremas que estamos interessados, entretanto, ainda assim, é forte o suficiente para desenvolver definições necessárias para estabelecer esses teoremas. Por exemplo, para estudar o teorema “Toda sequencia limitada de números reais tem um </w:t>
      </w:r>
      <w:r w:rsidR="00587BBD">
        <w:t>número superior” é necessário usar um sistema base o qual se pode falar de números reais e sequencias de números reais.</w:t>
      </w:r>
    </w:p>
    <w:p w:rsidR="00B3785E" w:rsidRDefault="00587BBD" w:rsidP="00231B93">
      <w:pPr>
        <w:jc w:val="both"/>
      </w:pPr>
      <w:r>
        <w:t xml:space="preserve">Para cada teorema que pode ser colocado no sistema base, mas não pode ser provado nome mesmo, é preciso determinar um particular sistema de axiomas </w:t>
      </w:r>
      <w:proofErr w:type="gramStart"/>
      <w:r>
        <w:t xml:space="preserve">( </w:t>
      </w:r>
      <w:proofErr w:type="gramEnd"/>
      <w:r>
        <w:t xml:space="preserve">Mais forte que que o sistema </w:t>
      </w:r>
      <w:r>
        <w:lastRenderedPageBreak/>
        <w:t>base) que necessariamente prove o teorema. Para mostrar que um sistema S é necessário para provar um teorema T, é preciso duas provas. A primeira prova mostra que: T pode ser provado a partir de S; essa é uma simples prova matemática acompanhada de justificações que o sistema de axiomas S infere no teorema T. A segunda prova, conhecida como prova de volta</w:t>
      </w:r>
      <w:r w:rsidR="00231B93">
        <w:t xml:space="preserve"> (ou a inversa)</w:t>
      </w:r>
      <w:r>
        <w:t xml:space="preserve">, mostra que: </w:t>
      </w:r>
      <w:r w:rsidR="00231B93">
        <w:t>O próprio teorema T implica no sistema S; essa prova é sustentada pelo sistema base. A inversa estabelece que nenhum sistema de axioma S’ que estende o sistema base pode ter menos propriedade que o sistema S enquanto tentamos provar T.</w:t>
      </w:r>
    </w:p>
    <w:p w:rsidR="00231B93" w:rsidRDefault="000157A1" w:rsidP="00231B93">
      <w:pPr>
        <w:jc w:val="both"/>
      </w:pPr>
      <w:r>
        <w:t>Uso da aritmética de segunda o</w:t>
      </w:r>
      <w:bookmarkStart w:id="0" w:name="_GoBack"/>
      <w:bookmarkEnd w:id="0"/>
      <w:r w:rsidR="00231B93">
        <w:t>rdem</w:t>
      </w:r>
    </w:p>
    <w:p w:rsidR="00231B93" w:rsidRPr="00231B93" w:rsidRDefault="00231B93" w:rsidP="00231B93">
      <w:pPr>
        <w:jc w:val="both"/>
        <w:rPr>
          <w:u w:val="single"/>
        </w:rPr>
      </w:pPr>
    </w:p>
    <w:sectPr w:rsidR="00231B93" w:rsidRPr="00231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859B8"/>
    <w:multiLevelType w:val="multilevel"/>
    <w:tmpl w:val="938CE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EB"/>
    <w:rsid w:val="000157A1"/>
    <w:rsid w:val="00231B93"/>
    <w:rsid w:val="00587BBD"/>
    <w:rsid w:val="00670E61"/>
    <w:rsid w:val="00B20070"/>
    <w:rsid w:val="00B37037"/>
    <w:rsid w:val="00B3785E"/>
    <w:rsid w:val="00E65AEB"/>
    <w:rsid w:val="00F0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037"/>
    <w:pPr>
      <w:ind w:left="720"/>
      <w:contextualSpacing/>
    </w:pPr>
  </w:style>
  <w:style w:type="character" w:customStyle="1" w:styleId="toctext">
    <w:name w:val="toctext"/>
    <w:basedOn w:val="Fontepargpadro"/>
    <w:rsid w:val="00B37037"/>
  </w:style>
  <w:style w:type="character" w:customStyle="1" w:styleId="apple-converted-space">
    <w:name w:val="apple-converted-space"/>
    <w:basedOn w:val="Fontepargpadro"/>
    <w:rsid w:val="00B37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037"/>
    <w:pPr>
      <w:ind w:left="720"/>
      <w:contextualSpacing/>
    </w:pPr>
  </w:style>
  <w:style w:type="character" w:customStyle="1" w:styleId="toctext">
    <w:name w:val="toctext"/>
    <w:basedOn w:val="Fontepargpadro"/>
    <w:rsid w:val="00B37037"/>
  </w:style>
  <w:style w:type="character" w:customStyle="1" w:styleId="apple-converted-space">
    <w:name w:val="apple-converted-space"/>
    <w:basedOn w:val="Fontepargpadro"/>
    <w:rsid w:val="00B3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verse_mathematic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everse_mathemati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verse_mathematics" TargetMode="External"/><Relationship Id="rId11" Type="http://schemas.openxmlformats.org/officeDocument/2006/relationships/hyperlink" Target="https://en.wikipedia.org/wiki/Reverse_mathematic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everse_mathema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verse_mathematic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Isabelly Cristina Ferreira Damascena</dc:creator>
  <cp:lastModifiedBy>Isabelly Cristina Ferreira Damascena</cp:lastModifiedBy>
  <cp:revision>6</cp:revision>
  <dcterms:created xsi:type="dcterms:W3CDTF">2015-08-27T13:41:00Z</dcterms:created>
  <dcterms:modified xsi:type="dcterms:W3CDTF">2015-08-27T15:55:00Z</dcterms:modified>
</cp:coreProperties>
</file>