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 2</w:t>
      </w:r>
    </w:p>
    <w:bookmarkStart w:id="9" w:name="introduction"/>
    <w:p>
      <w:pPr>
        <w:pStyle w:val="Heading2"/>
      </w:pPr>
      <w:r>
        <w:t xml:space="preserve">Introduction</w:t>
      </w:r>
    </w:p>
    <w:p>
      <w:pPr>
        <w:pStyle w:val="FirstParagraph"/>
      </w:pPr>
      <w:r>
        <w:t xml:space="preserve">This is a simple placeholder for the manuscript’s main document.</w:t>
      </w:r>
    </w:p>
    <w:bookmarkEnd w:id="9"/>
    <w:bookmarkStart w:id="27" w:name="methods"/>
    <w:p>
      <w:pPr>
        <w:pStyle w:val="Heading2"/>
      </w:pPr>
      <w:r>
        <w:t xml:space="preserve">Methods</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BodyText"/>
      </w:pPr>
      <w:r>
        <w:t xml:space="preserve">We frame restoration prioritisation as a many-objective optimisation problem: given a limited budget, where in an eligible landscape should restoration be allocated so as to best trade off improvement in ecosystem condition against cost? The solver optimises three objectives simultaneously:</w:t>
      </w:r>
    </w:p>
    <w:p>
      <w:pPr>
        <w:pStyle w:val="Compact"/>
        <w:numPr>
          <w:ilvl w:val="0"/>
          <w:numId w:val="1001"/>
        </w:numPr>
      </w:pPr>
      <w:r>
        <w:t xml:space="preserve">Maximise the restoration potential of the selected restoration area (i.e. produce the greatest improvement in ecosystem condition)</w:t>
      </w:r>
    </w:p>
    <w:p>
      <w:pPr>
        <w:pStyle w:val="Compact"/>
        <w:numPr>
          <w:ilvl w:val="0"/>
          <w:numId w:val="1001"/>
        </w:numPr>
      </w:pPr>
      <w:r>
        <w:t xml:space="preserve">Maximise the spatial compactness of the selected restoration area</w:t>
      </w:r>
    </w:p>
    <w:p>
      <w:pPr>
        <w:pStyle w:val="Compact"/>
        <w:numPr>
          <w:ilvl w:val="0"/>
          <w:numId w:val="1001"/>
        </w:numPr>
      </w:pPr>
      <w:r>
        <w:t xml:space="preserve">Minimise the cost of the restoration strategy</w:t>
      </w:r>
    </w:p>
    <w:bookmarkStart w:id="15" w:name="study-area-and-input-data"/>
    <w:p>
      <w:pPr>
        <w:pStyle w:val="Heading3"/>
      </w:pPr>
      <w:r>
        <w:t xml:space="preserve">Study area and input data</w:t>
      </w:r>
    </w:p>
    <w:p>
      <w:pPr>
        <w:pStyle w:val="FirstParagraph"/>
      </w:pPr>
      <w:r>
        <w:t xml:space="preserve">The analysis is run for Kanton Bern, Switzerland, on forest and grassland ecosystems combined, at 100 m raster resolution in the Swiss LV95 projection (EPSG:2056).</w:t>
      </w:r>
    </w:p>
    <w:p>
      <w:pPr>
        <w:pStyle w:val="BodyText"/>
      </w:pPr>
      <w:r>
        <w:t xml:space="preserve">Anomaly values are signed, with negative values indicating degradation relative to a reference condition. The pool of pixels eligible for restoration is the intersection of (a) pixels belonging to the target LULC classes (forest and grassland: classes 12, 13, 16, 17) and (b) pixels with valid values in every objective raster. Only eligible pixels enter the decision vector.</w:t>
      </w:r>
    </w:p>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4" w:name="fig-landuse"/>
          <w:p>
            <w:pPr>
              <w:pStyle w:val="Compact"/>
              <w:jc w:val="center"/>
            </w:pPr>
            <w:r>
              <w:drawing>
                <wp:inline>
                  <wp:extent cx="5334000" cy="5021855"/>
                  <wp:effectExtent b="0" l="0" r="0" t="0"/>
                  <wp:docPr descr="" title="" id="12" name="Picture"/>
                  <a:graphic>
                    <a:graphicData uri="http://schemas.openxmlformats.org/drawingml/2006/picture">
                      <pic:pic>
                        <pic:nvPicPr>
                          <pic:cNvPr descr="index_files/figure-docx/fig-landuse-output-1.png" id="13" name="Picture"/>
                          <pic:cNvPicPr>
                            <a:picLocks noChangeArrowheads="1" noChangeAspect="1"/>
                          </pic:cNvPicPr>
                        </pic:nvPicPr>
                        <pic:blipFill>
                          <a:blip r:embed="rId11"/>
                          <a:stretch>
                            <a:fillRect/>
                          </a:stretch>
                        </pic:blipFill>
                        <pic:spPr bwMode="auto">
                          <a:xfrm>
                            <a:off x="0" y="0"/>
                            <a:ext cx="5334000" cy="502185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Land use across Kanton Bern at 100 m resolution (LV95, EPSG:2056). Forest (LULC classes 12, 13) and grassland (16, 17) are the target ecosystems whose pixels are eligible for restoration; agricultural land (class 15) is shown for spatial context only. Pixels outside these classes are left blank.</w:t>
            </w:r>
          </w:p>
          <w:bookmarkEnd w:id="14"/>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15"/>
    <w:bookmarkStart w:id="16" w:name="calculation-of-condition-anomalies"/>
    <w:p>
      <w:pPr>
        <w:pStyle w:val="Heading3"/>
      </w:pPr>
      <w:r>
        <w:t xml:space="preserve">Calculation of condition anomalies</w:t>
      </w:r>
    </w:p>
    <w:p>
      <w:pPr>
        <w:pStyle w:val="FirstParagraph"/>
      </w:pPr>
      <w:r>
        <w:t xml:space="preserve">Short description of the abiotic and biotic anomaly construction / indicator sets, with references to the relevant sections of the main paper.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ECT group</w:t>
            </w:r>
          </w:p>
        </w:tc>
        <w:tc>
          <w:tcPr/>
          <w:p>
            <w:pPr>
              <w:pStyle w:val="Compact"/>
            </w:pPr>
            <w:r>
              <w:t xml:space="preserve">ECT class</w:t>
            </w:r>
          </w:p>
        </w:tc>
        <w:tc>
          <w:tcPr/>
          <w:p>
            <w:pPr>
              <w:pStyle w:val="Compact"/>
            </w:pPr>
            <w:r>
              <w:t xml:space="preserve">Indicator</w:t>
            </w:r>
          </w:p>
        </w:tc>
        <w:tc>
          <w:tcPr/>
          <w:p>
            <w:pPr>
              <w:pStyle w:val="Compact"/>
            </w:pPr>
            <w:r>
              <w:t xml:space="preserve">Data source</w:t>
            </w:r>
          </w:p>
        </w:tc>
        <w:tc>
          <w:tcPr/>
          <w:p>
            <w:pPr>
              <w:pStyle w:val="Compact"/>
            </w:pPr>
            <w:r>
              <w:t xml:space="preserve">Ecosystem type applied to</w:t>
            </w:r>
          </w:p>
        </w:tc>
      </w:tr>
      <w:tr>
        <w:tc>
          <w:tcPr/>
          <w:p>
            <w:pPr>
              <w:pStyle w:val="Compact"/>
            </w:pPr>
            <w:r>
              <w:t xml:space="preserve">Abiotic</w:t>
            </w:r>
          </w:p>
        </w:tc>
        <w:tc>
          <w:tcPr/>
          <w:p>
            <w:pPr>
              <w:pStyle w:val="Compact"/>
            </w:pPr>
            <w:r>
              <w:t xml:space="preserve">Physical state characteristics</w:t>
            </w:r>
          </w:p>
        </w:tc>
        <w:tc>
          <w:tcPr/>
          <w:p>
            <w:pPr>
              <w:pStyle w:val="Compact"/>
            </w:pPr>
            <w:r>
              <w:t xml:space="preserve">SMD</w:t>
            </w:r>
          </w:p>
        </w:tc>
        <w:tc>
          <w:tcPr/>
          <w:p>
            <w:pPr>
              <w:pStyle w:val="Compact"/>
            </w:pPr>
          </w:p>
        </w:tc>
        <w:tc>
          <w:tcPr/>
          <w:p>
            <w:pPr>
              <w:pStyle w:val="Compact"/>
            </w:pPr>
            <w:r>
              <w:t xml:space="preserve">All</w:t>
            </w:r>
          </w:p>
        </w:tc>
      </w:tr>
      <w:tr>
        <w:tc>
          <w:tcPr/>
          <w:p>
            <w:pPr>
              <w:pStyle w:val="Compact"/>
            </w:pPr>
          </w:p>
        </w:tc>
        <w:tc>
          <w:tcPr/>
          <w:p>
            <w:pPr>
              <w:pStyle w:val="Compact"/>
            </w:pPr>
          </w:p>
        </w:tc>
        <w:tc>
          <w:tcPr/>
          <w:p>
            <w:pPr>
              <w:pStyle w:val="Compact"/>
            </w:pPr>
            <w:r>
              <w:t xml:space="preserve">SBD</w:t>
            </w:r>
          </w:p>
        </w:tc>
        <w:tc>
          <w:tcPr/>
          <w:p>
            <w:pPr>
              <w:pStyle w:val="Compact"/>
            </w:pPr>
          </w:p>
        </w:tc>
        <w:tc>
          <w:tcPr/>
          <w:p>
            <w:pPr>
              <w:pStyle w:val="Compact"/>
            </w:pPr>
          </w:p>
        </w:tc>
      </w:tr>
      <w:tr>
        <w:tc>
          <w:tcPr/>
          <w:p>
            <w:pPr>
              <w:pStyle w:val="Compact"/>
            </w:pPr>
          </w:p>
        </w:tc>
        <w:tc>
          <w:tcPr/>
          <w:p>
            <w:pPr>
              <w:pStyle w:val="Compact"/>
            </w:pPr>
            <w:r>
              <w:t xml:space="preserve">Chemical state characteristics</w:t>
            </w:r>
          </w:p>
        </w:tc>
        <w:tc>
          <w:tcPr/>
          <w:p>
            <w:pPr>
              <w:pStyle w:val="Compact"/>
            </w:pPr>
            <w:r>
              <w:t xml:space="preserve">SOC</w:t>
            </w:r>
          </w:p>
        </w:tc>
        <w:tc>
          <w:tcPr/>
          <w:p>
            <w:pPr>
              <w:pStyle w:val="Compact"/>
            </w:pPr>
          </w:p>
        </w:tc>
        <w:tc>
          <w:tcPr/>
          <w:p>
            <w:pPr>
              <w:pStyle w:val="Compact"/>
            </w:pPr>
          </w:p>
        </w:tc>
      </w:tr>
      <w:tr>
        <w:tc>
          <w:tcPr/>
          <w:p>
            <w:pPr>
              <w:pStyle w:val="Compact"/>
            </w:pPr>
            <w:r>
              <w:t xml:space="preserve">Biotic</w:t>
            </w:r>
          </w:p>
        </w:tc>
        <w:tc>
          <w:tcPr/>
          <w:p>
            <w:pPr>
              <w:pStyle w:val="Compact"/>
            </w:pPr>
            <w:r>
              <w:t xml:space="preserve">Compositional state characteristics</w:t>
            </w:r>
          </w:p>
        </w:tc>
        <w:tc>
          <w:tcPr/>
          <w:p>
            <w:pPr>
              <w:pStyle w:val="Compact"/>
            </w:pPr>
            <w:r>
              <w:t xml:space="preserve">UZL</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TSD</w:t>
            </w:r>
          </w:p>
        </w:tc>
        <w:tc>
          <w:tcPr/>
          <w:p>
            <w:pPr>
              <w:pStyle w:val="Compact"/>
            </w:pPr>
          </w:p>
        </w:tc>
        <w:tc>
          <w:tcPr/>
          <w:p>
            <w:pPr>
              <w:pStyle w:val="Compact"/>
            </w:pPr>
          </w:p>
        </w:tc>
      </w:tr>
      <w:tr>
        <w:tc>
          <w:tcPr/>
          <w:p>
            <w:pPr>
              <w:pStyle w:val="Compact"/>
            </w:pPr>
          </w:p>
        </w:tc>
        <w:tc>
          <w:tcPr/>
          <w:p>
            <w:pPr>
              <w:pStyle w:val="Compact"/>
            </w:pPr>
            <w:r>
              <w:t xml:space="preserve">Structural state characteristics</w:t>
            </w:r>
          </w:p>
        </w:tc>
        <w:tc>
          <w:tcPr/>
          <w:p>
            <w:pPr>
              <w:pStyle w:val="Compact"/>
            </w:pPr>
            <w:r>
              <w:t xml:space="preserve">CAN</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CDI</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SWF_H</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SWF_T</w:t>
            </w:r>
          </w:p>
        </w:tc>
        <w:tc>
          <w:tcPr/>
          <w:p>
            <w:pPr>
              <w:pStyle w:val="Compact"/>
            </w:pPr>
          </w:p>
        </w:tc>
        <w:tc>
          <w:tcPr/>
          <w:p>
            <w:pPr>
              <w:pStyle w:val="Compact"/>
            </w:pPr>
          </w:p>
        </w:tc>
      </w:tr>
      <w:tr>
        <w:tc>
          <w:tcPr/>
          <w:p>
            <w:pPr>
              <w:pStyle w:val="Compact"/>
            </w:pPr>
          </w:p>
        </w:tc>
        <w:tc>
          <w:tcPr/>
          <w:p>
            <w:pPr>
              <w:pStyle w:val="Compact"/>
            </w:pPr>
            <w:r>
              <w:t xml:space="preserve">Functional state characteristics</w:t>
            </w:r>
          </w:p>
        </w:tc>
        <w:tc>
          <w:tcPr/>
          <w:p>
            <w:pPr>
              <w:pStyle w:val="Compact"/>
            </w:pPr>
            <w:r>
              <w:t xml:space="preserve">LAI</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NDVI</w:t>
            </w:r>
          </w:p>
        </w:tc>
        <w:tc>
          <w:tcPr/>
          <w:p>
            <w:pPr>
              <w:pStyle w:val="Compact"/>
            </w:pPr>
          </w:p>
        </w:tc>
        <w:tc>
          <w:tcPr/>
          <w:p>
            <w:pPr>
              <w:pStyle w:val="Compact"/>
            </w:pPr>
          </w:p>
        </w:tc>
      </w:tr>
    </w:tbl>
    <w:p>
      <w:pPr>
        <w:pStyle w:val="BodyText"/>
      </w:pPr>
      <w:r>
        <w:t xml:space="preserve">Condition anomalies quantify how far each pixel departs from a reference (benchmark) condition, with negative values indicating degradation. The choice of benchmark defines the anomalies, and so is treated as a modelling input rather than a fixed quantity: we vary it across a set of condition scenarios (</w:t>
      </w:r>
      <w:hyperlink w:anchor="sec-scenarios">
        <w:r>
          <w:rPr>
            <w:rStyle w:val="Hyperlink"/>
          </w:rPr>
          <w:t xml:space="preserve">Section 3</w:t>
        </w:r>
      </w:hyperlink>
      <w:r>
        <w:t xml:space="preserve">) to test how sensitive the prioritisation is to the benchmark and to the indicator set used to construct each anomaly.</w:t>
      </w:r>
    </w:p>
    <w:bookmarkEnd w:id="16"/>
    <w:bookmarkStart w:id="21" w:name="input-data"/>
    <w:p>
      <w:pPr>
        <w:pStyle w:val="Heading3"/>
      </w:pPr>
      <w:r>
        <w:t xml:space="preserve">Input data</w:t>
      </w:r>
    </w:p>
    <w:p>
      <w:pPr>
        <w:pStyle w:val="FirstParagraph"/>
      </w:pPr>
      <w:r>
        <w:t xml:space="preserve">Two precomputed layers enter the headline objectives directly: the per-pixel restoration-potential score (the mean of the abiotic and biotic baseline anomaly, lower values indicating pixels more degraded on both dimensions) and the per-pixel implementation cost.</w:t>
      </w:r>
      <w:r>
        <w:t xml:space="preserve"> </w:t>
      </w:r>
      <w:hyperlink w:anchor="fig-inputdata">
        <w:r>
          <w:rPr>
            <w:rStyle w:val="Hyperlink"/>
          </w:rPr>
          <w:t xml:space="preserve">Figure 2</w:t>
        </w:r>
      </w:hyperlink>
      <w:r>
        <w:t xml:space="preserve"> </w:t>
      </w:r>
      <w:r>
        <w:t xml:space="preserve">maps both over the forest+grassland eligible pool and shows their distributions across eligible pixels.</w:t>
      </w:r>
    </w:p>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20" w:name="fig-inputdata"/>
          <w:p>
            <w:pPr>
              <w:pStyle w:val="Compact"/>
              <w:jc w:val="center"/>
            </w:pPr>
            <w:r>
              <w:drawing>
                <wp:inline>
                  <wp:extent cx="5334000" cy="4663729"/>
                  <wp:effectExtent b="0" l="0" r="0" t="0"/>
                  <wp:docPr descr="" title="" id="18" name="Picture"/>
                  <a:graphic>
                    <a:graphicData uri="http://schemas.openxmlformats.org/drawingml/2006/picture">
                      <pic:pic>
                        <pic:nvPicPr>
                          <pic:cNvPr descr="index_files/figure-docx/fig-inputdata-output-1.png" id="19" name="Picture"/>
                          <pic:cNvPicPr>
                            <a:picLocks noChangeArrowheads="1" noChangeAspect="1"/>
                          </pic:cNvPicPr>
                        </pic:nvPicPr>
                        <pic:blipFill>
                          <a:blip r:embed="rId17"/>
                          <a:stretch>
                            <a:fillRect/>
                          </a:stretch>
                        </pic:blipFill>
                        <pic:spPr bwMode="auto">
                          <a:xfrm>
                            <a:off x="0" y="0"/>
                            <a:ext cx="5334000" cy="466372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Input objective layers over the forest+grassland eligible pool. Top: spatial distribution of the restoration-potential score (diverging scale centred at zero; lower/redder = more degraded = higher potential) and normalised implementation cost. Bottom: their frequency distributions across eligible pixels. Colour limits are clipped at the 98th percentile of magnitude for legibility.</w:t>
            </w:r>
          </w:p>
          <w:bookmarkEnd w:id="20"/>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21"/>
    <w:bookmarkStart w:id="22" w:name="decision-variables"/>
    <w:p>
      <w:pPr>
        <w:pStyle w:val="Heading3"/>
      </w:pPr>
      <w:r>
        <w:t xml:space="preserve">Decision variables</w:t>
      </w:r>
    </w:p>
    <w:p>
      <w:pPr>
        <w:pStyle w:val="FirstParagraph"/>
      </w:pPr>
      <w:r>
        <w:t xml:space="preserve">We conceptualise a restoration strategy as the allocation of restoration actions across the landscape within a fixed budget constraint. A restoration action is a binary decision, and where a conversion action is also modelled it is a second binary decision:</w:t>
      </w:r>
    </w:p>
    <w:p>
      <w:pPr>
        <w:pStyle w:val="BodyText"/>
      </w:pPr>
      <m:oMathPara>
        <m:oMathParaPr>
          <m:jc m:val="center"/>
        </m:oMathParaPr>
        <m:oMath>
          <m:sSubSup>
            <m:e>
              <m:r>
                <m:t>x</m:t>
              </m:r>
            </m:e>
            <m:sub>
              <m:r>
                <m:t>i</m:t>
              </m:r>
            </m:sub>
            <m:sup>
              <m:r>
                <m:t>R</m:t>
              </m:r>
            </m:sup>
          </m:sSubSup>
          <m:r>
            <m:rPr>
              <m:sty m:val="p"/>
            </m:rPr>
            <m:t>∈</m:t>
          </m:r>
          <m:r>
            <m:rPr>
              <m:sty m:val="p"/>
            </m:rPr>
            <m:t>{</m:t>
          </m:r>
          <m:r>
            <m:t>0</m:t>
          </m:r>
          <m:r>
            <m:rPr>
              <m:sty m:val="p"/>
            </m:rPr>
            <m:t>,</m:t>
          </m:r>
          <m:r>
            <m:t>1</m:t>
          </m:r>
          <m:r>
            <m:rPr>
              <m:sty m:val="p"/>
            </m:rPr>
            <m:t>}</m:t>
          </m:r>
          <m:r>
            <m:t>  </m:t>
          </m:r>
          <m:sSubSup>
            <m:e>
              <m:r>
                <m:t>x</m:t>
              </m:r>
            </m:e>
            <m:sub>
              <m:r>
                <m:t>j</m:t>
              </m:r>
            </m:sub>
            <m:sup>
              <m:r>
                <m:t>C</m:t>
              </m:r>
            </m:sup>
          </m:sSubSup>
          <m:r>
            <m:rPr>
              <m:sty m:val="p"/>
            </m:rPr>
            <m:t>∈</m:t>
          </m:r>
          <m:r>
            <m:rPr>
              <m:sty m:val="p"/>
            </m:rPr>
            <m:t>{</m:t>
          </m:r>
          <m:r>
            <m:t>0</m:t>
          </m:r>
          <m:r>
            <m:rPr>
              <m:sty m:val="p"/>
            </m:rPr>
            <m:t>,</m:t>
          </m:r>
          <m:r>
            <m:t>1</m:t>
          </m:r>
          <m:r>
            <m:rPr>
              <m:sty m:val="p"/>
            </m:rPr>
            <m:t>}</m:t>
          </m:r>
        </m:oMath>
      </m:oMathPara>
    </w:p>
    <w:p>
      <w:pPr>
        <w:pStyle w:val="FirstParagraph"/>
      </w:pPr>
      <w:r>
        <w:t xml:space="preserve">where</w:t>
      </w:r>
      <w:r>
        <w:t xml:space="preserve"> </w:t>
      </w:r>
      <m:oMath>
        <m:sSubSup>
          <m:e>
            <m:r>
              <m:t>x</m:t>
            </m:r>
          </m:e>
          <m:sub>
            <m:r>
              <m:t>i</m:t>
            </m:r>
          </m:sub>
          <m:sup>
            <m:r>
              <m:t>R</m:t>
            </m:r>
          </m:sup>
        </m:sSubSup>
        <m:r>
          <m:rPr>
            <m:sty m:val="p"/>
          </m:rPr>
          <m:t>=</m:t>
        </m:r>
        <m:r>
          <m:t>1</m:t>
        </m:r>
      </m:oMath>
      <w:r>
        <w:t xml:space="preserve"> </w:t>
      </w:r>
      <w:r>
        <w:t xml:space="preserve">selects unit</w:t>
      </w:r>
      <w:r>
        <w:t xml:space="preserve"> </w:t>
      </w:r>
      <m:oMath>
        <m:r>
          <m:t>i</m:t>
        </m:r>
      </m:oMath>
      <w:r>
        <w:t xml:space="preserve"> </w:t>
      </w:r>
      <w:r>
        <w:t xml:space="preserve">for restoration and</w:t>
      </w:r>
      <w:r>
        <w:t xml:space="preserve"> </w:t>
      </w:r>
      <m:oMath>
        <m:sSubSup>
          <m:e>
            <m:r>
              <m:t>x</m:t>
            </m:r>
          </m:e>
          <m:sub>
            <m:r>
              <m:t>j</m:t>
            </m:r>
          </m:sub>
          <m:sup>
            <m:r>
              <m:t>C</m:t>
            </m:r>
          </m:sup>
        </m:sSubSup>
        <m:r>
          <m:rPr>
            <m:sty m:val="p"/>
          </m:rPr>
          <m:t>=</m:t>
        </m:r>
        <m:r>
          <m:t>1</m:t>
        </m:r>
      </m:oMath>
      <w:r>
        <w:t xml:space="preserve"> </w:t>
      </w:r>
      <w:r>
        <w:t xml:space="preserve">selects unit</w:t>
      </w:r>
      <w:r>
        <w:t xml:space="preserve"> </w:t>
      </w:r>
      <m:oMath>
        <m:r>
          <m:t>j</m:t>
        </m:r>
      </m:oMath>
      <w:r>
        <w:t xml:space="preserve"> </w:t>
      </w:r>
      <w:r>
        <w:t xml:space="preserve">for conversion.</w:t>
      </w:r>
    </w:p>
    <w:p>
      <w:pPr>
        <w:pStyle w:val="BodyText"/>
      </w:pPr>
      <w:r>
        <w:t xml:space="preserve">The decision units are 2x2 pixel patches. A single binary variable selects the whole patch. This shrinks the decision space while keeping pixel-level objective accuracy. Decisions are expanded to pixel-level selections before the objectives are evaluated.</w:t>
      </w:r>
    </w:p>
    <w:bookmarkEnd w:id="22"/>
    <w:bookmarkStart w:id="23" w:name="budget-constraint"/>
    <w:p>
      <w:pPr>
        <w:pStyle w:val="Heading3"/>
      </w:pPr>
      <w:r>
        <w:t xml:space="preserve">Budget constraint</w:t>
      </w:r>
    </w:p>
    <w:p>
      <w:pPr>
        <w:pStyle w:val="FirstParagraph"/>
      </w:pPr>
      <w:r>
        <w:t xml:space="preserve">The target pixel count is</w:t>
      </w:r>
      <w:r>
        <w:t xml:space="preserve"> </w:t>
      </w:r>
      <m:oMath>
        <m:sSub>
          <m:e>
            <m:r>
              <m:t>N</m:t>
            </m:r>
          </m:e>
          <m:sub>
            <m:r>
              <m:rPr>
                <m:nor/>
                <m:sty m:val="p"/>
              </m:rPr>
              <m:t>budget</m:t>
            </m:r>
          </m:sub>
        </m:sSub>
        <m:r>
          <m:rPr>
            <m:sty m:val="p"/>
          </m:rPr>
          <m:t>=</m:t>
        </m:r>
        <m:r>
          <m:rPr>
            <m:sty m:val="p"/>
          </m:rPr>
          <m:t>⌊</m:t>
        </m:r>
        <m:r>
          <m:t>f</m:t>
        </m:r>
        <m:r>
          <m:t> </m:t>
        </m:r>
        <m:sSub>
          <m:e>
            <m:r>
              <m:t>N</m:t>
            </m:r>
          </m:e>
          <m:sub>
            <m:r>
              <m:rPr>
                <m:nor/>
                <m:sty m:val="p"/>
              </m:rPr>
              <m:t>elig</m:t>
            </m:r>
          </m:sub>
        </m:sSub>
        <m:r>
          <m:rPr>
            <m:sty m:val="p"/>
          </m:rPr>
          <m:t>⌋</m:t>
        </m:r>
      </m:oMath>
      <w:r>
        <w:t xml:space="preserve">, where</w:t>
      </w:r>
      <w:r>
        <w:t xml:space="preserve"> </w:t>
      </w:r>
      <m:oMath>
        <m:r>
          <m:t>f</m:t>
        </m:r>
      </m:oMath>
      <w:r>
        <w:t xml:space="preserve"> </w:t>
      </w:r>
      <w:r>
        <w:t xml:space="preserve">is the restoration fraction (</w:t>
      </w:r>
      <w:r>
        <w:rPr>
          <w:rStyle w:val="VerbatimChar"/>
        </w:rPr>
        <w:t xml:space="preserve">max_restoration_fraction</w:t>
      </w:r>
      <w:r>
        <w:t xml:space="preserve">, currently 0.05) and</w:t>
      </w:r>
      <w:r>
        <w:t xml:space="preserve"> </w:t>
      </w:r>
      <m:oMath>
        <m:sSub>
          <m:e>
            <m:r>
              <m:t>N</m:t>
            </m:r>
          </m:e>
          <m:sub>
            <m:r>
              <m:rPr>
                <m:nor/>
                <m:sty m:val="p"/>
              </m:rPr>
              <m:t>elig</m:t>
            </m:r>
          </m:sub>
        </m:sSub>
      </m:oMath>
      <w:r>
        <w:t xml:space="preserve"> </w:t>
      </w:r>
      <w:r>
        <w:t xml:space="preserve">is the number of eligible pixels:</w:t>
      </w:r>
    </w:p>
    <w:p>
      <w:pPr>
        <w:pStyle w:val="BodyText"/>
      </w:pPr>
      <m:oMathPara>
        <m:oMathParaPr>
          <m:jc m:val="center"/>
        </m:oMathParaPr>
        <m:oMath>
          <m:nary>
            <m:naryPr>
              <m:chr m:val="∑"/>
              <m:limLoc m:val="undOvr"/>
              <m:subHide m:val="off"/>
              <m:supHide m:val="on"/>
            </m:naryPr>
            <m:sub>
              <m:r>
                <m:t>i</m:t>
              </m:r>
            </m:sub>
            <m:sup>
              <m:r>
                <m:t>​</m:t>
              </m:r>
            </m:sup>
            <m:e>
              <m:sSubSup>
                <m:e>
                  <m:r>
                    <m:t>x</m:t>
                  </m:r>
                </m:e>
                <m:sub>
                  <m:r>
                    <m:t>i</m:t>
                  </m:r>
                </m:sub>
                <m:sup>
                  <m:r>
                    <m:t>R</m:t>
                  </m:r>
                </m:sup>
              </m:sSubSup>
            </m:e>
          </m:nary>
          <m:r>
            <m:rPr>
              <m:sty m:val="p"/>
            </m:rPr>
            <m:t>+</m:t>
          </m:r>
          <m:nary>
            <m:naryPr>
              <m:chr m:val="∑"/>
              <m:limLoc m:val="undOvr"/>
              <m:subHide m:val="off"/>
              <m:supHide m:val="on"/>
            </m:naryPr>
            <m:sub>
              <m:r>
                <m:t>j</m:t>
              </m:r>
            </m:sub>
            <m:sup>
              <m:r>
                <m:t>​</m:t>
              </m:r>
            </m:sup>
            <m:e>
              <m:sSubSup>
                <m:e>
                  <m:r>
                    <m:t>x</m:t>
                  </m:r>
                </m:e>
                <m:sub>
                  <m:r>
                    <m:t>j</m:t>
                  </m:r>
                </m:sub>
                <m:sup>
                  <m:r>
                    <m:t>C</m:t>
                  </m:r>
                </m:sup>
              </m:sSubSup>
            </m:e>
          </m:nary>
          <m:r>
            <m:rPr>
              <m:sty m:val="p"/>
            </m:rPr>
            <m:t>≈</m:t>
          </m:r>
          <m:sSub>
            <m:e>
              <m:r>
                <m:t>N</m:t>
              </m:r>
            </m:e>
            <m:sub>
              <m:r>
                <m:rPr>
                  <m:nor/>
                  <m:sty m:val="p"/>
                </m:rPr>
                <m:t>budget</m:t>
              </m:r>
            </m:sub>
          </m:sSub>
        </m:oMath>
      </m:oMathPara>
    </w:p>
    <w:p>
      <w:pPr>
        <w:pStyle w:val="FirstParagraph"/>
      </w:pPr>
      <w:r>
        <w:t xml:space="preserve">The constraint is enforced by a repair operator applied after every variation step, within a tolerance window around the target. A solution is treated as feasible when its pixel count falls in</w:t>
      </w:r>
      <w:r>
        <w:t xml:space="preserve"> </w:t>
      </w:r>
      <m:oMath>
        <m:r>
          <m:rPr>
            <m:sty m:val="p"/>
          </m:rPr>
          <m:t>[</m:t>
        </m:r>
        <m:r>
          <m:rPr>
            <m:sty m:val="p"/>
          </m:rPr>
          <m:t>⌊</m:t>
        </m:r>
        <m:sSub>
          <m:e>
            <m:r>
              <m:t>N</m:t>
            </m:r>
          </m:e>
          <m:sub>
            <m:r>
              <m:rPr>
                <m:nor/>
                <m:sty m:val="p"/>
              </m:rPr>
              <m:t>budget</m:t>
            </m:r>
          </m:sub>
        </m:sSub>
        <m:r>
          <m:rPr>
            <m:sty m:val="p"/>
          </m:rPr>
          <m:t>(</m:t>
        </m:r>
        <m:r>
          <m:t>1</m:t>
        </m:r>
        <m:r>
          <m:rPr>
            <m:sty m:val="p"/>
          </m:rPr>
          <m:t>−</m:t>
        </m:r>
        <m:r>
          <m:t>τ</m:t>
        </m:r>
        <m:r>
          <m:rPr>
            <m:sty m:val="p"/>
          </m:rPr>
          <m:t>)</m:t>
        </m:r>
        <m:r>
          <m:rPr>
            <m:sty m:val="p"/>
          </m:rPr>
          <m:t>⌋</m:t>
        </m:r>
        <m:r>
          <m:rPr>
            <m:sty m:val="p"/>
          </m:rPr>
          <m:t>,</m:t>
        </m:r>
        <m:r>
          <m:rPr>
            <m:sty m:val="p"/>
          </m:rPr>
          <m:t>⌊</m:t>
        </m:r>
        <m:sSub>
          <m:e>
            <m:r>
              <m:t>N</m:t>
            </m:r>
          </m:e>
          <m:sub>
            <m:r>
              <m:rPr>
                <m:nor/>
                <m:sty m:val="p"/>
              </m:rPr>
              <m:t>budget</m:t>
            </m:r>
          </m:sub>
        </m:sSub>
        <m:r>
          <m:rPr>
            <m:sty m:val="p"/>
          </m:rPr>
          <m:t>(</m:t>
        </m:r>
        <m:r>
          <m:t>1</m:t>
        </m:r>
        <m:r>
          <m:rPr>
            <m:sty m:val="p"/>
          </m:rPr>
          <m:t>+</m:t>
        </m:r>
        <m:r>
          <m:t>τ</m:t>
        </m:r>
        <m:r>
          <m:rPr>
            <m:sty m:val="p"/>
          </m:rPr>
          <m:t>)</m:t>
        </m:r>
        <m:r>
          <m:rPr>
            <m:sty m:val="p"/>
          </m:rPr>
          <m:t>⌋</m:t>
        </m:r>
        <m:r>
          <m:rPr>
            <m:sty m:val="p"/>
          </m:rPr>
          <m:t>]</m:t>
        </m:r>
      </m:oMath>
      <w:r>
        <w:t xml:space="preserve">; the tolerance</w:t>
      </w:r>
      <w:r>
        <w:t xml:space="preserve"> </w:t>
      </w:r>
      <m:oMath>
        <m:r>
          <m:t>τ</m:t>
        </m:r>
      </m:oMath>
      <w:r>
        <w:t xml:space="preserve"> </w:t>
      </w:r>
      <w:r>
        <w:t xml:space="preserve">is 5% for patch mode (the constraint is evaluated at a 1.5x wider window, 7.5%), and is widened for the coarser, more variable planning-unit modes.</w:t>
      </w:r>
    </w:p>
    <w:p>
      <w:pPr>
        <w:pStyle w:val="BodyText"/>
      </w:pPr>
      <w:r>
        <w:t xml:space="preserve">The repair operator is score-guided but stochastic. When a solution is outside the window it ranks candidate patches (or units) by a priority score, takes the top</w:t>
      </w:r>
      <w:r>
        <w:t xml:space="preserve"> </w:t>
      </w:r>
      <w:r>
        <w:rPr>
          <w:rStyle w:val="VerbatimChar"/>
        </w:rPr>
        <w:t xml:space="preserve">patch_repair_top_k</w:t>
      </w:r>
      <w:r>
        <w:t xml:space="preserve">, and samples from that shortlist using a softmax weighted by</w:t>
      </w:r>
      <w:r>
        <w:t xml:space="preserve"> </w:t>
      </w:r>
      <w:r>
        <w:rPr>
          <w:rStyle w:val="VerbatimChar"/>
        </w:rPr>
        <w:t xml:space="preserve">patch_score_temperature</w:t>
      </w:r>
      <w:r>
        <w:t xml:space="preserve">. A low temperature concentrates probability on the highest-scoring candidates (near-greedy repair); a higher temperature spreads selection more evenly, trading solution quality for population diversity.</w:t>
      </w:r>
    </w:p>
    <w:bookmarkEnd w:id="23"/>
    <w:bookmarkStart w:id="24" w:name="sec-objectives"/>
    <w:p>
      <w:pPr>
        <w:pStyle w:val="Heading3"/>
      </w:pPr>
      <w:r>
        <w:t xml:space="preserve">Objective functions</w:t>
      </w:r>
    </w:p>
    <w:p>
      <w:pPr>
        <w:pStyle w:val="FirstParagraph"/>
      </w:pPr>
      <w:r>
        <w:t xml:space="preserve">All objectives are expressed as minimisations (quantities to be maximised are sign-flipped). Before being passed to the solver, each objective is normalised by dividing by the sum of absolute baseline values across eligible pixels, so that objectives are dimensionless and of comparable order, which stabilises the solver.</w:t>
      </w:r>
    </w:p>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BodyText"/>
      </w:pPr>
      <w:r>
        <w:t xml:space="preserve">The current run selects 3 objectives:</w:t>
      </w:r>
      <w:r>
        <w:t xml:space="preserve"> </w:t>
      </w:r>
      <w:r>
        <w:rPr>
          <w:rStyle w:val="VerbatimChar"/>
        </w:rPr>
        <w:t xml:space="preserve">restoration_potential</w:t>
      </w:r>
      <w:r>
        <w:t xml:space="preserve">,</w:t>
      </w:r>
      <w:r>
        <w:t xml:space="preserve"> </w:t>
      </w:r>
      <w:r>
        <w:rPr>
          <w:rStyle w:val="VerbatimChar"/>
        </w:rPr>
        <w:t xml:space="preserve">spatial_clustering</w:t>
      </w:r>
      <w:r>
        <w:t xml:space="preserve">,</w:t>
      </w:r>
      <w:r>
        <w:t xml:space="preserve"> </w:t>
      </w:r>
      <w:r>
        <w:rPr>
          <w:rStyle w:val="VerbatimChar"/>
        </w:rPr>
        <w:t xml:space="preserve">cost</w:t>
      </w:r>
      <w:r>
        <w:t xml:space="preserve">.</w:t>
      </w:r>
    </w:p>
    <w:p>
      <w:pPr>
        <w:pStyle w:val="BodyText"/>
      </w:pPr>
      <w:r>
        <w:rPr>
          <w:b/>
          <w:bCs/>
        </w:rPr>
        <w:t xml:space="preserve">Restoration potential (target the most degraded pixels)</w:t>
      </w:r>
    </w:p>
    <w:p>
      <w:pPr>
        <w:pStyle w:val="BodyText"/>
      </w:pPr>
      <w:r>
        <w:t xml:space="preserve">Each eligible pixel carries a precomputed restoration-potential score</w:t>
      </w:r>
      <w:r>
        <w:t xml:space="preserve"> </w:t>
      </w:r>
      <m:oMath>
        <m:sSub>
          <m:e>
            <m:r>
              <m:t>r</m:t>
            </m:r>
          </m:e>
          <m:sub>
            <m:r>
              <m:t>i</m:t>
            </m:r>
          </m:sub>
        </m:sSub>
      </m:oMath>
      <w:r>
        <w:t xml:space="preserve">, the mean of its abiotic and biotic baseline anomaly, so that a lower (more negative) score marks a pixel more degraded on both dimensions. The active</w:t>
      </w:r>
      <w:r>
        <w:t xml:space="preserve"> </w:t>
      </w:r>
      <w:r>
        <w:t xml:space="preserve">“sum”</w:t>
      </w:r>
      <w:r>
        <w:t xml:space="preserve"> </w:t>
      </w:r>
      <w:r>
        <w:t xml:space="preserve">formulation minimises the summed baseline potential over selected pixels, which drives selection toward the most degraded pixels:</w:t>
      </w:r>
    </w:p>
    <w:p>
      <w:pPr>
        <w:pStyle w:val="BodyText"/>
      </w:pPr>
      <m:oMathPara>
        <m:oMathParaPr>
          <m:jc m:val="center"/>
        </m:oMathParaPr>
        <m:oMath>
          <m:sSub>
            <m:e>
              <m:r>
                <m:t>f</m:t>
              </m:r>
            </m:e>
            <m:sub>
              <m:r>
                <m:rPr>
                  <m:nor/>
                  <m:sty m:val="p"/>
                </m:rPr>
                <m:t>RP</m:t>
              </m:r>
            </m:sub>
          </m:sSub>
          <m:r>
            <m:rPr>
              <m:sty m:val="p"/>
            </m:rPr>
            <m:t>(</m:t>
          </m:r>
          <m:r>
            <m:t>x</m:t>
          </m:r>
          <m:r>
            <m:rPr>
              <m:sty m:val="p"/>
            </m:rPr>
            <m:t>)</m:t>
          </m:r>
          <m:r>
            <m:rPr>
              <m:sty m:val="p"/>
            </m:rPr>
            <m:t>=</m:t>
          </m:r>
          <m:nary>
            <m:naryPr>
              <m:chr m:val="∑"/>
              <m:limLoc m:val="undOvr"/>
              <m:subHide m:val="off"/>
              <m:supHide m:val="on"/>
            </m:naryPr>
            <m:sub>
              <m:r>
                <m:t>i</m:t>
              </m:r>
              <m:r>
                <m:rPr>
                  <m:sty m:val="p"/>
                </m:rPr>
                <m:t>∈</m:t>
              </m:r>
              <m:sSub>
                <m:e>
                  <m:r>
                    <m:rPr>
                      <m:sty m:val="p"/>
                    </m:rPr>
                    <m:t>Ω</m:t>
                  </m:r>
                </m:e>
                <m:sub>
                  <m:r>
                    <m:t>R</m:t>
                  </m:r>
                </m:sub>
              </m:sSub>
            </m:sub>
            <m:sup>
              <m:r>
                <m:t>​</m:t>
              </m:r>
            </m:sup>
            <m:e>
              <m:sSub>
                <m:e>
                  <m:r>
                    <m:t>r</m:t>
                  </m:r>
                </m:e>
                <m:sub>
                  <m:r>
                    <m:t>i</m:t>
                  </m:r>
                </m:sub>
              </m:sSub>
            </m:e>
          </m:nary>
        </m:oMath>
      </m:oMathPara>
    </w:p>
    <w:p>
      <w:pPr>
        <w:pStyle w:val="FirstParagraph"/>
      </w:pPr>
      <w:r>
        <w:rPr>
          <w:b/>
          <w:bCs/>
        </w:rPr>
        <w:t xml:space="preserve">Spatial compactness (spatial_clustering)</w:t>
      </w:r>
    </w:p>
    <w:p>
      <w:pPr>
        <w:pStyle w:val="BodyText"/>
      </w:pPr>
      <w:r>
        <w:t xml:space="preserve">This objective rewards spatially clumped selections, evaluated on the 2D map of the currently selected pixels. The active</w:t>
      </w:r>
      <w:r>
        <w:t xml:space="preserve"> </w:t>
      </w:r>
      <w:r>
        <w:rPr>
          <w:rStyle w:val="VerbatimChar"/>
        </w:rPr>
        <w:t xml:space="preserve">adjacency</w:t>
      </w:r>
      <w:r>
        <w:t xml:space="preserve"> </w:t>
      </w:r>
      <w:r>
        <w:t xml:space="preserve">metric counts pairs of selected pixels that share an orthogonal edge, negated so the minimiser maximises shared edges (compactness):</w:t>
      </w:r>
    </w:p>
    <w:p>
      <w:pPr>
        <w:pStyle w:val="BodyText"/>
      </w:pPr>
      <m:oMathPara>
        <m:oMathParaPr>
          <m:jc m:val="center"/>
        </m:oMathParaPr>
        <m:oMath>
          <m:sSub>
            <m:e>
              <m:r>
                <m:t>f</m:t>
              </m:r>
            </m:e>
            <m:sub>
              <m:r>
                <m:rPr>
                  <m:nor/>
                  <m:sty m:val="p"/>
                </m:rPr>
                <m:t>SC</m:t>
              </m:r>
            </m:sub>
          </m:sSub>
          <m:r>
            <m:rPr>
              <m:sty m:val="p"/>
            </m:rPr>
            <m:t>(</m:t>
          </m:r>
          <m:r>
            <m:t>x</m:t>
          </m:r>
          <m:r>
            <m:rPr>
              <m:sty m:val="p"/>
            </m:rPr>
            <m:t>)</m:t>
          </m:r>
          <m:r>
            <m:rPr>
              <m:sty m:val="p"/>
            </m:rPr>
            <m:t>=</m:t>
          </m:r>
          <m:r>
            <m:rPr>
              <m:sty m:val="p"/>
            </m:rPr>
            <m:t>−</m:t>
          </m:r>
          <m:r>
            <m:t> </m:t>
          </m:r>
          <m:d>
            <m:dPr>
              <m:begChr m:val="("/>
              <m:sepChr m:val=""/>
              <m:endChr m:val=")"/>
              <m:grow/>
            </m:dPr>
            <m:e>
              <m:r>
                <m:rPr>
                  <m:nor/>
                  <m:sty m:val="p"/>
                </m:rPr>
                <m:t>number of orthogonally adjacent selected-pixel pairs</m:t>
              </m:r>
            </m:e>
          </m:d>
        </m:oMath>
      </m:oMathPara>
    </w:p>
    <w:p>
      <w:pPr>
        <w:pStyle w:val="FirstParagraph"/>
      </w:pPr>
      <w:r>
        <w:rPr>
          <w:b/>
          <w:bCs/>
        </w:rPr>
        <w:t xml:space="preserve">Implementation cost</w:t>
      </w:r>
    </w:p>
    <w:p>
      <w:pPr>
        <w:pStyle w:val="BodyText"/>
      </w:pPr>
      <w:r>
        <w:t xml:space="preserve">Total implementation cost is the sum of per-pixel cost over all pixels selected for action:</w:t>
      </w:r>
    </w:p>
    <w:p>
      <w:pPr>
        <w:pStyle w:val="BodyText"/>
      </w:pPr>
      <m:oMathPara>
        <m:oMathParaPr>
          <m:jc m:val="center"/>
        </m:oMathParaPr>
        <m:oMath>
          <m:sSub>
            <m:e>
              <m:r>
                <m:t>f</m:t>
              </m:r>
            </m:e>
            <m:sub>
              <m:r>
                <m:rPr>
                  <m:nor/>
                  <m:sty m:val="p"/>
                </m:rPr>
                <m:t>cost</m:t>
              </m:r>
            </m:sub>
          </m:sSub>
          <m:r>
            <m:rPr>
              <m:sty m:val="p"/>
            </m:rPr>
            <m:t>(</m:t>
          </m:r>
          <m:r>
            <m:t>x</m:t>
          </m:r>
          <m:r>
            <m:rPr>
              <m:sty m:val="p"/>
            </m:rPr>
            <m:t>)</m:t>
          </m:r>
          <m:r>
            <m:rPr>
              <m:sty m:val="p"/>
            </m:rPr>
            <m:t>=</m:t>
          </m:r>
          <m:nary>
            <m:naryPr>
              <m:chr m:val="∑"/>
              <m:limLoc m:val="undOvr"/>
              <m:subHide m:val="off"/>
              <m:supHide m:val="on"/>
            </m:naryPr>
            <m:sub>
              <m:r>
                <m:t>k</m:t>
              </m:r>
              <m:r>
                <m:rPr>
                  <m:sty m:val="p"/>
                </m:rPr>
                <m:t>∈</m:t>
              </m:r>
              <m:sSub>
                <m:e>
                  <m:r>
                    <m:rPr>
                      <m:sty m:val="p"/>
                    </m:rPr>
                    <m:t>Ω</m:t>
                  </m:r>
                </m:e>
                <m:sub>
                  <m:r>
                    <m:t>R</m:t>
                  </m:r>
                </m:sub>
              </m:sSub>
            </m:sub>
            <m:sup>
              <m:r>
                <m:t>​</m:t>
              </m:r>
            </m:sup>
            <m:e>
              <m:sSubSup>
                <m:e>
                  <m:r>
                    <m:t>y</m:t>
                  </m:r>
                </m:e>
                <m:sub>
                  <m:r>
                    <m:t>k</m:t>
                  </m:r>
                </m:sub>
                <m:sup>
                  <m:r>
                    <m:t>R</m:t>
                  </m:r>
                </m:sup>
              </m:sSubSup>
            </m:e>
          </m:nary>
          <m:r>
            <m:rPr>
              <m:sty m:val="p"/>
            </m:rPr>
            <m:t>(</m:t>
          </m:r>
          <m:r>
            <m:t>x</m:t>
          </m:r>
          <m:r>
            <m:rPr>
              <m:sty m:val="p"/>
            </m:rPr>
            <m:t>)</m:t>
          </m:r>
          <m:r>
            <m:t> </m:t>
          </m:r>
          <m:sSub>
            <m:e>
              <m:r>
                <m:t>c</m:t>
              </m:r>
            </m:e>
            <m:sub>
              <m:r>
                <m:t>k</m:t>
              </m:r>
            </m:sub>
          </m:sSub>
          <m:r>
            <m:rPr>
              <m:sty m:val="p"/>
            </m:rPr>
            <m:t>+</m:t>
          </m:r>
          <m:nary>
            <m:naryPr>
              <m:chr m:val="∑"/>
              <m:limLoc m:val="undOvr"/>
              <m:subHide m:val="off"/>
              <m:supHide m:val="on"/>
            </m:naryPr>
            <m:sub>
              <m:r>
                <m:t>k</m:t>
              </m:r>
              <m:r>
                <m:rPr>
                  <m:sty m:val="p"/>
                </m:rPr>
                <m:t>∈</m:t>
              </m:r>
              <m:sSub>
                <m:e>
                  <m:r>
                    <m:rPr>
                      <m:sty m:val="p"/>
                    </m:rPr>
                    <m:t>Ω</m:t>
                  </m:r>
                </m:e>
                <m:sub>
                  <m:r>
                    <m:t>C</m:t>
                  </m:r>
                </m:sub>
              </m:sSub>
            </m:sub>
            <m:sup>
              <m:r>
                <m:t>​</m:t>
              </m:r>
            </m:sup>
            <m:e>
              <m:sSubSup>
                <m:e>
                  <m:r>
                    <m:t>y</m:t>
                  </m:r>
                </m:e>
                <m:sub>
                  <m:r>
                    <m:t>k</m:t>
                  </m:r>
                </m:sub>
                <m:sup>
                  <m:r>
                    <m:t>C</m:t>
                  </m:r>
                </m:sup>
              </m:sSubSup>
            </m:e>
          </m:nary>
          <m:r>
            <m:rPr>
              <m:sty m:val="p"/>
            </m:rPr>
            <m:t>(</m:t>
          </m:r>
          <m:r>
            <m:t>x</m:t>
          </m:r>
          <m:r>
            <m:rPr>
              <m:sty m:val="p"/>
            </m:rPr>
            <m:t>)</m:t>
          </m:r>
          <m:r>
            <m:t> </m:t>
          </m:r>
          <m:sSub>
            <m:e>
              <m:r>
                <m:t>c</m:t>
              </m:r>
            </m:e>
            <m:sub>
              <m:r>
                <m:t>k</m:t>
              </m:r>
            </m:sub>
          </m:sSub>
        </m:oMath>
      </m:oMathPara>
    </w:p>
    <w:bookmarkEnd w:id="24"/>
    <w:bookmarkStart w:id="25" w:name="sec-effect"/>
    <w:p>
      <w:pPr>
        <w:pStyle w:val="Heading3"/>
      </w:pPr>
      <w:r>
        <w:t xml:space="preserve">Restoration effect model</w:t>
      </w:r>
    </w:p>
    <w:p>
      <w:pPr>
        <w:pStyle w:val="FirstParagraph"/>
      </w:pPr>
      <w:r>
        <w:t xml:space="preserve">The restoration effect model governs how a restored pixel’s condition anomaly changes, and so is invoked by the condition-improvement objectives (abiotic, biotic, and the</w:t>
      </w:r>
      <w:r>
        <w:t xml:space="preserve"> </w:t>
      </w:r>
      <w:r>
        <w:t xml:space="preserve">“threshold”</w:t>
      </w:r>
      <w:r>
        <w:t xml:space="preserve"> </w:t>
      </w:r>
      <w:r>
        <w:t xml:space="preserve">restoration-potential formulation). The default headline objectives (summed restoration potential, spatial compactness, cost) act on baseline scores and selection geometry and do not depend on it. The model is an assumed functional form. When pixel</w:t>
      </w:r>
      <w:r>
        <w:t xml:space="preserve"> </w:t>
      </w:r>
      <m:oMath>
        <m:r>
          <m:t>i</m:t>
        </m:r>
      </m:oMath>
      <w:r>
        <w:t xml:space="preserve"> </w:t>
      </w:r>
      <w:r>
        <w:t xml:space="preserve">is restored, its anomaly changes by an amount that depends on how degraded it already is:</w:t>
      </w:r>
    </w:p>
    <w:p>
      <w:pPr>
        <w:pStyle w:val="BodyText"/>
      </w:pPr>
      <m:oMathPara>
        <m:oMathParaPr>
          <m:jc m:val="center"/>
        </m:oMathParaPr>
        <m:oMath>
          <m:sSubSup>
            <m:e>
              <m:r>
                <m:t>a</m:t>
              </m:r>
            </m:e>
            <m:sub>
              <m:r>
                <m:t>i</m:t>
              </m:r>
            </m:sub>
            <m:sup>
              <m:r>
                <m:t>1</m:t>
              </m:r>
            </m:sup>
          </m:sSubSup>
          <m:r>
            <m:rPr>
              <m:sty m:val="p"/>
            </m:rPr>
            <m:t>=</m:t>
          </m:r>
          <m:sSubSup>
            <m:e>
              <m:r>
                <m:t>a</m:t>
              </m:r>
            </m:e>
            <m:sub>
              <m:r>
                <m:t>i</m:t>
              </m:r>
            </m:sub>
            <m:sup>
              <m:r>
                <m:t>0</m:t>
              </m:r>
            </m:sup>
          </m:sSubSup>
          <m:r>
            <m:rPr>
              <m:sty m:val="p"/>
            </m:rPr>
            <m:t>+</m:t>
          </m:r>
          <m:r>
            <m:t>α</m:t>
          </m:r>
          <m:r>
            <m:t> </m:t>
          </m:r>
          <m:r>
            <m:t>w</m:t>
          </m:r>
          <m:r>
            <m:rPr>
              <m:sty m:val="p"/>
            </m:rPr>
            <m:t>(</m:t>
          </m:r>
          <m:sSubSup>
            <m:e>
              <m:r>
                <m:t>a</m:t>
              </m:r>
            </m:e>
            <m:sub>
              <m:r>
                <m:t>i</m:t>
              </m:r>
            </m:sub>
            <m:sup>
              <m:r>
                <m:t>0</m:t>
              </m:r>
            </m:sup>
          </m:sSubSup>
          <m:r>
            <m:rPr>
              <m:sty m:val="p"/>
            </m:rPr>
            <m:t>)</m:t>
          </m:r>
        </m:oMath>
      </m:oMathPara>
    </w:p>
    <w:p>
      <w:pPr>
        <w:pStyle w:val="FirstParagraph"/>
      </w:pPr>
      <w:r>
        <w:t xml:space="preserve">where</w:t>
      </w:r>
      <w:r>
        <w:t xml:space="preserve"> </w:t>
      </w:r>
      <m:oMath>
        <m:r>
          <m:t>α</m:t>
        </m:r>
      </m:oMath>
      <w:r>
        <w:t xml:space="preserve"> </w:t>
      </w:r>
      <w:r>
        <w:t xml:space="preserve">is the effect magnitude (</w:t>
      </w:r>
      <w:r>
        <w:rPr>
          <w:rStyle w:val="VerbatimChar"/>
        </w:rPr>
        <w:t xml:space="preserve">abiotic_effect</w:t>
      </w:r>
      <w:r>
        <w:t xml:space="preserve"> </w:t>
      </w:r>
      <w:r>
        <w:t xml:space="preserve">= 0.01 and</w:t>
      </w:r>
      <w:r>
        <w:t xml:space="preserve"> </w:t>
      </w:r>
      <w:r>
        <w:rPr>
          <w:rStyle w:val="VerbatimChar"/>
        </w:rPr>
        <w:t xml:space="preserve">biotic_effect</w:t>
      </w:r>
      <w:r>
        <w:t xml:space="preserve"> </w:t>
      </w:r>
      <w:r>
        <w:t xml:space="preserve">= 0.01) and</w:t>
      </w:r>
      <w:r>
        <w:t xml:space="preserve"> </w:t>
      </w:r>
      <m:oMath>
        <m:r>
          <m:t>w</m:t>
        </m:r>
      </m:oMath>
      <w:r>
        <w:t xml:space="preserve"> </w:t>
      </w:r>
      <w:r>
        <w:t xml:space="preserve">is a saturating, degradation-weighting function. Positive or neutral anomalies (undegraded pixels) receive no improvement, i.e. </w:t>
      </w:r>
      <m:oMath>
        <m:r>
          <m:t>w</m:t>
        </m:r>
        <m:r>
          <m:rPr>
            <m:sty m:val="p"/>
          </m:rPr>
          <m:t>(</m:t>
        </m:r>
        <m:r>
          <m:t>a</m:t>
        </m:r>
        <m:r>
          <m:rPr>
            <m:sty m:val="p"/>
          </m:rPr>
          <m:t>)</m:t>
        </m:r>
        <m:r>
          <m:rPr>
            <m:sty m:val="p"/>
          </m:rPr>
          <m:t>=</m:t>
        </m:r>
        <m:r>
          <m:t>0</m:t>
        </m:r>
      </m:oMath>
      <w:r>
        <w:t xml:space="preserve"> </w:t>
      </w:r>
      <w:r>
        <w:t xml:space="preserve">for</w:t>
      </w:r>
      <w:r>
        <w:t xml:space="preserve"> </w:t>
      </w:r>
      <m:oMath>
        <m:r>
          <m:t>a</m:t>
        </m:r>
        <m:r>
          <m:rPr>
            <m:sty m:val="p"/>
          </m:rPr>
          <m:t>≥</m:t>
        </m:r>
        <m:r>
          <m:t>0</m:t>
        </m:r>
      </m:oMath>
      <w:r>
        <w:t xml:space="preserve">. For degraded pixels:</w:t>
      </w:r>
    </w:p>
    <w:p>
      <w:pPr>
        <w:pStyle w:val="BodyText"/>
      </w:pPr>
      <m:oMathPara>
        <m:oMathParaPr>
          <m:jc m:val="center"/>
        </m:oMathParaPr>
        <m:oMath>
          <m:r>
            <m:t>w</m:t>
          </m:r>
          <m:r>
            <m:rPr>
              <m:sty m:val="p"/>
            </m:rPr>
            <m:t>(</m:t>
          </m:r>
          <m:r>
            <m:t>a</m:t>
          </m:r>
          <m:r>
            <m:rPr>
              <m:sty m:val="p"/>
            </m:rPr>
            <m:t>)</m:t>
          </m:r>
          <m:r>
            <m:rPr>
              <m:sty m:val="p"/>
            </m:rPr>
            <m:t>=</m:t>
          </m:r>
          <m:sSup>
            <m:e>
              <m:d>
                <m:dPr>
                  <m:begChr m:val="("/>
                  <m:sepChr m:val=""/>
                  <m:endChr m:val=")"/>
                  <m:grow/>
                </m:dPr>
                <m:e>
                  <m:r>
                    <m:t>1</m:t>
                  </m:r>
                  <m:r>
                    <m:rPr>
                      <m:sty m:val="p"/>
                    </m:rPr>
                    <m:t>−</m:t>
                  </m:r>
                  <m:sSup>
                    <m:e>
                      <m:r>
                        <m:t>e</m:t>
                      </m:r>
                    </m:e>
                    <m:sup>
                      <m:r>
                        <m:rPr>
                          <m:sty m:val="p"/>
                        </m:rPr>
                        <m:t>−</m:t>
                      </m:r>
                      <m:f>
                        <m:fPr>
                          <m:type m:val="bar"/>
                        </m:fPr>
                        <m:num>
                          <m:r>
                            <m:rPr>
                              <m:sty m:val="p"/>
                            </m:rPr>
                            <m:t>|</m:t>
                          </m:r>
                          <m:r>
                            <m:t>a</m:t>
                          </m:r>
                          <m:r>
                            <m:rPr>
                              <m:sty m:val="p"/>
                            </m:rPr>
                            <m:t>|</m:t>
                          </m:r>
                        </m:num>
                        <m:den>
                          <m:r>
                            <m:t>s</m:t>
                          </m:r>
                        </m:den>
                      </m:f>
                    </m:sup>
                  </m:sSup>
                </m:e>
              </m:d>
            </m:e>
            <m:sup>
              <m:r>
                <m:t>γ</m:t>
              </m:r>
            </m:sup>
          </m:sSup>
        </m:oMath>
      </m:oMathPara>
    </w:p>
    <w:p>
      <w:pPr>
        <w:pStyle w:val="FirstParagraph"/>
      </w:pPr>
      <w:r>
        <w:t xml:space="preserve">with scale</w:t>
      </w:r>
      <w:r>
        <w:t xml:space="preserve"> </w:t>
      </w:r>
      <m:oMath>
        <m:r>
          <m:t>s</m:t>
        </m:r>
      </m:oMath>
      <w:r>
        <w:t xml:space="preserve"> </w:t>
      </w:r>
      <w:r>
        <w:t xml:space="preserve">(</w:t>
      </w:r>
      <w:r>
        <w:rPr>
          <w:rStyle w:val="VerbatimChar"/>
        </w:rPr>
        <w:t xml:space="preserve">anomaly_weight_scale</w:t>
      </w:r>
      <w:r>
        <w:t xml:space="preserve">, 1.0 by default in the effect model) and exponent</w:t>
      </w:r>
      <w:r>
        <w:t xml:space="preserve"> </w:t>
      </w:r>
      <m:oMath>
        <m:r>
          <m:t>γ</m:t>
        </m:r>
      </m:oMath>
      <w:r>
        <w:t xml:space="preserve"> </w:t>
      </w:r>
      <w:r>
        <w:t xml:space="preserve">(fixed at 3.0 in the code). The weight is small for anomalies near zero and increases toward 1 as the anomaly becomes more negative, so that improvement is concentrated on the most degraded pixels.</w:t>
      </w:r>
    </w:p>
    <w:p>
      <w:pPr>
        <w:pStyle w:val="BodyText"/>
      </w:pPr>
      <w:r>
        <w:t xml:space="preserve">Restoration also spills over to neighbouring pixels within a fixed radius (</w:t>
      </w:r>
      <w:r>
        <w:rPr>
          <w:rStyle w:val="VerbatimChar"/>
        </w:rPr>
        <w:t xml:space="preserve">neighbor_radius</w:t>
      </w:r>
      <w:r>
        <w:t xml:space="preserve"> </w:t>
      </w:r>
      <w:r>
        <w:t xml:space="preserve">= 3 pixels), at a reduced magnitude set by a decay factor (</w:t>
      </w:r>
      <w:r>
        <w:rPr>
          <w:rStyle w:val="VerbatimChar"/>
        </w:rPr>
        <w:t xml:space="preserve">neighbor_effect_decay</w:t>
      </w:r>
      <w:r>
        <w:t xml:space="preserve"> </w:t>
      </w:r>
      <w:r>
        <w:t xml:space="preserve">= 0.2):</w:t>
      </w:r>
    </w:p>
    <w:p>
      <w:pPr>
        <w:pStyle w:val="BodyText"/>
      </w:pPr>
      <m:oMathPara>
        <m:oMathParaPr>
          <m:jc m:val="center"/>
        </m:oMathParaPr>
        <m:oMath>
          <m:sSubSup>
            <m:e>
              <m:r>
                <m:t>a</m:t>
              </m:r>
            </m:e>
            <m:sub>
              <m:r>
                <m:t>k</m:t>
              </m:r>
            </m:sub>
            <m:sup>
              <m:r>
                <m:t>1</m:t>
              </m:r>
            </m:sup>
          </m:sSubSup>
          <m:r>
            <m:rPr>
              <m:sty m:val="p"/>
            </m:rPr>
            <m:t>=</m:t>
          </m:r>
          <m:sSubSup>
            <m:e>
              <m:r>
                <m:t>a</m:t>
              </m:r>
            </m:e>
            <m:sub>
              <m:r>
                <m:t>k</m:t>
              </m:r>
            </m:sub>
            <m:sup>
              <m:r>
                <m:t>0</m:t>
              </m:r>
            </m:sup>
          </m:sSubSup>
          <m:r>
            <m:rPr>
              <m:sty m:val="p"/>
            </m:rPr>
            <m:t>+</m:t>
          </m:r>
          <m:r>
            <m:t>α</m:t>
          </m:r>
          <m:r>
            <m:t> </m:t>
          </m:r>
          <m:r>
            <m:t>λ</m:t>
          </m:r>
          <m:r>
            <m:t> </m:t>
          </m:r>
          <m:r>
            <m:t>w</m:t>
          </m:r>
          <m:r>
            <m:rPr>
              <m:sty m:val="p"/>
            </m:rPr>
            <m:t>(</m:t>
          </m:r>
          <m:sSubSup>
            <m:e>
              <m:r>
                <m:t>a</m:t>
              </m:r>
            </m:e>
            <m:sub>
              <m:r>
                <m:t>k</m:t>
              </m:r>
            </m:sub>
            <m:sup>
              <m:r>
                <m:t>0</m:t>
              </m:r>
            </m:sup>
          </m:sSubSup>
          <m:r>
            <m:rPr>
              <m:sty m:val="p"/>
            </m:rPr>
            <m:t>)</m:t>
          </m:r>
        </m:oMath>
      </m:oMathPara>
    </w:p>
    <w:p>
      <w:pPr>
        <w:pStyle w:val="FirstParagraph"/>
      </w:pPr>
      <w:r>
        <w:t xml:space="preserve">where</w:t>
      </w:r>
      <w:r>
        <w:t xml:space="preserve"> </w:t>
      </w:r>
      <m:oMath>
        <m:r>
          <m:t>λ</m:t>
        </m:r>
      </m:oMath>
      <w:r>
        <w:t xml:space="preserve"> </w:t>
      </w:r>
      <w:r>
        <w:t xml:space="preserve">= 0.2 and the same anomaly-dependent weight</w:t>
      </w:r>
      <w:r>
        <w:t xml:space="preserve"> </w:t>
      </w:r>
      <m:oMath>
        <m:r>
          <m:t>w</m:t>
        </m:r>
      </m:oMath>
      <w:r>
        <w:t xml:space="preserve"> </w:t>
      </w:r>
      <w:r>
        <w:t xml:space="preserve">is applied per neighbour. Implementation cost has no spillover.</w:t>
      </w:r>
    </w:p>
    <w:bookmarkEnd w:id="25"/>
    <w:bookmarkStart w:id="26" w:name="optimisation-algorithm"/>
    <w:p>
      <w:pPr>
        <w:pStyle w:val="Heading3"/>
      </w:pPr>
      <w:r>
        <w:t xml:space="preserve">Optimisation algorithm</w:t>
      </w:r>
    </w:p>
    <w:p>
      <w:pPr>
        <w:pStyle w:val="FirstParagraph"/>
      </w:pPr>
      <w:r>
        <w:t xml:space="preserve">The problem is solved with NSGA-III</w:t>
      </w:r>
      <w:r>
        <w:t xml:space="preserve"> </w:t>
      </w:r>
      <w:r>
        <w:t xml:space="preserve">(Jain and Deb 2014)</w:t>
      </w:r>
      <w:r>
        <w:t xml:space="preserve"> </w:t>
      </w:r>
      <w:r>
        <w:t xml:space="preserve">in pymoo</w:t>
      </w:r>
      <w:r>
        <w:t xml:space="preserve"> </w:t>
      </w:r>
      <w:r>
        <w:t xml:space="preserve">(Blank and Deb 2020)</w:t>
      </w:r>
      <w:r>
        <w:t xml:space="preserve">, using Das-Dennis structured reference directions. Key settings:</w:t>
      </w:r>
    </w:p>
    <w:p>
      <w:pPr>
        <w:numPr>
          <w:ilvl w:val="0"/>
          <w:numId w:val="1002"/>
        </w:numPr>
      </w:pPr>
      <w:r>
        <w:rPr>
          <w:b/>
          <w:bCs/>
        </w:rPr>
        <w:t xml:space="preserve">Reference directions / population:</w:t>
      </w:r>
      <w:r>
        <w:t xml:space="preserve"> </w:t>
      </w:r>
      <w:r>
        <w:t xml:space="preserve">the number of partitions (</w:t>
      </w:r>
      <w:r>
        <w:rPr>
          <w:rStyle w:val="VerbatimChar"/>
        </w:rPr>
        <w:t xml:space="preserve">n_partitions</w:t>
      </w:r>
      <w:r>
        <w:t xml:space="preserve">) is 12, which for 3 objectives gives 91 reference directions; NSGA-III sets the population size equal to the number of reference directions.</w:t>
      </w:r>
    </w:p>
    <w:p>
      <w:pPr>
        <w:numPr>
          <w:ilvl w:val="0"/>
          <w:numId w:val="1002"/>
        </w:numPr>
      </w:pPr>
      <w:r>
        <w:rPr>
          <w:b/>
          <w:bCs/>
        </w:rPr>
        <w:t xml:space="preserve">Variation operators:</w:t>
      </w:r>
      <w:r>
        <w:t xml:space="preserve"> </w:t>
      </w:r>
      <w:r>
        <w:t xml:space="preserve">HUX crossover and bit-flip mutation, with a high mutation rate (</w:t>
      </w:r>
      <w:r>
        <w:rPr>
          <w:rStyle w:val="VerbatimChar"/>
        </w:rPr>
        <w:t xml:space="preserve">prob_var = 200/n_var</w:t>
      </w:r>
      <w:r>
        <w:t xml:space="preserve">, i.e. about 200 bit-flips per individual per generation) to encourage exploration.</w:t>
      </w:r>
    </w:p>
    <w:p>
      <w:pPr>
        <w:numPr>
          <w:ilvl w:val="0"/>
          <w:numId w:val="1002"/>
        </w:numPr>
      </w:pPr>
      <w:r>
        <w:rPr>
          <w:b/>
          <w:bCs/>
        </w:rPr>
        <w:t xml:space="preserve">Repair:</w:t>
      </w:r>
      <w:r>
        <w:t xml:space="preserve"> </w:t>
      </w:r>
      <w:r>
        <w:t xml:space="preserve">after every variation step the score-guided stochastic repair operator described above returns each individual to the budget window.</w:t>
      </w:r>
    </w:p>
    <w:p>
      <w:pPr>
        <w:numPr>
          <w:ilvl w:val="0"/>
          <w:numId w:val="1002"/>
        </w:numPr>
      </w:pPr>
      <w:r>
        <w:rPr>
          <w:b/>
          <w:bCs/>
        </w:rPr>
        <w:t xml:space="preserve">Termination:</w:t>
      </w:r>
      <w:r>
        <w:t xml:space="preserve"> </w:t>
      </w:r>
      <w:r>
        <w:t xml:space="preserve">up to 100 generations, with early stopping when the hypervolume of the Pareto front (relative to a fixed reference point) fails to improve for a set number of generations.</w:t>
      </w:r>
    </w:p>
    <w:p>
      <w:pPr>
        <w:numPr>
          <w:ilvl w:val="0"/>
          <w:numId w:val="1002"/>
        </w:numPr>
      </w:pPr>
      <w:r>
        <w:rPr>
          <w:b/>
          <w:bCs/>
        </w:rPr>
        <w:t xml:space="preserve">Initial population</w:t>
      </w:r>
      <w:r>
        <w:t xml:space="preserve"> </w:t>
      </w:r>
      <w:r>
        <w:t xml:space="preserve">The initial population is built by score-guided stochastic selection of patches (or units) up to the budget.</w:t>
      </w:r>
    </w:p>
    <w:p>
      <w:pPr>
        <w:numPr>
          <w:ilvl w:val="0"/>
          <w:numId w:val="1002"/>
        </w:numPr>
      </w:pPr>
      <w:r>
        <w:rPr>
          <w:b/>
          <w:bCs/>
        </w:rPr>
        <w:t xml:space="preserve">Warm seeding</w:t>
      </w:r>
      <w:r>
        <w:t xml:space="preserve"> </w:t>
      </w:r>
      <w:r>
        <w:t xml:space="preserve">One</w:t>
      </w:r>
      <w:r>
        <w:t xml:space="preserve"> </w:t>
      </w:r>
      <w:r>
        <w:t xml:space="preserve">“extreme”</w:t>
      </w:r>
      <w:r>
        <w:t xml:space="preserve"> </w:t>
      </w:r>
      <w:r>
        <w:t xml:space="preserve">solution per objective is added by greedily selecting the patches ranked highest for that single objective. These anchor individuals give NSGA-III points near the extremes of each objective axis from the first generation.</w:t>
      </w:r>
    </w:p>
    <w:bookmarkEnd w:id="26"/>
    <w:bookmarkEnd w:id="27"/>
    <w:bookmarkStart w:id="28" w:name="sec-scenarios"/>
    <w:p>
      <w:pPr>
        <w:pStyle w:val="Heading2"/>
      </w:pPr>
      <w:r>
        <w:t xml:space="preserve">Scenario design</w:t>
      </w:r>
    </w:p>
    <w:p>
      <w:pPr>
        <w:pStyle w:val="FirstParagraph"/>
      </w:pPr>
      <w:r>
        <w:t xml:space="preserve">Runs are organised into scenario grids so that trade-offs can be explored across benchmarks and policy settings rather than for a single configuration. Each configuration is repeated over several random seeds to characterise the stochastic variability of the solver.</w:t>
      </w:r>
    </w:p>
    <w:p>
      <w:pPr>
        <w:pStyle w:val="Compact"/>
        <w:numPr>
          <w:ilvl w:val="0"/>
          <w:numId w:val="1003"/>
        </w:numPr>
      </w:pPr>
      <w:r>
        <w:rPr>
          <w:b/>
          <w:bCs/>
        </w:rPr>
        <w:t xml:space="preserve">Condition grid:</w:t>
      </w:r>
      <w:r>
        <w:t xml:space="preserve"> </w:t>
      </w:r>
      <w:r>
        <w:t xml:space="preserve">the condition benchmark used to build the anomalies is varied (e.g. dropping individual indicators, or shifting the reference to an upper quantile of the distribution), to test how sensitive the prioritisation is to the definition of degradation.</w:t>
      </w:r>
    </w:p>
    <w:p>
      <w:pPr>
        <w:pStyle w:val="Compact"/>
        <w:numPr>
          <w:ilvl w:val="0"/>
          <w:numId w:val="1003"/>
        </w:numPr>
      </w:pPr>
      <w:r>
        <w:rPr>
          <w:b/>
          <w:bCs/>
        </w:rPr>
        <w:t xml:space="preserve">Policy grid:</w:t>
      </w:r>
      <w:r>
        <w:t xml:space="preserve"> </w:t>
      </w:r>
      <w:r>
        <w:t xml:space="preserve">the restoration budget is swept (5%, 10%, 20% of eligible pixels) and a burden-sharing option can be toggled, which constrains how restoration is distributed across the landscape.</w:t>
      </w:r>
    </w:p>
    <w:p>
      <w:pPr>
        <w:pStyle w:val="FirstParagraph"/>
      </w:pPr>
      <w:r>
        <w:t xml:space="preserve">Comparing solutions across these grids supports a robustness-oriented reading of the results, in the spirit of exploring decisions under deep uncertainty</w:t>
      </w:r>
      <w:r>
        <w:t xml:space="preserve"> </w:t>
      </w:r>
      <w:r>
        <w:t xml:space="preserve">(Lempert 2019)</w:t>
      </w:r>
      <w:r>
        <w:t xml:space="preserve">, rather than committing to a single benchmark or budget.</w:t>
      </w:r>
    </w:p>
    <w:bookmarkEnd w:id="28"/>
    <w:bookmarkStart w:id="29" w:name="results"/>
    <w:p>
      <w:pPr>
        <w:pStyle w:val="Heading2"/>
      </w:pPr>
      <w:r>
        <w:t xml:space="preserve">Results</w:t>
      </w:r>
    </w:p>
    <w:bookmarkEnd w:id="29"/>
    <w:bookmarkStart w:id="30" w:name="discussion"/>
    <w:p>
      <w:pPr>
        <w:pStyle w:val="Heading2"/>
      </w:pPr>
      <w:r>
        <w:t xml:space="preserve">Discussion</w:t>
      </w:r>
    </w:p>
    <w:bookmarkEnd w:id="30"/>
    <w:bookmarkStart w:id="31" w:name="conclusions"/>
    <w:p>
      <w:pPr>
        <w:pStyle w:val="Heading2"/>
      </w:pPr>
      <w:r>
        <w:t xml:space="preserve">Conclusions</w:t>
      </w:r>
    </w:p>
    <w:bookmarkEnd w:id="31"/>
    <w:bookmarkStart w:id="39" w:name="references"/>
    <w:p>
      <w:pPr>
        <w:pStyle w:val="Heading2"/>
      </w:pPr>
      <w:r>
        <w:t xml:space="preserve">References</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Start w:id="38" w:name="refs"/>
    <w:bookmarkStart w:id="33" w:name="ref-blank_pymoo_2020"/>
    <w:p>
      <w:pPr>
        <w:pStyle w:val="Bibliography"/>
      </w:pPr>
      <w:r>
        <w:t xml:space="preserve">Blank, Julian, and Kalyanmoy Deb. 2020.</w:t>
      </w:r>
      <w:r>
        <w:t xml:space="preserve"> </w:t>
      </w:r>
      <w:r>
        <w:t xml:space="preserve">“Pymoo:</w:t>
      </w:r>
      <w:r>
        <w:t xml:space="preserve"> </w:t>
      </w:r>
      <w:r>
        <w:t xml:space="preserve">Multi</w:t>
      </w:r>
      <w:r>
        <w:t xml:space="preserve">-</w:t>
      </w:r>
      <w:r>
        <w:t xml:space="preserve">Objective</w:t>
      </w:r>
      <w:r>
        <w:t xml:space="preserve"> </w:t>
      </w:r>
      <w:r>
        <w:t xml:space="preserve">Optimization</w:t>
      </w:r>
      <w:r>
        <w:t xml:space="preserve"> </w:t>
      </w:r>
      <w:r>
        <w:t xml:space="preserve">in</w:t>
      </w:r>
      <w:r>
        <w:t xml:space="preserve"> </w:t>
      </w:r>
      <w:r>
        <w:t xml:space="preserve">Python</w:t>
      </w:r>
      <w:r>
        <w:t xml:space="preserve">.”</w:t>
      </w:r>
      <w:r>
        <w:t xml:space="preserve"> </w:t>
      </w:r>
      <w:r>
        <w:rPr>
          <w:i/>
          <w:iCs/>
        </w:rPr>
        <w:t xml:space="preserve">IEEE Access</w:t>
      </w:r>
      <w:r>
        <w:t xml:space="preserve"> </w:t>
      </w:r>
      <w:r>
        <w:t xml:space="preserve">8: 89497–509.</w:t>
      </w:r>
      <w:r>
        <w:t xml:space="preserve"> </w:t>
      </w:r>
      <w:hyperlink r:id="rId32">
        <w:r>
          <w:rPr>
            <w:rStyle w:val="Hyperlink"/>
          </w:rPr>
          <w:t xml:space="preserve">https://doi.org/10.1109/ACCESS.2020.2990567</w:t>
        </w:r>
      </w:hyperlink>
      <w:r>
        <w:t xml:space="preserve">.</w:t>
      </w:r>
    </w:p>
    <w:bookmarkEnd w:id="33"/>
    <w:bookmarkStart w:id="35" w:name="ref-jain_evolutionary_2014"/>
    <w:p>
      <w:pPr>
        <w:pStyle w:val="Bibliography"/>
      </w:pPr>
      <w:r>
        <w:t xml:space="preserve">Jain, Himanshu, and Kalyanmoy Deb. 2014.</w:t>
      </w:r>
      <w:r>
        <w:t xml:space="preserve"> </w:t>
      </w:r>
      <w:r>
        <w:t xml:space="preserve">“An</w:t>
      </w:r>
      <w:r>
        <w:t xml:space="preserve"> </w:t>
      </w:r>
      <w:r>
        <w:t xml:space="preserve">Evolutionary</w:t>
      </w:r>
      <w:r>
        <w:t xml:space="preserve"> </w:t>
      </w:r>
      <w:r>
        <w:t xml:space="preserve">Many</w:t>
      </w:r>
      <w:r>
        <w:t xml:space="preserve">-</w:t>
      </w:r>
      <w:r>
        <w:t xml:space="preserve">Objective</w:t>
      </w:r>
      <w:r>
        <w:t xml:space="preserve"> </w:t>
      </w:r>
      <w:r>
        <w:t xml:space="preserve">Optimization</w:t>
      </w:r>
      <w:r>
        <w:t xml:space="preserve"> </w:t>
      </w:r>
      <w:r>
        <w:t xml:space="preserve">Algorithm</w:t>
      </w:r>
      <w:r>
        <w:t xml:space="preserve"> </w:t>
      </w:r>
      <w:r>
        <w:t xml:space="preserve">Using</w:t>
      </w:r>
      <w:r>
        <w:t xml:space="preserve"> </w:t>
      </w:r>
      <w:r>
        <w:t xml:space="preserve">Reference</w:t>
      </w:r>
      <w:r>
        <w:t xml:space="preserve">-</w:t>
      </w:r>
      <w:r>
        <w:t xml:space="preserve">Point</w:t>
      </w:r>
      <w:r>
        <w:t xml:space="preserve"> </w:t>
      </w:r>
      <w:r>
        <w:t xml:space="preserve">Based</w:t>
      </w:r>
      <w:r>
        <w:t xml:space="preserve"> </w:t>
      </w:r>
      <w:r>
        <w:t xml:space="preserve">Nondominated</w:t>
      </w:r>
      <w:r>
        <w:t xml:space="preserve"> </w:t>
      </w:r>
      <w:r>
        <w:t xml:space="preserve">Sorting</w:t>
      </w:r>
      <w:r>
        <w:t xml:space="preserve"> </w:t>
      </w:r>
      <w:r>
        <w:t xml:space="preserve">Approach</w:t>
      </w:r>
      <w:r>
        <w:t xml:space="preserve">,</w:t>
      </w:r>
      <w:r>
        <w:t xml:space="preserve"> </w:t>
      </w:r>
      <w:r>
        <w:t xml:space="preserve">Part</w:t>
      </w:r>
      <w:r>
        <w:t xml:space="preserve"> </w:t>
      </w:r>
      <w:r>
        <w:t xml:space="preserve">II</w:t>
      </w:r>
      <w:r>
        <w:t xml:space="preserve">:</w:t>
      </w:r>
      <w:r>
        <w:t xml:space="preserve"> </w:t>
      </w:r>
      <w:r>
        <w:t xml:space="preserve">Handling</w:t>
      </w:r>
      <w:r>
        <w:t xml:space="preserve"> </w:t>
      </w:r>
      <w:r>
        <w:t xml:space="preserve">Constraints</w:t>
      </w:r>
      <w:r>
        <w:t xml:space="preserve"> </w:t>
      </w:r>
      <w:r>
        <w:t xml:space="preserve">and</w:t>
      </w:r>
      <w:r>
        <w:t xml:space="preserve"> </w:t>
      </w:r>
      <w:r>
        <w:t xml:space="preserve">Extending</w:t>
      </w:r>
      <w:r>
        <w:t xml:space="preserve"> </w:t>
      </w:r>
      <w:r>
        <w:t xml:space="preserve">to an</w:t>
      </w:r>
      <w:r>
        <w:t xml:space="preserve"> </w:t>
      </w:r>
      <w:r>
        <w:t xml:space="preserve">Adaptive</w:t>
      </w:r>
      <w:r>
        <w:t xml:space="preserve"> </w:t>
      </w:r>
      <w:r>
        <w:t xml:space="preserve">Approach</w:t>
      </w:r>
      <w:r>
        <w:t xml:space="preserve">.”</w:t>
      </w:r>
      <w:r>
        <w:t xml:space="preserve"> </w:t>
      </w:r>
      <w:r>
        <w:rPr>
          <w:i/>
          <w:iCs/>
        </w:rPr>
        <w:t xml:space="preserve">IEEE Transactions on Evolutionary Computation</w:t>
      </w:r>
      <w:r>
        <w:t xml:space="preserve"> </w:t>
      </w:r>
      <w:r>
        <w:t xml:space="preserve">18 (4): 602–22.</w:t>
      </w:r>
      <w:r>
        <w:t xml:space="preserve"> </w:t>
      </w:r>
      <w:hyperlink r:id="rId34">
        <w:r>
          <w:rPr>
            <w:rStyle w:val="Hyperlink"/>
          </w:rPr>
          <w:t xml:space="preserve">https://doi.org/10.1109/TEVC.2013.2281534</w:t>
        </w:r>
      </w:hyperlink>
      <w:r>
        <w:t xml:space="preserve">.</w:t>
      </w:r>
    </w:p>
    <w:bookmarkEnd w:id="35"/>
    <w:bookmarkStart w:id="37" w:name="ref-lempert_robust_2019"/>
    <w:p>
      <w:pPr>
        <w:pStyle w:val="Bibliography"/>
      </w:pPr>
      <w:r>
        <w:t xml:space="preserve">Lempert, R. J. 2019.</w:t>
      </w:r>
      <w:r>
        <w:t xml:space="preserve"> </w:t>
      </w:r>
      <w:r>
        <w:rPr>
          <w:i/>
          <w:iCs/>
        </w:rPr>
        <w:t xml:space="preserve">Robust</w:t>
      </w:r>
      <w:r>
        <w:rPr>
          <w:i/>
          <w:iCs/>
        </w:rPr>
        <w:t xml:space="preserve"> </w:t>
      </w:r>
      <w:r>
        <w:rPr>
          <w:i/>
          <w:iCs/>
        </w:rPr>
        <w:t xml:space="preserve">Decision</w:t>
      </w:r>
      <w:r>
        <w:rPr>
          <w:i/>
          <w:iCs/>
        </w:rPr>
        <w:t xml:space="preserve"> </w:t>
      </w:r>
      <w:r>
        <w:rPr>
          <w:i/>
          <w:iCs/>
        </w:rPr>
        <w:t xml:space="preserve">Making</w:t>
      </w:r>
      <w:r>
        <w:rPr>
          <w:i/>
          <w:iCs/>
        </w:rPr>
        <w:t xml:space="preserve"> </w:t>
      </w:r>
      <w:r>
        <w:rPr>
          <w:i/>
          <w:iCs/>
        </w:rPr>
        <w:t xml:space="preserve">(</w:t>
      </w:r>
      <w:r>
        <w:rPr>
          <w:i/>
          <w:iCs/>
        </w:rPr>
        <w:t xml:space="preserve">RDM</w:t>
      </w:r>
      <w:r>
        <w:rPr>
          <w:i/>
          <w:iCs/>
        </w:rPr>
        <w:t xml:space="preserve">)</w:t>
      </w:r>
      <w:r>
        <w:t xml:space="preserve">. Edited by V Marchau, W Walker, P Bloemen, and S Popper. Springer.</w:t>
      </w:r>
      <w:r>
        <w:t xml:space="preserve"> </w:t>
      </w:r>
      <w:hyperlink r:id="rId36">
        <w:r>
          <w:rPr>
            <w:rStyle w:val="Hyperlink"/>
          </w:rPr>
          <w:t xml:space="preserve">https://doi.org/10.1007/978-3-030-05252-2_2</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hyperlink" Id="rId36" Target="https://doi.org/10.1007/978-3-030-05252-2_2" TargetMode="External" /><Relationship Type="http://schemas.openxmlformats.org/officeDocument/2006/relationships/hyperlink" Id="rId32" Target="https://doi.org/10.1109/ACCESS.2020.2990567" TargetMode="External" /><Relationship Type="http://schemas.openxmlformats.org/officeDocument/2006/relationships/hyperlink" Id="rId34" Target="https://doi.org/10.1109/TEVC.2013.2281534" TargetMode="External" /><Relationship Type="http://schemas.openxmlformats.org/officeDocument/2006/relationships/hyperlink" Id="rId10" Target="https://isabelntho.github.io/rest_prio/index.qmd.html"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7/978-3-030-05252-2_2" TargetMode="External" /><Relationship Type="http://schemas.openxmlformats.org/officeDocument/2006/relationships/hyperlink" Id="rId32" Target="https://doi.org/10.1109/ACCESS.2020.2990567" TargetMode="External" /><Relationship Type="http://schemas.openxmlformats.org/officeDocument/2006/relationships/hyperlink" Id="rId34" Target="https://doi.org/10.1109/TEVC.2013.2281534" TargetMode="External" /><Relationship Type="http://schemas.openxmlformats.org/officeDocument/2006/relationships/hyperlink" Id="rId10" Target="https://isabelntho.github.io/rest_prio/index.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2</dc:title>
  <dc:creator/>
  <cp:keywords/>
  <dcterms:created xsi:type="dcterms:W3CDTF">2026-07-22T10:31:43Z</dcterms:created>
  <dcterms:modified xsi:type="dcterms:W3CDTF">2026-07-22T10:31:43Z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rest_moo_paper.bib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ngine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