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2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is a simple placeholder for the manuscript’s main document.</w:t>
      </w:r>
    </w:p>
    <w:bookmarkEnd w:id="9"/>
    <w:bookmarkStart w:id="17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frame restoration prioritisation as a many-objective optimisation problem: given a</w:t>
      </w:r>
      <w:r>
        <w:t xml:space="preserve"> </w:t>
      </w:r>
      <w:r>
        <w:t xml:space="preserve">limited budget, where in an eligible landscape should restoration be allocated so as to best</w:t>
      </w:r>
      <w:r>
        <w:t xml:space="preserve"> </w:t>
      </w:r>
      <w:r>
        <w:t xml:space="preserve">trade off ecological improvement against cost? The solver optimises three objectives simultaneously:</w:t>
      </w:r>
    </w:p>
    <w:p>
      <w:pPr>
        <w:pStyle w:val="Compact"/>
        <w:numPr>
          <w:ilvl w:val="0"/>
          <w:numId w:val="1001"/>
        </w:numPr>
      </w:pPr>
      <w:r>
        <w:t xml:space="preserve">Maximise the restoration potential of the selected restoration area (i.e. produce the greatest improvement in ecosystem condition)</w:t>
      </w:r>
    </w:p>
    <w:p>
      <w:pPr>
        <w:pStyle w:val="Compact"/>
        <w:numPr>
          <w:ilvl w:val="0"/>
          <w:numId w:val="1001"/>
        </w:numPr>
      </w:pPr>
      <w:r>
        <w:t xml:space="preserve">Maximise the spatial compactness of the selected restoration area</w:t>
      </w:r>
    </w:p>
    <w:p>
      <w:pPr>
        <w:pStyle w:val="Compact"/>
        <w:numPr>
          <w:ilvl w:val="0"/>
          <w:numId w:val="1001"/>
        </w:numPr>
      </w:pPr>
      <w:r>
        <w:t xml:space="preserve">Minimise the cost of the restoration strategy</w:t>
      </w:r>
    </w:p>
    <w:bookmarkStart w:id="10" w:name="study-area-and-input-data"/>
    <w:p>
      <w:pPr>
        <w:pStyle w:val="Heading3"/>
      </w:pPr>
      <w:r>
        <w:t xml:space="preserve">Study area and input data</w:t>
      </w:r>
    </w:p>
    <w:p>
      <w:pPr>
        <w:pStyle w:val="FirstParagraph"/>
      </w:pPr>
      <w:r>
        <w:t xml:space="preserve">The analysis is run for Kanton Bern, Switzerland, on forest and grassland ecosystems combined,</w:t>
      </w:r>
      <w:r>
        <w:t xml:space="preserve"> </w:t>
      </w:r>
      <w:r>
        <w:t xml:space="preserve">at 100 m raster resolution in the Swiss LV95 projection (EPSG:2056).</w:t>
      </w:r>
    </w:p>
    <w:p>
      <w:pPr>
        <w:pStyle w:val="BodyText"/>
      </w:pPr>
      <w:r>
        <w:t xml:space="preserve">Anomaly values are signed, with negative values indicating degradation relative to a reference</w:t>
      </w:r>
      <w:r>
        <w:t xml:space="preserve"> </w:t>
      </w:r>
      <w:r>
        <w:t xml:space="preserve">condition. The pool of pixels eligible for restoration is the intersection of (a) pixels</w:t>
      </w:r>
      <w:r>
        <w:t xml:space="preserve"> </w:t>
      </w:r>
      <w:r>
        <w:t xml:space="preserve">belonging to the target LULC classes (forest and grassland: classes 12, 13, 16, 17) and (b)</w:t>
      </w:r>
      <w:r>
        <w:t xml:space="preserve"> </w:t>
      </w:r>
      <w:r>
        <w:t xml:space="preserve">pixels with valid values in every objective raster. Only eligible pixels enter the decision</w:t>
      </w:r>
      <w:r>
        <w:t xml:space="preserve"> </w:t>
      </w:r>
      <w:r>
        <w:t xml:space="preserve">vector.</w:t>
      </w:r>
    </w:p>
    <w:bookmarkEnd w:id="10"/>
    <w:bookmarkStart w:id="11" w:name="calculation-of-condition-anomalies"/>
    <w:p>
      <w:pPr>
        <w:pStyle w:val="Heading3"/>
      </w:pPr>
      <w:r>
        <w:t xml:space="preserve">Calculation of condition anomalies</w:t>
      </w:r>
    </w:p>
    <w:p>
      <w:pPr>
        <w:pStyle w:val="FirstParagraph"/>
      </w:pPr>
      <w:r>
        <w:t xml:space="preserve">Condition anomalies quantify how far each pixel departs from a reference (benchmark) condition,</w:t>
      </w:r>
      <w:r>
        <w:t xml:space="preserve"> </w:t>
      </w:r>
      <w:r>
        <w:t xml:space="preserve">with negative values indicating degradation. The choice of benchmark defines the anomalies, and</w:t>
      </w:r>
      <w:r>
        <w:t xml:space="preserve"> </w:t>
      </w:r>
      <w:r>
        <w:t xml:space="preserve">so is treated as a modelling input rather than a fixed quantity: we vary it across a set of</w:t>
      </w:r>
      <w:r>
        <w:t xml:space="preserve"> </w:t>
      </w:r>
      <w:r>
        <w:t xml:space="preserve">condition scenarios (</w:t>
      </w:r>
      <w:hyperlink w:anchor="sec-scenarios">
        <w:r>
          <w:rPr>
            <w:rStyle w:val="Hyperlink"/>
          </w:rPr>
          <w:t xml:space="preserve">Section 3</w:t>
        </w:r>
      </w:hyperlink>
      <w:r>
        <w:t xml:space="preserve">) to test how sensitive the prioritisation is to the</w:t>
      </w:r>
      <w:r>
        <w:t xml:space="preserve"> </w:t>
      </w:r>
      <w:r>
        <w:t xml:space="preserve">benchmark and to the indicator set used to construct each anomaly.</w:t>
      </w:r>
    </w:p>
    <w:bookmarkEnd w:id="11"/>
    <w:bookmarkStart w:id="12" w:name="decision-variables"/>
    <w:p>
      <w:pPr>
        <w:pStyle w:val="Heading3"/>
      </w:pPr>
      <w:r>
        <w:t xml:space="preserve">Decision variables</w:t>
      </w:r>
    </w:p>
    <w:p>
      <w:pPr>
        <w:pStyle w:val="FirstParagraph"/>
      </w:pPr>
      <w:r>
        <w:t xml:space="preserve">We conceptualise a restoration strategy as the allocation of restoration actions across the</w:t>
      </w:r>
      <w:r>
        <w:t xml:space="preserve"> </w:t>
      </w:r>
      <w:r>
        <w:t xml:space="preserve">landscape within a fixed budget constraint. A restoration action is a binary decision, and</w:t>
      </w:r>
      <w:r>
        <w:t xml:space="preserve"> </w:t>
      </w:r>
      <w:r>
        <w:t xml:space="preserve">where a conversion action is also modelled it is a second binary decision: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sSubSup>
            <m:e>
              <m:r>
                <m:t>x</m:t>
              </m:r>
            </m:e>
            <m:sub>
              <m:r>
                <m:t>j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selects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restoration and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selects unit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conversion.</w:t>
      </w:r>
    </w:p>
    <w:p>
      <w:pPr>
        <w:pStyle w:val="BodyText"/>
      </w:pPr>
      <w:r>
        <w:t xml:space="preserve">The decision units are 2x2 pixel patches. A single binary variable selects the whole patch. This shrinks the decision space while keeping pixel-level objective accuracy. Decisions are expanded to pixel-level selections before the objectives are evaluated.</w:t>
      </w:r>
    </w:p>
    <w:bookmarkEnd w:id="12"/>
    <w:bookmarkStart w:id="13" w:name="budget-constraint"/>
    <w:p>
      <w:pPr>
        <w:pStyle w:val="Heading3"/>
      </w:pPr>
      <w:r>
        <w:t xml:space="preserve">Budget constraint</w:t>
      </w:r>
    </w:p>
    <w:p>
      <w:pPr>
        <w:pStyle w:val="FirstParagraph"/>
      </w:pPr>
      <w:r>
        <w:t xml:space="preserve">The target pixel count is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budget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⌊</m:t>
        </m:r>
        <m:r>
          <m:t>f</m:t>
        </m:r>
        <m:r>
          <m:t> 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elig</m:t>
            </m:r>
          </m:sub>
        </m:sSub>
        <m:r>
          <m:rPr>
            <m:sty m:val="p"/>
          </m:rPr>
          <m:t>⌋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restoration fraction (</w:t>
      </w:r>
      <w:r>
        <w:rPr>
          <w:rStyle w:val="VerbatimChar"/>
        </w:rPr>
        <w:t xml:space="preserve">max_restoration_fraction</w:t>
      </w:r>
      <w:r>
        <w:t xml:space="preserve">, default 0.05)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elig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 number of eligible pixels: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R</m:t>
                  </m:r>
                </m:sup>
              </m:sSubSup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t>C</m:t>
                  </m:r>
                </m:sup>
              </m:sSubSup>
            </m:e>
          </m:nary>
          <m:r>
            <m:rPr>
              <m:sty m:val="p"/>
            </m:rPr>
            <m:t>≈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budget</m:t>
              </m:r>
            </m:sub>
          </m:sSub>
        </m:oMath>
      </m:oMathPara>
    </w:p>
    <w:p>
      <w:pPr>
        <w:pStyle w:val="FirstParagraph"/>
      </w:pPr>
      <w:r>
        <w:t xml:space="preserve">The constraint is enforced by a repair operator applied after every variation step, within a</w:t>
      </w:r>
      <w:r>
        <w:t xml:space="preserve"> </w:t>
      </w:r>
      <w:r>
        <w:t xml:space="preserve">tolerance window around the target. A solution is treated as feasible when its pixel count falls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⌊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budget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⌋</m:t>
        </m:r>
        <m:r>
          <m:rPr>
            <m:sty m:val="p"/>
          </m:rPr>
          <m:t>,</m:t>
        </m:r>
        <m:r>
          <m:rPr>
            <m:sty m:val="p"/>
          </m:rPr>
          <m:t>⌊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budget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⌋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tolerance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5% for patch mode (evaluated at a 1.5x wider window) and 20% for</w:t>
      </w:r>
      <w:r>
        <w:t xml:space="preserve"> </w:t>
      </w:r>
      <w:r>
        <w:t xml:space="preserve">planning-unit mode, reflecting the coarser, more variable unit sizes.</w:t>
      </w:r>
    </w:p>
    <w:p>
      <w:pPr>
        <w:pStyle w:val="BodyText"/>
      </w:pPr>
      <w:r>
        <w:t xml:space="preserve">The repair operator is score-guided but stochastic. When a solution is outside the window it</w:t>
      </w:r>
      <w:r>
        <w:t xml:space="preserve"> </w:t>
      </w:r>
      <w:r>
        <w:t xml:space="preserve">ranks candidate patches (or units) by a priority score, takes the top</w:t>
      </w:r>
      <w:r>
        <w:t xml:space="preserve"> </w:t>
      </w:r>
      <w:r>
        <w:rPr>
          <w:rStyle w:val="VerbatimChar"/>
        </w:rPr>
        <w:t xml:space="preserve">patch_repair_top_k</w:t>
      </w:r>
      <w:r>
        <w:t xml:space="preserve">, and</w:t>
      </w:r>
      <w:r>
        <w:t xml:space="preserve"> </w:t>
      </w:r>
      <w:r>
        <w:t xml:space="preserve">samples from that shortlist using a softmax weighted by</w:t>
      </w:r>
      <w:r>
        <w:t xml:space="preserve"> </w:t>
      </w:r>
      <w:r>
        <w:rPr>
          <w:rStyle w:val="VerbatimChar"/>
        </w:rPr>
        <w:t xml:space="preserve">patch_score_temperature</w:t>
      </w:r>
      <w:r>
        <w:t xml:space="preserve">. A low</w:t>
      </w:r>
      <w:r>
        <w:t xml:space="preserve"> </w:t>
      </w:r>
      <w:r>
        <w:t xml:space="preserve">temperature concentrates probability on the highest-scoring candidates (near-greedy repair); a</w:t>
      </w:r>
      <w:r>
        <w:t xml:space="preserve"> </w:t>
      </w:r>
      <w:r>
        <w:t xml:space="preserve">higher temperature spreads selection more evenly, trading solution quality for population</w:t>
      </w:r>
      <w:r>
        <w:t xml:space="preserve"> </w:t>
      </w:r>
      <w:r>
        <w:t xml:space="preserve">diversity.</w:t>
      </w:r>
    </w:p>
    <w:bookmarkEnd w:id="13"/>
    <w:bookmarkStart w:id="14" w:name="sec-objectives"/>
    <w:p>
      <w:pPr>
        <w:pStyle w:val="Heading3"/>
      </w:pPr>
      <w:r>
        <w:t xml:space="preserve">Objective functions</w:t>
      </w:r>
    </w:p>
    <w:p>
      <w:pPr>
        <w:pStyle w:val="FirstParagraph"/>
      </w:pPr>
      <w:r>
        <w:t xml:space="preserve">All objectives are expressed as minimisations (quantities to be maximised are sign-flipped).</w:t>
      </w:r>
      <w:r>
        <w:t xml:space="preserve"> </w:t>
      </w:r>
      <w:r>
        <w:t xml:space="preserve">Before being passed to the solver, each objective is normalised by dividing by the sum of</w:t>
      </w:r>
      <w:r>
        <w:t xml:space="preserve"> </w:t>
      </w:r>
      <w:r>
        <w:t xml:space="preserve">absolute baseline values across eligible pixels, so that objectives are dimensionless and of</w:t>
      </w:r>
      <w:r>
        <w:t xml:space="preserve"> </w:t>
      </w:r>
      <w:r>
        <w:t xml:space="preserve">comparable order, which stabilises the solver.</w:t>
      </w:r>
    </w:p>
    <w:p>
      <w:pPr>
        <w:pStyle w:val="BodyText"/>
      </w:pPr>
      <w:r>
        <w:t xml:space="preserve">The current run selects 3 objectives:</w:t>
      </w:r>
      <w:r>
        <w:t xml:space="preserve"> </w:t>
      </w:r>
      <w:r>
        <w:rPr>
          <w:rStyle w:val="VerbatimChar"/>
        </w:rPr>
        <w:t xml:space="preserve">restoration_potential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spatial_clustering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Restoration potential (target the most degraded pixels)</w:t>
      </w:r>
    </w:p>
    <w:p>
      <w:pPr>
        <w:pStyle w:val="BodyText"/>
      </w:pPr>
      <w:r>
        <w:t xml:space="preserve">Each eligible pixel carries a precomputed restoration-potential score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the mean of its abiotic and biotic baseline anomaly, so that a lower (more negative) score marks a pixel more degraded on both dimensions. The active</w:t>
      </w:r>
      <w:r>
        <w:t xml:space="preserve"> </w:t>
      </w:r>
      <w:r>
        <w:t xml:space="preserve">“sum”</w:t>
      </w:r>
      <w:r>
        <w:t xml:space="preserve"> </w:t>
      </w:r>
      <w:r>
        <w:t xml:space="preserve">formulation minimises the summed baseline potential over selected pixels, which drives selection toward the most degraded pixels: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RP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R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Spatial compactness (spatial_clustering)</w:t>
      </w:r>
    </w:p>
    <w:p>
      <w:pPr>
        <w:pStyle w:val="BodyText"/>
      </w:pPr>
      <w:r>
        <w:t xml:space="preserve">This objective rewards spatially clumped selections, evaluated on the 2D map of the currently selected pixels. The active</w:t>
      </w:r>
      <w:r>
        <w:t xml:space="preserve"> </w:t>
      </w:r>
      <w:r>
        <w:rPr>
          <w:rStyle w:val="VerbatimChar"/>
        </w:rPr>
        <w:t xml:space="preserve">adjacency</w:t>
      </w:r>
      <w:r>
        <w:t xml:space="preserve"> </w:t>
      </w:r>
      <w:r>
        <w:t xml:space="preserve">metric counts pairs of selected pixels that share an orthogonal edge, negated so the minimiser maximises shared edges (compactness):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number of orthogonally adjacent selected-pixel pairs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Implementation cost</w:t>
      </w:r>
    </w:p>
    <w:p>
      <w:pPr>
        <w:pStyle w:val="BodyText"/>
      </w:pPr>
      <w:r>
        <w:t xml:space="preserve">Total implementation cost is the sum of per-pixel cost over all pixels selected for action; cost has no spillover: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cost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R</m:t>
                  </m:r>
                </m:sub>
              </m:sSub>
            </m:sub>
            <m:sup>
              <m:r>
                <m:t>​</m:t>
              </m:r>
            </m:sup>
            <m:e>
              <m:sSubSup>
                <m:e>
                  <m:r>
                    <m:t>y</m:t>
                  </m:r>
                </m:e>
                <m:sub>
                  <m:r>
                    <m:t>k</m:t>
                  </m:r>
                </m:sub>
                <m:sup>
                  <m:r>
                    <m:t>R</m:t>
                  </m:r>
                </m:sup>
              </m:sSubSup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C</m:t>
                  </m:r>
                </m:sub>
              </m:sSub>
            </m:sub>
            <m:sup>
              <m:r>
                <m:t>​</m:t>
              </m:r>
            </m:sup>
            <m:e>
              <m:sSubSup>
                <m:e>
                  <m:r>
                    <m:t>y</m:t>
                  </m:r>
                </m:e>
                <m:sub>
                  <m:r>
                    <m:t>k</m:t>
                  </m:r>
                </m:sub>
                <m:sup>
                  <m:r>
                    <m:t>C</m:t>
                  </m:r>
                </m:sup>
              </m:sSubSup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</m:oMath>
      </m:oMathPara>
    </w:p>
    <w:bookmarkEnd w:id="14"/>
    <w:bookmarkStart w:id="15" w:name="sec-effect"/>
    <w:p>
      <w:pPr>
        <w:pStyle w:val="Heading3"/>
      </w:pPr>
      <w:r>
        <w:t xml:space="preserve">Restoration effect model</w:t>
      </w:r>
    </w:p>
    <w:p>
      <w:pPr>
        <w:pStyle w:val="FirstParagraph"/>
      </w:pPr>
      <w:r>
        <w:t xml:space="preserve">The restoration effect model governs how a restored pixel’s condition anomaly changes, and so is</w:t>
      </w:r>
      <w:r>
        <w:t xml:space="preserve"> </w:t>
      </w:r>
      <w:r>
        <w:t xml:space="preserve">invoked by the condition-improvement objectives (abiotic, biotic, and the</w:t>
      </w:r>
      <w:r>
        <w:t xml:space="preserve"> </w:t>
      </w:r>
      <w:r>
        <w:t xml:space="preserve">“threshold”</w:t>
      </w:r>
      <w:r>
        <w:t xml:space="preserve"> </w:t>
      </w:r>
      <w:r>
        <w:t xml:space="preserve">restoration-potential formulation). The default headline objectives (summed restoration potential,</w:t>
      </w:r>
      <w:r>
        <w:t xml:space="preserve"> </w:t>
      </w:r>
      <w:r>
        <w:t xml:space="preserve">spatial compactness, cost) act on baseline scores and selection geometry and do not depend on it.</w:t>
      </w:r>
      <w:r>
        <w:t xml:space="preserve"> </w:t>
      </w:r>
      <w:r>
        <w:t xml:space="preserve">The model is an assumed functional form. When pixel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restored, its anomaly changes by an</w:t>
      </w:r>
      <w:r>
        <w:t xml:space="preserve"> </w:t>
      </w:r>
      <w:r>
        <w:t xml:space="preserve">amount that depends on how degraded it already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i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t>i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α</m:t>
          </m:r>
          <m:r>
            <m:t> </m:t>
          </m:r>
          <m:r>
            <m:t>w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i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effect magnitude (</w:t>
      </w:r>
      <w:r>
        <w:rPr>
          <w:rStyle w:val="VerbatimChar"/>
        </w:rPr>
        <w:t xml:space="preserve">abiotic_effect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biotic_effect</w:t>
      </w:r>
      <w:r>
        <w:t xml:space="preserve">, default 0.01 each)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saturating, degradation-weighting function. Positive or neutral anomalies</w:t>
      </w:r>
      <w:r>
        <w:t xml:space="preserve"> </w:t>
      </w:r>
      <w:r>
        <w:t xml:space="preserve">(undegraded pixels) receive no improvement, i.e. 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. For degraded pixels: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</m:num>
                        <m:den>
                          <m:r>
                            <m:t>s</m:t>
                          </m:r>
                        </m:den>
                      </m:f>
                    </m:sup>
                  </m:sSup>
                </m:e>
              </m:d>
            </m:e>
            <m:sup>
              <m:r>
                <m:t>γ</m:t>
              </m:r>
            </m:sup>
          </m:sSup>
        </m:oMath>
      </m:oMathPara>
    </w:p>
    <w:p>
      <w:pPr>
        <w:pStyle w:val="FirstParagraph"/>
      </w:pPr>
      <w:r>
        <w:t xml:space="preserve">with shape parameters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anomaly_weight_scale</w:t>
      </w:r>
      <w:r>
        <w:t xml:space="preserve">, default 1.0)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anomaly_weight_gamma</w:t>
      </w:r>
      <w:r>
        <w:t xml:space="preserve">, default 3). The weight is small for anomalies near zero and increases</w:t>
      </w:r>
      <w:r>
        <w:t xml:space="preserve"> </w:t>
      </w:r>
      <w:r>
        <w:t xml:space="preserve">toward 1 as the anomaly becomes more negative, so that improvement is concentrated on the most</w:t>
      </w:r>
      <w:r>
        <w:t xml:space="preserve"> </w:t>
      </w:r>
      <w:r>
        <w:t xml:space="preserve">degraded pixels.</w:t>
      </w:r>
    </w:p>
    <w:p>
      <w:pPr>
        <w:pStyle w:val="BodyText"/>
      </w:pPr>
      <w:r>
        <w:t xml:space="preserve">Restoration also spills over to neighbouring pixels within a fixed radius (</w:t>
      </w:r>
      <w:r>
        <w:rPr>
          <w:rStyle w:val="VerbatimChar"/>
        </w:rPr>
        <w:t xml:space="preserve">neighbour_radius</w:t>
      </w:r>
      <w:r>
        <w:t xml:space="preserve"> </w:t>
      </w:r>
      <w:r>
        <w:t xml:space="preserve">=</w:t>
      </w:r>
      <w:r>
        <w:t xml:space="preserve"> </w:t>
      </w:r>
      <w:r>
        <w:t xml:space="preserve">3 pixels), at a reduced magnitude set by a decay factor (</w:t>
      </w:r>
      <w:r>
        <w:rPr>
          <w:rStyle w:val="VerbatimChar"/>
        </w:rPr>
        <w:t xml:space="preserve">neighbour_effect_decay</w:t>
      </w:r>
      <w:r>
        <w:t xml:space="preserve"> </w:t>
      </w:r>
      <w:r>
        <w:t xml:space="preserve">= 0.2):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k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t>k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α</m:t>
          </m:r>
          <m:r>
            <m:t> </m:t>
          </m:r>
          <m:r>
            <m:t>λ</m:t>
          </m:r>
          <m:r>
            <m:t> </m:t>
          </m:r>
          <m:r>
            <m:t>w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k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 the same anomaly-dependent weight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applied per neighbour.</w:t>
      </w:r>
      <w:r>
        <w:t xml:space="preserve"> </w:t>
      </w:r>
      <w:r>
        <w:t xml:space="preserve">Implementation cost has no spillover.</w:t>
      </w:r>
    </w:p>
    <w:bookmarkEnd w:id="15"/>
    <w:bookmarkStart w:id="16" w:name="optimisation-algorithm"/>
    <w:p>
      <w:pPr>
        <w:pStyle w:val="Heading3"/>
      </w:pPr>
      <w:r>
        <w:t xml:space="preserve">Optimisation algorithm</w:t>
      </w:r>
    </w:p>
    <w:p>
      <w:pPr>
        <w:pStyle w:val="FirstParagraph"/>
      </w:pPr>
      <w:r>
        <w:t xml:space="preserve">The problem is solved with NSGA-III</w:t>
      </w:r>
      <w:r>
        <w:t xml:space="preserve"> </w:t>
      </w:r>
      <w:r>
        <w:t xml:space="preserve">(Jain and Deb 2014)</w:t>
      </w:r>
      <w:r>
        <w:t xml:space="preserve"> </w:t>
      </w:r>
      <w:r>
        <w:t xml:space="preserve">in pymoo</w:t>
      </w:r>
      <w:r>
        <w:t xml:space="preserve"> </w:t>
      </w:r>
      <w:r>
        <w:t xml:space="preserve">(Blank and Deb 2020)</w:t>
      </w:r>
      <w:r>
        <w:t xml:space="preserve">, using</w:t>
      </w:r>
      <w:r>
        <w:t xml:space="preserve"> </w:t>
      </w:r>
      <w:r>
        <w:t xml:space="preserve">Das-Dennis structured reference directions. Key settings: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 directions / population:</w:t>
      </w:r>
      <w:r>
        <w:t xml:space="preserve"> </w:t>
      </w:r>
      <w:r>
        <w:rPr>
          <w:rStyle w:val="VerbatimChar"/>
        </w:rPr>
        <w:t xml:space="preserve">n_partitions = 12</w:t>
      </w:r>
      <w:r>
        <w:t xml:space="preserve">, which for three objectives gives</w:t>
      </w:r>
      <w:r>
        <w:t xml:space="preserve"> </w:t>
      </w:r>
      <w:r>
        <w:t xml:space="preserve">roughly 91 reference directions; NSGA-III sets the population size equal to the number of</w:t>
      </w:r>
      <w:r>
        <w:t xml:space="preserve"> </w:t>
      </w:r>
      <w:r>
        <w:t xml:space="preserve">reference directions, so both scale with the number of objectives.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Variation operators:</w:t>
      </w:r>
      <w:r>
        <w:t xml:space="preserve"> </w:t>
      </w:r>
      <w:r>
        <w:t xml:space="preserve">HUX crossover and bit-flip mutation, with a high mutation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prob_var = 200/n_var</w:t>
      </w:r>
      <w:r>
        <w:t xml:space="preserve">, i.e. about 200 bit-flips per individual per generation) to encourage</w:t>
      </w:r>
      <w:r>
        <w:t xml:space="preserve"> </w:t>
      </w:r>
      <w:r>
        <w:t xml:space="preserve">exploration.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Repair:</w:t>
      </w:r>
      <w:r>
        <w:t xml:space="preserve"> </w:t>
      </w:r>
      <w:r>
        <w:t xml:space="preserve">after every variation step the score-guided stochastic repair operator described</w:t>
      </w:r>
      <w:r>
        <w:t xml:space="preserve"> </w:t>
      </w:r>
      <w:r>
        <w:t xml:space="preserve">above returns each individual to the budget window.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Termination:</w:t>
      </w:r>
      <w:r>
        <w:t xml:space="preserve"> </w:t>
      </w:r>
      <w:r>
        <w:t xml:space="preserve">up to 100 generations, with early stopping when the hypervolume of the</w:t>
      </w:r>
      <w:r>
        <w:t xml:space="preserve"> </w:t>
      </w:r>
      <w:r>
        <w:t xml:space="preserve">Pareto front (relative to a fixed reference point) fails to improve for a set number of</w:t>
      </w:r>
      <w:r>
        <w:t xml:space="preserve"> </w:t>
      </w:r>
      <w:r>
        <w:t xml:space="preserve">generations.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Initial population and warm seeding.</w:t>
      </w:r>
      <w:r>
        <w:t xml:space="preserve"> </w:t>
      </w:r>
      <w:r>
        <w:t xml:space="preserve">The initial population is built by score-guided</w:t>
      </w:r>
      <w:r>
        <w:t xml:space="preserve"> </w:t>
      </w:r>
      <w:r>
        <w:t xml:space="preserve">stochastic selection of patches (or units) up to the budget.</w:t>
      </w:r>
    </w:p>
    <w:p>
      <w:pPr>
        <w:pStyle w:val="Compact"/>
        <w:numPr>
          <w:ilvl w:val="0"/>
          <w:numId w:val="1002"/>
        </w:numPr>
      </w:pPr>
      <w:r>
        <w:t xml:space="preserve">** One</w:t>
      </w:r>
      <w:r>
        <w:t xml:space="preserve"> </w:t>
      </w:r>
      <w:r>
        <w:t xml:space="preserve">“extreme”</w:t>
      </w:r>
      <w:r>
        <w:t xml:space="preserve"> </w:t>
      </w:r>
      <w:r>
        <w:t xml:space="preserve">solution per objective is added by greedily selecting the patches ranked highest for</w:t>
      </w:r>
      <w:r>
        <w:t xml:space="preserve"> </w:t>
      </w:r>
      <w:r>
        <w:t xml:space="preserve">that single objective. These anchor individuals give NSGA-III points near the extremes of each</w:t>
      </w:r>
      <w:r>
        <w:t xml:space="preserve"> </w:t>
      </w:r>
      <w:r>
        <w:t xml:space="preserve">objective axis from the first generation.</w:t>
      </w:r>
    </w:p>
    <w:bookmarkEnd w:id="16"/>
    <w:bookmarkEnd w:id="17"/>
    <w:bookmarkStart w:id="18" w:name="sec-scenarios"/>
    <w:p>
      <w:pPr>
        <w:pStyle w:val="Heading2"/>
      </w:pPr>
      <w:r>
        <w:t xml:space="preserve">Scenario design</w:t>
      </w:r>
    </w:p>
    <w:p>
      <w:pPr>
        <w:pStyle w:val="FirstParagraph"/>
      </w:pPr>
      <w:r>
        <w:t xml:space="preserve">Runs are organised into scenario grids so that trade-offs can be explored across benchmarks and</w:t>
      </w:r>
      <w:r>
        <w:t xml:space="preserve"> </w:t>
      </w:r>
      <w:r>
        <w:t xml:space="preserve">policy settings rather than for a single configuration. Each configuration is repeated over</w:t>
      </w:r>
      <w:r>
        <w:t xml:space="preserve"> </w:t>
      </w:r>
      <w:r>
        <w:t xml:space="preserve">several random seeds to characterise the stochastic variability of the solver.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Condition grid:</w:t>
      </w:r>
      <w:r>
        <w:t xml:space="preserve"> </w:t>
      </w:r>
      <w:r>
        <w:t xml:space="preserve">the condition benchmark used to build the anomalies is varied (e.g.</w:t>
      </w:r>
      <w:r>
        <w:t xml:space="preserve"> </w:t>
      </w:r>
      <w:r>
        <w:t xml:space="preserve">dropping individual indicators, or shifting the reference to an upper quantile of the</w:t>
      </w:r>
      <w:r>
        <w:t xml:space="preserve"> </w:t>
      </w:r>
      <w:r>
        <w:t xml:space="preserve">distribution), to test how sensitive the prioritisation is to the definition of degradation.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 grid:</w:t>
      </w:r>
      <w:r>
        <w:t xml:space="preserve"> </w:t>
      </w:r>
      <w:r>
        <w:t xml:space="preserve">the restoration budget is swept (5%, 10%, 20% of eligible pixels) and a</w:t>
      </w:r>
      <w:r>
        <w:t xml:space="preserve"> </w:t>
      </w:r>
      <w:r>
        <w:t xml:space="preserve">burden-sharing option can be toggled, which constrains how restoration is distributed across</w:t>
      </w:r>
      <w:r>
        <w:t xml:space="preserve"> </w:t>
      </w:r>
      <w:r>
        <w:t xml:space="preserve">the landscape.</w:t>
      </w:r>
    </w:p>
    <w:p>
      <w:pPr>
        <w:pStyle w:val="FirstParagraph"/>
      </w:pPr>
      <w:r>
        <w:t xml:space="preserve">Comparing solutions across these grids supports a robustness-oriented reading of the results, in</w:t>
      </w:r>
      <w:r>
        <w:t xml:space="preserve"> </w:t>
      </w:r>
      <w:r>
        <w:t xml:space="preserve">the spirit of exploring decisions under deep uncertainty</w:t>
      </w:r>
      <w:r>
        <w:t xml:space="preserve"> </w:t>
      </w:r>
      <w:r>
        <w:t xml:space="preserve">(Lempert 2019)</w:t>
      </w:r>
      <w:r>
        <w:t xml:space="preserve">, rather than</w:t>
      </w:r>
      <w:r>
        <w:t xml:space="preserve"> </w:t>
      </w:r>
      <w:r>
        <w:t xml:space="preserve">committing to a single benchmark or budget.</w:t>
      </w:r>
    </w:p>
    <w:bookmarkEnd w:id="18"/>
    <w:bookmarkStart w:id="19" w:name="results"/>
    <w:p>
      <w:pPr>
        <w:pStyle w:val="Heading2"/>
      </w:pPr>
      <w:r>
        <w:t xml:space="preserve">Results</w:t>
      </w:r>
    </w:p>
    <w:bookmarkEnd w:id="19"/>
    <w:bookmarkStart w:id="20" w:name="discussion"/>
    <w:p>
      <w:pPr>
        <w:pStyle w:val="Heading2"/>
      </w:pPr>
      <w:r>
        <w:t xml:space="preserve">Discussion</w:t>
      </w:r>
    </w:p>
    <w:bookmarkEnd w:id="20"/>
    <w:bookmarkStart w:id="21" w:name="conclusions"/>
    <w:p>
      <w:pPr>
        <w:pStyle w:val="Heading2"/>
      </w:pPr>
      <w:r>
        <w:t xml:space="preserve">Conclusions</w:t>
      </w:r>
    </w:p>
    <w:bookmarkEnd w:id="21"/>
    <w:bookmarkStart w:id="3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2">
        <w:r>
          <w:rPr>
            <w:rStyle w:val="Hyperlink"/>
            <w:vertAlign w:val="subscript"/>
          </w:rPr>
          <w:t xml:space="preserve">Article Notebook</w:t>
        </w:r>
      </w:hyperlink>
    </w:p>
    <w:bookmarkStart w:id="29" w:name="refs"/>
    <w:bookmarkStart w:id="24" w:name="ref-blank_pymoo_2020"/>
    <w:p>
      <w:pPr>
        <w:pStyle w:val="Bibliography"/>
      </w:pPr>
      <w:r>
        <w:t xml:space="preserve">Blank, Julian, and Kalyanmoy Deb. 2020.</w:t>
      </w:r>
      <w:r>
        <w:t xml:space="preserve"> </w:t>
      </w:r>
      <w:r>
        <w:t xml:space="preserve">“Pymoo:</w:t>
      </w:r>
      <w:r>
        <w:t xml:space="preserve"> </w:t>
      </w:r>
      <w:r>
        <w:t xml:space="preserve">Multi</w:t>
      </w:r>
      <w:r>
        <w:t xml:space="preserve">-</w:t>
      </w:r>
      <w:r>
        <w:t xml:space="preserve">Objective</w:t>
      </w:r>
      <w:r>
        <w:t xml:space="preserve"> </w:t>
      </w:r>
      <w:r>
        <w:t xml:space="preserve">Optimization</w:t>
      </w:r>
      <w:r>
        <w:t xml:space="preserve"> </w:t>
      </w:r>
      <w:r>
        <w:t xml:space="preserve">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t xml:space="preserve">8: 89497–509.</w:t>
      </w:r>
      <w:r>
        <w:t xml:space="preserve"> </w:t>
      </w:r>
      <w:hyperlink r:id="rId23">
        <w:r>
          <w:rPr>
            <w:rStyle w:val="Hyperlink"/>
          </w:rPr>
          <w:t xml:space="preserve">https://doi.org/10.1109/ACCESS.2020.2990567</w:t>
        </w:r>
      </w:hyperlink>
      <w:r>
        <w:t xml:space="preserve">.</w:t>
      </w:r>
    </w:p>
    <w:bookmarkEnd w:id="24"/>
    <w:bookmarkStart w:id="26" w:name="ref-jain_evolutionary_2014"/>
    <w:p>
      <w:pPr>
        <w:pStyle w:val="Bibliography"/>
      </w:pPr>
      <w:r>
        <w:t xml:space="preserve">Jain, Himanshu, and Kalyanmoy Deb. 2014.</w:t>
      </w:r>
      <w:r>
        <w:t xml:space="preserve"> </w:t>
      </w:r>
      <w:r>
        <w:t xml:space="preserve">“An</w:t>
      </w:r>
      <w:r>
        <w:t xml:space="preserve"> </w:t>
      </w:r>
      <w:r>
        <w:t xml:space="preserve">Evolutionary</w:t>
      </w:r>
      <w:r>
        <w:t xml:space="preserve"> </w:t>
      </w:r>
      <w:r>
        <w:t xml:space="preserve">Many</w:t>
      </w:r>
      <w:r>
        <w:t xml:space="preserve">-</w:t>
      </w:r>
      <w:r>
        <w:t xml:space="preserve">Objective</w:t>
      </w:r>
      <w:r>
        <w:t xml:space="preserve"> </w:t>
      </w:r>
      <w:r>
        <w:t xml:space="preserve">Optimization</w:t>
      </w:r>
      <w:r>
        <w:t xml:space="preserve"> </w:t>
      </w:r>
      <w:r>
        <w:t xml:space="preserve">Algorithm</w:t>
      </w:r>
      <w:r>
        <w:t xml:space="preserve"> </w:t>
      </w:r>
      <w:r>
        <w:t xml:space="preserve">Using</w:t>
      </w:r>
      <w:r>
        <w:t xml:space="preserve"> </w:t>
      </w:r>
      <w:r>
        <w:t xml:space="preserve">Reference</w:t>
      </w:r>
      <w:r>
        <w:t xml:space="preserve">-</w:t>
      </w:r>
      <w:r>
        <w:t xml:space="preserve">Point</w:t>
      </w:r>
      <w:r>
        <w:t xml:space="preserve"> </w:t>
      </w:r>
      <w:r>
        <w:t xml:space="preserve">Based</w:t>
      </w:r>
      <w:r>
        <w:t xml:space="preserve"> </w:t>
      </w:r>
      <w:r>
        <w:t xml:space="preserve">Nondominated</w:t>
      </w:r>
      <w:r>
        <w:t xml:space="preserve"> </w:t>
      </w:r>
      <w:r>
        <w:t xml:space="preserve">Sorting</w:t>
      </w:r>
      <w:r>
        <w:t xml:space="preserve"> </w:t>
      </w:r>
      <w:r>
        <w:t xml:space="preserve">Approach</w:t>
      </w:r>
      <w:r>
        <w:t xml:space="preserve">,</w:t>
      </w:r>
      <w:r>
        <w:t xml:space="preserve"> </w:t>
      </w:r>
      <w:r>
        <w:t xml:space="preserve">Part</w:t>
      </w:r>
      <w:r>
        <w:t xml:space="preserve"> </w:t>
      </w:r>
      <w:r>
        <w:t xml:space="preserve">II</w:t>
      </w:r>
      <w:r>
        <w:t xml:space="preserve">:</w:t>
      </w:r>
      <w:r>
        <w:t xml:space="preserve"> </w:t>
      </w:r>
      <w:r>
        <w:t xml:space="preserve">Handling</w:t>
      </w:r>
      <w:r>
        <w:t xml:space="preserve"> </w:t>
      </w:r>
      <w:r>
        <w:t xml:space="preserve">Constraints</w:t>
      </w:r>
      <w:r>
        <w:t xml:space="preserve"> </w:t>
      </w:r>
      <w:r>
        <w:t xml:space="preserve">and</w:t>
      </w:r>
      <w:r>
        <w:t xml:space="preserve"> </w:t>
      </w:r>
      <w:r>
        <w:t xml:space="preserve">Extending</w:t>
      </w:r>
      <w:r>
        <w:t xml:space="preserve"> </w:t>
      </w:r>
      <w:r>
        <w:t xml:space="preserve">to an</w:t>
      </w:r>
      <w:r>
        <w:t xml:space="preserve"> </w:t>
      </w:r>
      <w:r>
        <w:t xml:space="preserve">Adaptive</w:t>
      </w:r>
      <w:r>
        <w:t xml:space="preserve"> </w:t>
      </w:r>
      <w:r>
        <w:t xml:space="preserve">Approach</w:t>
      </w:r>
      <w:r>
        <w:t xml:space="preserve">.”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t xml:space="preserve">18 (4): 602–22.</w:t>
      </w:r>
      <w:r>
        <w:t xml:space="preserve"> </w:t>
      </w:r>
      <w:hyperlink r:id="rId25">
        <w:r>
          <w:rPr>
            <w:rStyle w:val="Hyperlink"/>
          </w:rPr>
          <w:t xml:space="preserve">https://doi.org/10.1109/TEVC.2013.2281534</w:t>
        </w:r>
      </w:hyperlink>
      <w:r>
        <w:t xml:space="preserve">.</w:t>
      </w:r>
    </w:p>
    <w:bookmarkEnd w:id="26"/>
    <w:bookmarkStart w:id="28" w:name="ref-lempert_robust_2019"/>
    <w:p>
      <w:pPr>
        <w:pStyle w:val="Bibliography"/>
      </w:pPr>
      <w:r>
        <w:t xml:space="preserve">Lempert, R. J. 2019.</w:t>
      </w:r>
      <w:r>
        <w:t xml:space="preserve"> </w:t>
      </w:r>
      <w:r>
        <w:rPr>
          <w:i/>
          <w:iCs/>
        </w:rPr>
        <w:t xml:space="preserve">Robust</w:t>
      </w:r>
      <w:r>
        <w:rPr>
          <w:i/>
          <w:iCs/>
        </w:rPr>
        <w:t xml:space="preserve"> </w:t>
      </w:r>
      <w:r>
        <w:rPr>
          <w:i/>
          <w:iCs/>
        </w:rPr>
        <w:t xml:space="preserve">Decision</w:t>
      </w:r>
      <w:r>
        <w:rPr>
          <w:i/>
          <w:iCs/>
        </w:rPr>
        <w:t xml:space="preserve"> </w:t>
      </w:r>
      <w:r>
        <w:rPr>
          <w:i/>
          <w:iCs/>
        </w:rPr>
        <w:t xml:space="preserve">Making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RDM</w:t>
      </w:r>
      <w:r>
        <w:rPr>
          <w:i/>
          <w:iCs/>
        </w:rPr>
        <w:t xml:space="preserve">)</w:t>
      </w:r>
      <w:r>
        <w:t xml:space="preserve">. Edited by V Marchau, W Walker, P Bloemen, and S Popper. Springer.</w:t>
      </w:r>
      <w:r>
        <w:t xml:space="preserve"> </w:t>
      </w:r>
      <w:hyperlink r:id="rId27">
        <w:r>
          <w:rPr>
            <w:rStyle w:val="Hyperlink"/>
          </w:rPr>
          <w:t xml:space="preserve">https://doi.org/10.1007/978-3-030-05252-2_2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doi.org/10.1007/978-3-030-05252-2_2" TargetMode="External" /><Relationship Type="http://schemas.openxmlformats.org/officeDocument/2006/relationships/hyperlink" Id="rId23" Target="https://doi.org/10.1109/ACCESS.2020.2990567" TargetMode="External" /><Relationship Type="http://schemas.openxmlformats.org/officeDocument/2006/relationships/hyperlink" Id="rId25" Target="https://doi.org/10.1109/TEVC.2013.2281534" TargetMode="External" /><Relationship Type="http://schemas.openxmlformats.org/officeDocument/2006/relationships/hyperlink" Id="rId22" Target="https://isabelntho.github.io/rest_prio/index.qm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1007/978-3-030-05252-2_2" TargetMode="External" /><Relationship Type="http://schemas.openxmlformats.org/officeDocument/2006/relationships/hyperlink" Id="rId23" Target="https://doi.org/10.1109/ACCESS.2020.2990567" TargetMode="External" /><Relationship Type="http://schemas.openxmlformats.org/officeDocument/2006/relationships/hyperlink" Id="rId25" Target="https://doi.org/10.1109/TEVC.2013.2281534" TargetMode="External" /><Relationship Type="http://schemas.openxmlformats.org/officeDocument/2006/relationships/hyperlink" Id="rId22" Target="https://isabelntho.github.io/rest_prio/index.qm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2</dc:title>
  <dc:creator/>
  <cp:keywords/>
  <dcterms:created xsi:type="dcterms:W3CDTF">2026-07-21T13:04:19Z</dcterms:created>
  <dcterms:modified xsi:type="dcterms:W3CDTF">2026-07-21T13:04:19Z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rest_moo_paper.bib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engines">
    <vt:lpwstr/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