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3864"/>
          <w:sz w:val="40"/>
        </w:rPr>
        <w:t>Research Plan</w:t>
      </w:r>
    </w:p>
    <w:p>
      <w:pPr>
        <w:spacing w:after="20"/>
        <w:jc w:val="center"/>
      </w:pPr>
      <w:r>
        <w:rPr>
          <w:color w:val="444444"/>
          <w:sz w:val="21"/>
        </w:rPr>
        <w:t>How Much Data Does It Take to Tell Two Cell Types Apart?</w:t>
      </w:r>
    </w:p>
    <w:p>
      <w:pPr>
        <w:spacing w:after="20"/>
        <w:jc w:val="center"/>
      </w:pPr>
      <w:r>
        <w:rPr>
          <w:color w:val="444444"/>
          <w:sz w:val="21"/>
        </w:rPr>
        <w:t>Counting statistics, detection theory, and the price of a sequencing read</w:t>
      </w:r>
    </w:p>
    <w:p>
      <w:pPr>
        <w:spacing w:after="20"/>
        <w:jc w:val="center"/>
      </w:pPr>
      <w:r>
        <w:rPr>
          <w:color w:val="444444"/>
          <w:sz w:val="21"/>
        </w:rPr>
        <w:t>Student: Vihaan Rao   ·   Mentor: Dr. Isac Artzi   ·   Duration: 15 weeks, one semester</w:t>
      </w:r>
    </w:p>
    <w:p>
      <w:pPr>
        <w:spacing w:after="20"/>
        <w:jc w:val="center"/>
      </w:pPr>
      <w:r>
        <w:rPr>
          <w:color w:val="444444"/>
          <w:sz w:val="21"/>
        </w:rPr>
        <w:t>Repository: https://github.com/isac-artzi/SenSym-computational-biology</w:t>
      </w:r>
    </w:p>
    <w:p>
      <w:pPr>
        <w:spacing w:after="20"/>
        <w:jc w:val="center"/>
      </w:pPr>
      <w:r>
        <w:rPr>
          <w:color w:val="444444"/>
          <w:sz w:val="21"/>
        </w:rPr>
        <w:t>Course site: https://isac-artzi.github.io/SenSym-computational-biology/</w:t>
      </w:r>
    </w:p>
    <w:p>
      <w:pPr>
        <w:spacing w:after="20"/>
        <w:jc w:val="center"/>
      </w:pPr>
      <w:r>
        <w:rPr>
          <w:color w:val="444444"/>
          <w:sz w:val="21"/>
        </w:rPr>
        <w:t>Version 1.0   ·   13 August 2026   ·   Governing document: supersedes the seed plan, expands it, replaces nothing in it</w:t>
      </w:r>
    </w:p>
    <w:p>
      <w:pPr>
        <w:spacing w:after="160"/>
        <w:jc w:val="center"/>
      </w:pPr>
      <w:r>
        <w:rPr>
          <w:color w:val="999999"/>
        </w:rPr>
        <w:t>————————————————————————————</w:t>
      </w:r>
    </w:p>
    <w:p>
      <w:pPr>
        <w:spacing w:after="80"/>
      </w:pPr>
      <w:r>
        <w:rPr>
          <w:i w:val="0"/>
        </w:rPr>
        <w:t>This is the governing document for the project. It states what is being asked, what would count as an answer, what would count as a refutation, what gets built in which week, and — written down in advance, before any of the numbers are known — what happens when something does not work. The 15 weekly chapters on the course site implement this plan; the Python laboratory in python/ implements the chapters. Where this document and a chapter disagree about a number, the chapter is the source of truth and this document is the thing to correct.</w:t>
      </w:r>
    </w:p>
    <w:p>
      <w:pPr>
        <w:pStyle w:val="Heading1"/>
      </w:pPr>
      <w:r>
        <w:t>1. Motivation and central question</w:t>
      </w:r>
    </w:p>
    <w:p>
      <w:pPr>
        <w:spacing w:after="80"/>
      </w:pPr>
      <w:r>
        <w:rPr>
          <w:i w:val="0"/>
        </w:rPr>
        <w:t>A human cell holds a few hundred thousand messenger RNA molecules. A single-cell RNA sequencing experiment — the standard 10x Genomics droplet protocol, say — captures and reads a few thousand of them: not a few thousand kinds, a few thousand molecules in total, spread across some twenty thousand genes. Most genes come back as a zero. Many come back as a one. When a paper reports that one cell expresses CD3D at 4 counts and another at 6, the honest translation is that a small random sample was drawn from each cell and returned 4 and 6; draw again and it would return 3 and 8.</w:t>
      </w:r>
    </w:p>
    <w:p>
      <w:pPr>
        <w:spacing w:after="80"/>
      </w:pPr>
      <w:r>
        <w:rPr>
          <w:i w:val="0"/>
        </w:rPr>
        <w:t>That reframes the whole problem. Deciding what type a cell is, from a tally of a few thousand sampled molecules, is not primarily a machine-learning problem. It is a statistical detection problem — two hypotheses, one noisy observation, one decision — of exactly the kind radar engineers formalised in the 1950s, and such problems have answers with no free parameters: given the counting statistics the achievable accuracy is determined, and no cleverness in the classifier can exceed it. The question is therefore not "which classifier wins?" but "how much data does the decision require, and what does more data buy?"</w:t>
      </w:r>
    </w:p>
    <w:p>
      <w:pPr>
        <w:spacing w:after="80"/>
      </w:pPr>
      <w:r>
        <w:rPr>
          <w:i w:val="0"/>
        </w:rPr>
        <w:t>The central question of this project, stated once and used to test every later decision:</w:t>
      </w:r>
    </w:p>
    <w:p>
      <w:pPr>
        <w:spacing w:before="60" w:after="120"/>
        <w:jc w:val="center"/>
      </w:pPr>
      <w:r>
        <w:rPr>
          <w:i/>
          <w:sz w:val="22"/>
        </w:rPr>
        <w:t>How does the accuracy of cell-type classification scale with (a) sequencing depth per cell and (b) the number of informative marker genes — and where, precisely, does that scaling law stop being true?</w:t>
      </w:r>
    </w:p>
    <w:p>
      <w:pPr>
        <w:spacing w:after="80"/>
      </w:pPr>
      <w:r>
        <w:rPr>
          <w:i w:val="0"/>
        </w:rPr>
        <w:t>The question matters outside the project because it has a budget attached. Sequencing is sold by the read. A laboratory that wants to distinguish two similar cell types twice as well reasons, correctly under Poisson counting, that discriminability grows as the square root of depth and therefore that quadrupling the depth doubles the resolution. Week 11 shows where that reasoning stops being true and the money starts being wasted. The project's most consequential result is expected to be exactly that boundary.</w:t>
      </w:r>
    </w:p>
    <w:p>
      <w:pPr>
        <w:pStyle w:val="Heading1"/>
      </w:pPr>
      <w:r>
        <w:t>2. Hypothesis, and what would falsify it</w:t>
      </w:r>
    </w:p>
    <w:p>
      <w:pPr>
        <w:spacing w:after="80"/>
      </w:pPr>
      <w:r>
        <w:rPr>
          <w:i w:val="0"/>
        </w:rPr>
        <w:t>The hypothesis, in the form that is actually tested:</w:t>
      </w:r>
    </w:p>
    <w:p>
      <w:pPr>
        <w:spacing w:before="60" w:after="120"/>
        <w:jc w:val="center"/>
      </w:pPr>
      <w:r>
        <w:rPr>
          <w:i/>
          <w:sz w:val="22"/>
        </w:rPr>
        <w:t>d′ ∝ √(depth × k),   and   accuracy = Φ(d′/2)</w:t>
      </w:r>
    </w:p>
    <w:p>
      <w:pPr>
        <w:spacing w:after="80"/>
      </w:pPr>
      <w:r>
        <w:rPr>
          <w:i w:val="0"/>
        </w:rPr>
        <w:t>where d′ = |λ₁ − λ₂| / √λ̄ is the separation index between the two cell types' expected counts, λ̄ is the pooled mean, k is the number of independent informative marker genes, and Φ is the standard normal cumulative distribution function. The practical corollary — the sentence the project exists to defend — is that doubling the separation between two cell types costs four times the data.</w:t>
      </w:r>
    </w:p>
    <w:p>
      <w:pPr>
        <w:spacing w:after="80"/>
      </w:pPr>
      <w:r>
        <w:rPr>
          <w:i w:val="0"/>
        </w:rPr>
        <w:t>This is a falsifiable claim and not a slogan, because it forbids specific observations. The following would each refute some part of it, and each is measured somewhere in the schedule:</w:t>
      </w:r>
    </w:p>
    <w:p>
      <w:pPr>
        <w:pStyle w:val="ListBullet"/>
        <w:spacing w:after="40"/>
      </w:pPr>
      <w:r>
        <w:rPr>
          <w:b/>
        </w:rPr>
        <w:t xml:space="preserve">The exponent is not one half. </w:t>
      </w:r>
      <w:r>
        <w:t>A fitted exponent whose interval excludes 0.5 in the simulation arm, where the sampling error is small enough for the interval to be narrow. The simulation arm is the only arm with the statistical power to falsify the exponent outright; the bead arm cannot, and the plan says so in advance (Section 6.3).</w:t>
      </w:r>
    </w:p>
    <w:p>
      <w:pPr>
        <w:pStyle w:val="ListBullet"/>
        <w:spacing w:after="40"/>
      </w:pPr>
      <w:r>
        <w:rPr>
          <w:b/>
        </w:rPr>
        <w:t xml:space="preserve">The closed-form accuracy formula is wrong where it is claimed to hold. </w:t>
      </w:r>
      <w:r>
        <w:t>Measured accuracy departing from Φ(d′/2) by more than the stated tolerance at depths where the Gaussian approximation is supposed to hold. Week 9's M3 gate is written as exactly this test, with the tolerance fixed before the numbers are seen.</w:t>
      </w:r>
    </w:p>
    <w:p>
      <w:pPr>
        <w:pStyle w:val="ListBullet"/>
        <w:spacing w:after="40"/>
      </w:pPr>
      <w:r>
        <w:rPr>
          <w:b/>
        </w:rPr>
        <w:t xml:space="preserve">Dropout does something other than reduce effective depth. </w:t>
      </w:r>
      <w:r>
        <w:t>Dropout at rate q is predicted to be indistinguishable from sequencing at depth D(1−q). If the two arms fail to superimpose when plotted against effective depth — in simulation (Week 9) or on the table with beads (Week 12) — the thinning argument has a hole in it.</w:t>
      </w:r>
    </w:p>
    <w:p>
      <w:pPr>
        <w:pStyle w:val="ListBullet"/>
        <w:spacing w:after="40"/>
      </w:pPr>
      <w:r>
        <w:rPr>
          <w:b/>
        </w:rPr>
        <w:t xml:space="preserve">Evidence from independent genes does not add in quadrature. </w:t>
      </w:r>
      <w:r>
        <w:t>The quadrature argument predicts that splitting a fixed amount of marker signal over more genes gains exactly nothing, while adding genuinely independent markers gains √k. Week 5's fixed-total-mass figure is a two-branch prediction — one curve of slope 0.5, one of slope 0 — and getting either branch wrong falsifies the argument.</w:t>
      </w:r>
    </w:p>
    <w:p>
      <w:pPr>
        <w:spacing w:after="80"/>
      </w:pPr>
      <w:r>
        <w:rPr>
          <w:i w:val="0"/>
        </w:rPr>
        <w:t>Two clarifications, because they are the two ways this hypothesis is most easily mis-refuted. A measured accuracy saturating near 1 is not evidence against a square-root law: accuracy is bounded above and d′ is not, which is why every exponent here is fitted in d′ space. And the hypothesis is a statement about Poisson counting — Week 11 finds real counts overdispersed and derives, from the negative-binomial variance rather than from disappointment, a ceiling past which depth buys almost nothing. That is a predicted failure outside the stated assumptions: a result, not a refutation.</w:t>
      </w:r>
    </w:p>
    <w:p>
      <w:pPr>
        <w:pStyle w:val="Heading1"/>
      </w:pPr>
      <w:r>
        <w:t>3. Specific aims</w:t>
      </w:r>
    </w:p>
    <w:p>
      <w:pPr>
        <w:pStyle w:val="Heading2"/>
      </w:pPr>
      <w:r>
        <w:t>3.1  Aim 1 — Theory (Weeks 1–5, closes at M2)</w:t>
      </w:r>
    </w:p>
    <w:p>
      <w:pPr>
        <w:spacing w:after="80"/>
      </w:pPr>
      <w:r>
        <w:rPr>
          <w:i w:val="0"/>
        </w:rPr>
        <w:t>Model the count of marker gene g in a cell of type c as Poisson with mean λ = (expression fraction) × (sequencing depth). Because a Poisson variable's variance equals its mean, the noise scale is fixed by the signal and there is nothing left to fit. Define the separation index, derive its depth dependence, extend it to k genes through the naive-Bayes log-likelihood ratio, and convert it to an accuracy.</w:t>
      </w:r>
    </w:p>
    <w:p>
      <w:pPr>
        <w:spacing w:before="60" w:after="120"/>
        <w:jc w:val="center"/>
      </w:pPr>
      <w:r>
        <w:rPr>
          <w:i/>
          <w:sz w:val="22"/>
        </w:rPr>
        <w:t>d′ = |λ₁ − λ₂| / √λ̄  →  d′ = √D · |p₁ − p₂| / √p̄  →  (d′_total)² = Σ_g (d′_g)²  →  accuracy = Φ(d′/2)</w:t>
      </w:r>
    </w:p>
    <w:p>
      <w:pPr>
        <w:pStyle w:val="ListBullet"/>
        <w:spacing w:after="40"/>
      </w:pPr>
      <w:r>
        <w:rPr>
          <w:b/>
        </w:rPr>
        <w:t xml:space="preserve">Delivers: </w:t>
      </w:r>
      <w:r>
        <w:t>a closed-form accuracy prediction with no free parameters, stated together with the five assumptions it rests on (counts are Poisson; genes are independent given the cell type; all cells of a type are identical; the two types are equally likely; the Gaussian approximation to the log-likelihood ratio is adequate); a working detection.py module; the tag theory-complete.</w:t>
      </w:r>
    </w:p>
    <w:p>
      <w:pPr>
        <w:pStyle w:val="ListBullet"/>
        <w:spacing w:after="40"/>
      </w:pPr>
      <w:r>
        <w:rPr>
          <w:b/>
        </w:rPr>
        <w:t xml:space="preserve">Depends on: </w:t>
      </w:r>
      <w:r>
        <w:t>nothing but Weeks 1–2 and a whiteboard. Aim 1 is the only aim with no external dependency, which is why it is scheduled first and why nothing downstream is allowed to start before it closes.</w:t>
      </w:r>
    </w:p>
    <w:p>
      <w:pPr>
        <w:pStyle w:val="Heading2"/>
      </w:pPr>
      <w:r>
        <w:t>3.2  Aim 2 — Simulation and real data (Weeks 7–11, closes at M4)</w:t>
      </w:r>
    </w:p>
    <w:p>
      <w:pPr>
        <w:spacing w:after="80"/>
      </w:pPr>
      <w:r>
        <w:rPr>
          <w:i w:val="0"/>
        </w:rPr>
        <w:t>Two halves, deliberately separated. The simulation half writes synthetic cells from an explicit generative model and measures the accuracy of classifiers written from scratch — naive Bayes, logistic regression by gradient descent, kNN — against the Aim 1 prediction, then adds dropout and tests the collapse onto effective depth. The real-data half takes the 10x PBMC 3k dataset, selects markers honestly on a training split, downsamples the raw counts, and asks whether the same law survives contact with data nobody in this project generated.</w:t>
      </w:r>
    </w:p>
    <w:p>
      <w:pPr>
        <w:pStyle w:val="ListBullet"/>
        <w:spacing w:after="40"/>
      </w:pPr>
      <w:r>
        <w:rPr>
          <w:b/>
        </w:rPr>
        <w:t xml:space="preserve">Delivers: </w:t>
      </w:r>
      <w:r>
        <w:t>an independent implementation of the theory (a simulator agreeing with a formula is worth something only because the two were built to different specifications); the measured effect of selection leakage on this dataset; the measured per-gene overdispersion of real PBMC counts; the depth-ceiling result; the tag simulator-validated.</w:t>
      </w:r>
    </w:p>
    <w:p>
      <w:pPr>
        <w:pStyle w:val="ListBullet"/>
        <w:spacing w:after="40"/>
      </w:pPr>
      <w:r>
        <w:rPr>
          <w:b/>
        </w:rPr>
        <w:t xml:space="preserve">Depends on: </w:t>
      </w:r>
      <w:r>
        <w:t>Aim 1 for the prediction it is tested against, and on the PBMC download and labelling pipeline for its second half. The download is the project's only external dependency and has its own go/no-go rule (Section 6.2).</w:t>
      </w:r>
    </w:p>
    <w:p>
      <w:pPr>
        <w:pStyle w:val="Heading2"/>
      </w:pPr>
      <w:r>
        <w:t>3.3  Aim 3 — Physical analog (Weeks 6–12, closes at M5)</w:t>
      </w:r>
    </w:p>
    <w:p>
      <w:pPr>
        <w:spacing w:after="80"/>
      </w:pPr>
      <w:r>
        <w:rPr>
          <w:i w:val="0"/>
        </w:rPr>
        <w:t>Two opaque jars of identical beads in slightly different colour proportions. A helper draws n beads with replacement from a jar chosen by a pre-randomized sheet; a blinded guesser applies a threshold rule and names the jar; accuracy is measured against n ∈ {10, 25, 50, 100, 200} in two arms, plain and with a dropout rule that discards each drawn bead with probability q = 0.30. The binomial separation index obeys the same square-root law as the sequencing case,</w:t>
      </w:r>
    </w:p>
    <w:p>
      <w:pPr>
        <w:spacing w:before="60" w:after="120"/>
        <w:jc w:val="center"/>
      </w:pPr>
      <w:r>
        <w:rPr>
          <w:i/>
          <w:sz w:val="22"/>
        </w:rPr>
        <w:t>d′ = √n · |p_A − p_B| / √(p̄(1 − p̄))</w:t>
      </w:r>
    </w:p>
    <w:p>
      <w:pPr>
        <w:spacing w:after="80"/>
      </w:pPr>
      <w:r>
        <w:rPr>
          <w:i w:val="0"/>
        </w:rPr>
        <w:t>with n in place of depth. Aim 3 is an honest analog of the sampling process and not a substitute for sequencing; it is presented that way in every chapter, every figure caption and the report.</w:t>
      </w:r>
    </w:p>
    <w:p>
      <w:pPr>
        <w:pStyle w:val="ListBullet"/>
        <w:spacing w:after="40"/>
      </w:pPr>
      <w:r>
        <w:rPr>
          <w:b/>
        </w:rPr>
        <w:t xml:space="preserve">Delivers: </w:t>
      </w:r>
      <w:r>
        <w:t>the only line of evidence in the project in which nothing is simulated and no software can be wrong. Its value is that it rules out a class of error the other two arms cannot: the possibility that the sampling mathematics itself is mistaken, or that both the derivation and the simulator share a misconception because the same person wrote them in the same afternoon.</w:t>
      </w:r>
    </w:p>
    <w:p>
      <w:pPr>
        <w:pStyle w:val="ListBullet"/>
        <w:spacing w:after="40"/>
      </w:pPr>
      <w:r>
        <w:rPr>
          <w:b/>
        </w:rPr>
        <w:t xml:space="preserve">Depends on: </w:t>
      </w:r>
      <w:r>
        <w:t>a helper (the arm cannot be run single-handed without losing its blinding), about 13 hours of table time, and the Week 6 design decision being made before a single bead is drawn.</w:t>
      </w:r>
    </w:p>
    <w:p>
      <w:pPr>
        <w:pStyle w:val="Heading1"/>
      </w:pPr>
      <w:r>
        <w:t>4. Methods</w:t>
      </w:r>
    </w:p>
    <w:p>
      <w:pPr>
        <w:pStyle w:val="Heading2"/>
      </w:pPr>
      <w:r>
        <w:t>4.1  The model, and the assumptions it is standing on</w:t>
      </w:r>
    </w:p>
    <w:p>
      <w:pPr>
        <w:spacing w:after="80"/>
      </w:pPr>
      <w:r>
        <w:rPr>
          <w:i w:val="0"/>
        </w:rPr>
        <w:t>Counts for gene g in a cell of type c are independent Poisson variables with mean λ_cg = D · p_g^(c), where D is the cell's depth in molecules and p_g^(c) is gene g's share of that type's transcriptome. Every result in Aim 1 follows from that sentence plus Var = mean. The assumptions are listed explicitly, each attached to the week that attacks it, because a derivation whose assumptions are unwritten cannot be diagnosed when it fails:</w:t>
      </w:r>
    </w:p>
    <w:tbl>
      <w:tblPr>
        <w:tblStyle w:val="LightGrid-Accent1"/>
        <w:tblW w:type="auto" w:w="0"/>
        <w:tblLayout w:type="fixed"/>
        <w:tblLook w:firstColumn="1" w:firstRow="1" w:lastColumn="0" w:lastRow="0" w:noHBand="0" w:noVBand="1" w:val="04A0"/>
        <w:tblLayout w:type="fixed"/>
      </w:tblPr>
      <w:tblGrid>
        <w:gridCol w:w="3057"/>
        <w:gridCol w:w="3057"/>
        <w:gridCol w:w="3822"/>
      </w:tblGrid>
      <w:tr>
        <w:tc>
          <w:tcPr>
            <w:tcW w:type="dxa" w:w="3057"/>
          </w:tcPr>
          <w:p>
            <w:pPr>
              <w:spacing w:after="20" w:before="20" w:line="240" w:lineRule="auto"/>
            </w:pPr>
            <w:r/>
            <w:r>
              <w:rPr>
                <w:b/>
                <w:sz w:val="18"/>
              </w:rPr>
              <w:t>Assumption</w:t>
            </w:r>
          </w:p>
        </w:tc>
        <w:tc>
          <w:tcPr>
            <w:tcW w:type="dxa" w:w="3057"/>
          </w:tcPr>
          <w:p>
            <w:pPr>
              <w:spacing w:after="20" w:before="20" w:line="240" w:lineRule="auto"/>
            </w:pPr>
            <w:r/>
            <w:r>
              <w:rPr>
                <w:b/>
                <w:sz w:val="18"/>
              </w:rPr>
              <w:t>Where it is used</w:t>
            </w:r>
          </w:p>
        </w:tc>
        <w:tc>
          <w:tcPr>
            <w:tcW w:type="dxa" w:w="3822"/>
          </w:tcPr>
          <w:p>
            <w:pPr>
              <w:spacing w:after="20" w:before="20" w:line="240" w:lineRule="auto"/>
            </w:pPr>
            <w:r/>
            <w:r>
              <w:rPr>
                <w:b/>
                <w:sz w:val="18"/>
              </w:rPr>
              <w:t>Where it is attacked</w:t>
            </w:r>
          </w:p>
        </w:tc>
      </w:tr>
      <w:tr>
        <w:tc>
          <w:tcPr>
            <w:tcW w:type="dxa" w:w="3057"/>
          </w:tcPr>
          <w:p>
            <w:pPr>
              <w:spacing w:after="20" w:before="20" w:line="240" w:lineRule="auto"/>
            </w:pPr>
            <w:r/>
            <w:r>
              <w:rPr>
                <w:sz w:val="18"/>
              </w:rPr>
              <w:t>Counts are Poisson (variance equals mean)</w:t>
            </w:r>
          </w:p>
        </w:tc>
        <w:tc>
          <w:tcPr>
            <w:tcW w:type="dxa" w:w="3057"/>
          </w:tcPr>
          <w:p>
            <w:pPr>
              <w:spacing w:after="20" w:before="20" w:line="240" w:lineRule="auto"/>
            </w:pPr>
            <w:r/>
            <w:r>
              <w:rPr>
                <w:sz w:val="18"/>
              </w:rPr>
              <w:t>The d′ denominator, Weeks 1–5</w:t>
            </w:r>
          </w:p>
        </w:tc>
        <w:tc>
          <w:tcPr>
            <w:tcW w:type="dxa" w:w="3822"/>
          </w:tcPr>
          <w:p>
            <w:pPr>
              <w:spacing w:after="20" w:before="20" w:line="240" w:lineRule="auto"/>
            </w:pPr>
            <w:r/>
            <w:r>
              <w:rPr>
                <w:sz w:val="18"/>
              </w:rPr>
              <w:t>Week 11 — real Fano factors exceed 1; the negative binomial replaces it</w:t>
            </w:r>
          </w:p>
        </w:tc>
      </w:tr>
      <w:tr>
        <w:tc>
          <w:tcPr>
            <w:tcW w:type="dxa" w:w="3057"/>
          </w:tcPr>
          <w:p>
            <w:pPr>
              <w:spacing w:after="20" w:before="20" w:line="240" w:lineRule="auto"/>
            </w:pPr>
            <w:r/>
            <w:r>
              <w:rPr>
                <w:sz w:val="18"/>
              </w:rPr>
              <w:t>Genes are independent given the cell type</w:t>
            </w:r>
          </w:p>
        </w:tc>
        <w:tc>
          <w:tcPr>
            <w:tcW w:type="dxa" w:w="3057"/>
          </w:tcPr>
          <w:p>
            <w:pPr>
              <w:spacing w:after="20" w:before="20" w:line="240" w:lineRule="auto"/>
            </w:pPr>
            <w:r/>
            <w:r>
              <w:rPr>
                <w:sz w:val="18"/>
              </w:rPr>
              <w:t>The quadrature law, Week 5</w:t>
            </w:r>
          </w:p>
        </w:tc>
        <w:tc>
          <w:tcPr>
            <w:tcW w:type="dxa" w:w="3822"/>
          </w:tcPr>
          <w:p>
            <w:pPr>
              <w:spacing w:after="20" w:before="20" w:line="240" w:lineRule="auto"/>
            </w:pPr>
            <w:r/>
            <w:r>
              <w:rPr>
                <w:sz w:val="18"/>
              </w:rPr>
              <w:t>Week 11 discussion and the report's limitations section</w:t>
            </w:r>
          </w:p>
        </w:tc>
      </w:tr>
      <w:tr>
        <w:tc>
          <w:tcPr>
            <w:tcW w:type="dxa" w:w="3057"/>
          </w:tcPr>
          <w:p>
            <w:pPr>
              <w:spacing w:after="20" w:before="20" w:line="240" w:lineRule="auto"/>
            </w:pPr>
            <w:r/>
            <w:r>
              <w:rPr>
                <w:sz w:val="18"/>
              </w:rPr>
              <w:t>All cells of a type are identical</w:t>
            </w:r>
          </w:p>
        </w:tc>
        <w:tc>
          <w:tcPr>
            <w:tcW w:type="dxa" w:w="3057"/>
          </w:tcPr>
          <w:p>
            <w:pPr>
              <w:spacing w:after="20" w:before="20" w:line="240" w:lineRule="auto"/>
            </w:pPr>
            <w:r/>
            <w:r>
              <w:rPr>
                <w:sz w:val="18"/>
              </w:rPr>
              <w:t>The generative model, Week 7</w:t>
            </w:r>
          </w:p>
        </w:tc>
        <w:tc>
          <w:tcPr>
            <w:tcW w:type="dxa" w:w="3822"/>
          </w:tcPr>
          <w:p>
            <w:pPr>
              <w:spacing w:after="20" w:before="20" w:line="240" w:lineRule="auto"/>
            </w:pPr>
            <w:r/>
            <w:r>
              <w:rPr>
                <w:sz w:val="18"/>
              </w:rPr>
              <w:t>Week 11 — biological variability is exactly the φ term</w:t>
            </w:r>
          </w:p>
        </w:tc>
      </w:tr>
      <w:tr>
        <w:tc>
          <w:tcPr>
            <w:tcW w:type="dxa" w:w="3057"/>
          </w:tcPr>
          <w:p>
            <w:pPr>
              <w:spacing w:after="20" w:before="20" w:line="240" w:lineRule="auto"/>
            </w:pPr>
            <w:r/>
            <w:r>
              <w:rPr>
                <w:sz w:val="18"/>
              </w:rPr>
              <w:t>The two types are equally likely</w:t>
            </w:r>
          </w:p>
        </w:tc>
        <w:tc>
          <w:tcPr>
            <w:tcW w:type="dxa" w:w="3057"/>
          </w:tcPr>
          <w:p>
            <w:pPr>
              <w:spacing w:after="20" w:before="20" w:line="240" w:lineRule="auto"/>
            </w:pPr>
            <w:r/>
            <w:r>
              <w:rPr>
                <w:sz w:val="18"/>
              </w:rPr>
              <w:t>The threshold at LLR = 0, Weeks 4–5</w:t>
            </w:r>
          </w:p>
        </w:tc>
        <w:tc>
          <w:tcPr>
            <w:tcW w:type="dxa" w:w="3822"/>
          </w:tcPr>
          <w:p>
            <w:pPr>
              <w:spacing w:after="20" w:before="20" w:line="240" w:lineRule="auto"/>
            </w:pPr>
            <w:r/>
            <w:r>
              <w:rPr>
                <w:sz w:val="18"/>
              </w:rPr>
              <w:t>Stated as a limitation; unequal priors move the threshold, not the law</w:t>
            </w:r>
          </w:p>
        </w:tc>
      </w:tr>
      <w:tr>
        <w:tc>
          <w:tcPr>
            <w:tcW w:type="dxa" w:w="3057"/>
          </w:tcPr>
          <w:p>
            <w:pPr>
              <w:spacing w:after="20" w:before="20" w:line="240" w:lineRule="auto"/>
            </w:pPr>
            <w:r/>
            <w:r>
              <w:rPr>
                <w:sz w:val="18"/>
              </w:rPr>
              <w:t>The Gaussian approximation to the LLR is adequate</w:t>
            </w:r>
          </w:p>
        </w:tc>
        <w:tc>
          <w:tcPr>
            <w:tcW w:type="dxa" w:w="3057"/>
          </w:tcPr>
          <w:p>
            <w:pPr>
              <w:spacing w:after="20" w:before="20" w:line="240" w:lineRule="auto"/>
            </w:pPr>
            <w:r/>
            <w:r>
              <w:rPr>
                <w:sz w:val="18"/>
              </w:rPr>
              <w:t>accuracy = Φ(d′/2), Week 4</w:t>
            </w:r>
          </w:p>
        </w:tc>
        <w:tc>
          <w:tcPr>
            <w:tcW w:type="dxa" w:w="3822"/>
          </w:tcPr>
          <w:p>
            <w:pPr>
              <w:spacing w:after="20" w:before="20" w:line="240" w:lineRule="auto"/>
            </w:pPr>
            <w:r/>
            <w:r>
              <w:rPr>
                <w:sz w:val="18"/>
              </w:rPr>
              <w:t>Week 9 — it fails at low depth, and the residual is measured against the exact Bayes error</w:t>
            </w:r>
          </w:p>
        </w:tc>
      </w:tr>
      <w:tr>
        <w:tc>
          <w:tcPr>
            <w:tcW w:type="dxa" w:w="3057"/>
          </w:tcPr>
          <w:p>
            <w:pPr>
              <w:spacing w:after="20" w:before="20" w:line="240" w:lineRule="auto"/>
            </w:pPr>
            <w:r/>
            <w:r>
              <w:rPr>
                <w:sz w:val="18"/>
              </w:rPr>
              <w:t>Molecules are captured independently, each with the same probability</w:t>
            </w:r>
          </w:p>
        </w:tc>
        <w:tc>
          <w:tcPr>
            <w:tcW w:type="dxa" w:w="3057"/>
          </w:tcPr>
          <w:p>
            <w:pPr>
              <w:spacing w:after="20" w:before="20" w:line="240" w:lineRule="auto"/>
            </w:pPr>
            <w:r/>
            <w:r>
              <w:rPr>
                <w:sz w:val="18"/>
              </w:rPr>
              <w:t>The thinning theorem, Week 2; dropout, Week 9</w:t>
            </w:r>
          </w:p>
        </w:tc>
        <w:tc>
          <w:tcPr>
            <w:tcW w:type="dxa" w:w="3822"/>
          </w:tcPr>
          <w:p>
            <w:pPr>
              <w:spacing w:after="20" w:before="20" w:line="240" w:lineRule="auto"/>
            </w:pPr>
            <w:r/>
            <w:r>
              <w:rPr>
                <w:sz w:val="18"/>
              </w:rPr>
              <w:t>Week 9 discussion — real dropout depends on expression level and sequence</w:t>
            </w:r>
          </w:p>
        </w:tc>
      </w:tr>
    </w:tbl>
    <w:p>
      <w:pPr>
        <w:spacing w:after="0" w:before="0"/>
      </w:pPr>
    </w:p>
    <w:p>
      <w:pPr>
        <w:pStyle w:val="Heading2"/>
      </w:pPr>
      <w:r>
        <w:t>4.2  The simulator</w:t>
      </w:r>
    </w:p>
    <w:p>
      <w:pPr>
        <w:spacing w:after="80"/>
      </w:pPr>
      <w:r>
        <w:rPr>
          <w:i w:val="0"/>
        </w:rPr>
        <w:t>The simulator is written from the generative model, never from the closed-form answer, and that separation is the point of writing it: agreement between two artefacts built from the same belief in the same sitting is not evidence about the world. It samples cells and counts mistakes, and is not allowed to import the prediction it is compared against. marker_profiles builds two rate vectors from a fold change and a fixed pooled marker mass (a = 2·base·f/(1+f), b = 2·base/(1+f)); simulate_cells draws the count matrix; simulate_dataset assembles the labelled two-type (or five-type) dataset; apply_dropout thins it. Classifiers — naive Bayes, logistic regression by explicit gradient descent, kNN — are written by hand, so the gap between a fitted classifier and the Bayes-optimal rule is a measured quantity rather than a library's behaviour.</w:t>
      </w:r>
    </w:p>
    <w:p>
      <w:pPr>
        <w:pStyle w:val="Heading2"/>
      </w:pPr>
      <w:r>
        <w:t>4.3  The real-data protocol</w:t>
      </w:r>
    </w:p>
    <w:p>
      <w:pPr>
        <w:spacing w:after="80"/>
      </w:pPr>
      <w:r>
        <w:rPr>
          <w:i w:val="0"/>
        </w:rPr>
        <w:t>The dataset is 10x Genomics PBMC 3k, the standard teaching dataset of the field, chosen precisely because a result on it can be checked by anyone. Two rules govern its use, and both are enforced in code rather than by good intentions.</w:t>
      </w:r>
    </w:p>
    <w:p>
      <w:pPr>
        <w:pStyle w:val="ListBullet"/>
        <w:spacing w:after="40"/>
      </w:pPr>
      <w:r>
        <w:rPr>
          <w:b/>
        </w:rPr>
        <w:t xml:space="preserve">Cache raw counts, never normalize. </w:t>
      </w:r>
      <w:r>
        <w:t>fetch_pbmc3k.py runs the standard scanpy pipeline (normalize_total, log1p, highly-variable genes, scaling, PCA, neighbours, Leiden) only to obtain cluster labels, and caches the raw integer count matrix from the original object into data/pbmc3k_cache.npz. Normalization divides each cell by its own library size, which destroys the Poisson structure this project is about, and it turns integers into reals, which makes binomial downsampling — the operation the Week 11 headline figure is built on — undefined. Every number analysed in this project is an integer count.</w:t>
      </w:r>
    </w:p>
    <w:p>
      <w:pPr>
        <w:pStyle w:val="ListBullet"/>
        <w:spacing w:after="40"/>
      </w:pPr>
      <w:r>
        <w:rPr>
          <w:b/>
        </w:rPr>
        <w:t xml:space="preserve">The labels are cluster annotations, not ground truth. </w:t>
      </w:r>
      <w:r>
        <w:t>Nobody looked at these cells and identified them. The labels come from a Leiden clustering at resolution 0.5 of the same counts that are then classified, followed by marker-based naming; fetch_pbmc3k.py discards clusters whose two marker scores are within 0.25 of each other rather than guessing, so the analysed cells are the confidently labelled ones and the dataset is easier than the full one by construction. Every real-data conclusion is conditional on that annotation, stated as a clause and not a footnote. In simulation the label is chosen and in the bead arm it is on a pre-randomized sheet; only here is the label itself an inference.</w:t>
      </w:r>
    </w:p>
    <w:p>
      <w:pPr>
        <w:pStyle w:val="ListBullet"/>
        <w:spacing w:after="40"/>
      </w:pPr>
      <w:r>
        <w:rPr>
          <w:b/>
        </w:rPr>
        <w:t xml:space="preserve">The honest protocol, with the leak measured. </w:t>
      </w:r>
      <w:r>
        <w:t>Marker selection, rate estimation, classifier fitting and threshold choice all happen on the training split alone; the leaky variant is run deliberately alongside it so that selection leakage is reported as a measured inflation on this dataset at each panel size, with a seed, rather than as a warning.</w:t>
      </w:r>
    </w:p>
    <w:p>
      <w:pPr>
        <w:pStyle w:val="Heading2"/>
      </w:pPr>
      <w:r>
        <w:t>4.4  The bead protocol: blinding and randomization</w:t>
      </w:r>
    </w:p>
    <w:p>
      <w:pPr>
        <w:spacing w:after="80"/>
      </w:pPr>
      <w:r>
        <w:rPr>
          <w:i w:val="0"/>
        </w:rPr>
        <w:t>The physical arm's only claim to value is that its result cannot be explained by the experimenter, and everything in the protocol exists to protect that fragile property. The requirements are not optional and are not negotiable in the moment:</w:t>
      </w:r>
    </w:p>
    <w:p>
      <w:pPr>
        <w:pStyle w:val="ListBullet"/>
        <w:spacing w:after="40"/>
      </w:pPr>
      <w:r>
        <w:rPr>
          <w:b/>
        </w:rPr>
        <w:t xml:space="preserve">Randomize before, never during. </w:t>
      </w:r>
      <w:r>
        <w:t>The jar for every trial is fixed in advance by a seeded generator in the printed tally template (written by week06_bead_design.py at SEED 106). No human picks a jar "randomly" during a session. The blank sheet is photographed with the true_jar column visible before the session starts, which timestamps the randomization and makes retro-fitting the true labels impossible.</w:t>
      </w:r>
    </w:p>
    <w:p>
      <w:pPr>
        <w:pStyle w:val="ListBullet"/>
        <w:spacing w:after="40"/>
      </w:pPr>
      <w:r>
        <w:rPr>
          <w:b/>
        </w:rPr>
        <w:t xml:space="preserve">Blind the guesser, not the rule. </w:t>
      </w:r>
      <w:r>
        <w:t>The guesser sees the beads and nothing else: not the jar, not the helper's hand, not the sheet, and no feedback until the block is closed. Blinding is about the true label only — the guesser must know the decision rule and applies the cut card mechanically, because withholding the rule measures the guesser's intuition instead of the sampling law. Jars are identical, opaque, equal in total bead count, and labelled underneath.</w:t>
      </w:r>
    </w:p>
    <w:p>
      <w:pPr>
        <w:pStyle w:val="ListBullet"/>
        <w:spacing w:after="40"/>
      </w:pPr>
      <w:r>
        <w:rPr>
          <w:b/>
        </w:rPr>
        <w:t xml:space="preserve">With replacement, in scoops. </w:t>
      </w:r>
      <w:r>
        <w:t>Draws are with replacement, in scoops of 20–25 beads returned and shaken between scoops; the finite-population correction for a scoop at or below 25 from a 1000-bead jar shifts predicted accuracy by well under one accuracy point, an order of magnitude below the ±0.15 error bars, and is documented rather than hidden. Drawing without replacement would inflate the measured exponent above 0.5 — a systematic bias that would look like an exciting result.</w:t>
      </w:r>
    </w:p>
    <w:p>
      <w:pPr>
        <w:pStyle w:val="ListBullet"/>
        <w:spacing w:after="40"/>
      </w:pPr>
      <w:r>
        <w:rPr>
          <w:b/>
        </w:rPr>
        <w:t xml:space="preserve">The discard rule must be blind to colour. </w:t>
      </w:r>
      <w:r>
        <w:t>The dropout arm discards each drawn bead with probability q = 0.30 using a mechanism that is blind to colour: a d10 rolled once per bead before the bead is looked at, or a pre-generated mask consumed strictly in order. A hand that sweeps away white beads slightly more often than red ones does not add noise; it biases the survivors' red fraction, and the arm becomes uninterpretable. A d6 cannot produce 0.30 — if a d6 is used, q = 1/3 is recorded in the data and in the analysis constant, honestly.</w:t>
      </w:r>
    </w:p>
    <w:p>
      <w:pPr>
        <w:pStyle w:val="ListBullet"/>
        <w:spacing w:after="40"/>
      </w:pPr>
      <w:r>
        <w:rPr>
          <w:b/>
        </w:rPr>
        <w:t xml:space="preserve">Smoke-test the blinding. </w:t>
      </w:r>
      <w:r>
        <w:t>A 20-trial control at n = 0 before the first real block: the whole motion, an empty tray, and a guess. There is no information in an empty tray, so a guesser scoring far from 50% has a blinding leak. With 20 trials this catches a blatant leak and nothing subtle, and the plan says so rather than claiming more.</w:t>
      </w:r>
    </w:p>
    <w:p>
      <w:pPr>
        <w:pStyle w:val="ListBullet"/>
        <w:spacing w:after="40"/>
      </w:pPr>
      <w:r>
        <w:rPr>
          <w:b/>
        </w:rPr>
        <w:t xml:space="preserve">Never delete a trial. </w:t>
      </w:r>
      <w:r>
        <w:t>Compromised trials are recorded, annotated in the margin and in the progress log, and the analysis is reported both with and without them. Transcription errors are resolved against the photographed paper sheet, and the correction is named in the log.</w:t>
      </w:r>
    </w:p>
    <w:p>
      <w:pPr>
        <w:pStyle w:val="Heading2"/>
      </w:pPr>
      <w:r>
        <w:t>4.5  Reproducibility conventions</w:t>
      </w:r>
    </w:p>
    <w:p>
      <w:pPr>
        <w:pStyle w:val="ListBullet"/>
        <w:spacing w:after="40"/>
      </w:pPr>
      <w:r>
        <w:rPr>
          <w:b/>
        </w:rPr>
        <w:t xml:space="preserve">Seeds. </w:t>
      </w:r>
      <w:r>
        <w:t>Every experiment script defines a SEED constant at the top, and the seed is part of the result: it goes in the progress log, in the figure caption, and — drawn automatically by _common.stamp_seed — in the corner of every panel. An irreproducible figure is not a result.</w:t>
      </w:r>
    </w:p>
    <w:p>
      <w:pPr>
        <w:pStyle w:val="ListBullet"/>
        <w:spacing w:after="40"/>
      </w:pPr>
      <w:r>
        <w:rPr>
          <w:b/>
        </w:rPr>
        <w:t xml:space="preserve">main(fast=False). </w:t>
      </w:r>
      <w:r>
        <w:t>Every experiment exposes main(fast=False), runs headless, saves into figures/ at dpi 150 and returns the paths it wrote — the contract that lets make_all_figures.py and week14_report_figures.py regenerate everything in one command. fast=True is a tiny-parameter smoke mode, never a figure anyone will see; if it is used under time pressure, the log says so.</w:t>
      </w:r>
    </w:p>
    <w:p>
      <w:pPr>
        <w:pStyle w:val="ListBullet"/>
        <w:spacing w:after="40"/>
      </w:pPr>
      <w:r>
        <w:rPr>
          <w:b/>
        </w:rPr>
        <w:t xml:space="preserve">Committed figures. </w:t>
      </w:r>
      <w:r>
        <w:t>Figures are deliverables, not build artefacts. They are committed alongside the code that made them, in the same commit, with the seed in the message.</w:t>
      </w:r>
    </w:p>
    <w:p>
      <w:pPr>
        <w:pStyle w:val="ListBullet"/>
        <w:spacing w:after="40"/>
      </w:pPr>
      <w:r>
        <w:rPr>
          <w:b/>
        </w:rPr>
        <w:t xml:space="preserve">Stand-in data is stamped. </w:t>
      </w:r>
      <w:r>
        <w:t>Before the PBMC download exists, Weeks 10–11 run on a synthetic surrogate; before the bead runs exist, Week 12 simulates draws. In both cases the module sets USED_STAND_IN = True and the figure is stamped in large red type — SURROGATE DATA — not a result, or SIMULATED BEADS. A stamped figure means the claim it supports does not yet exist.</w:t>
      </w:r>
    </w:p>
    <w:p>
      <w:pPr>
        <w:pStyle w:val="ListBullet"/>
        <w:spacing w:after="40"/>
      </w:pPr>
      <w:r>
        <w:rPr>
          <w:b/>
        </w:rPr>
        <w:t xml:space="preserve">The Week 14 refusal rule. </w:t>
      </w:r>
      <w:r>
        <w:t>week14_report_figures.py reads that flag and refuses to copy a stamped figure into figures/report/: no warning, no stamped copy, an empty slot and an entry under "Figures refused" in CAPTIONS.md. The fix is to get the data, never to edit the rule. The freeze is verified by deleting figures/report/, regenerating, and comparing md5 hashes twice — byte-identical, or it is not a freeze.</w:t>
      </w:r>
    </w:p>
    <w:p>
      <w:pPr>
        <w:pStyle w:val="Heading1"/>
      </w:pPr>
      <w:r>
        <w:t>5. Milestones M1–M8</w:t>
      </w:r>
    </w:p>
    <w:p>
      <w:pPr>
        <w:spacing w:after="80"/>
      </w:pPr>
      <w:r>
        <w:rPr>
          <w:i w:val="0"/>
        </w:rPr>
        <w:t>A milestone is a verification event, not a presentation. Every criterion is pass or fail, and a partial pass means it is repeated — normal, and cheap, because the buffer weeks exist for it. Tag only when pytest python/tests/ is fully green and the relevant figures regenerate identically from a clean checkout.</w:t>
      </w:r>
    </w:p>
    <w:tbl>
      <w:tblPr>
        <w:tblStyle w:val="LightGrid-Accent1"/>
        <w:tblW w:type="auto" w:w="0"/>
        <w:tblLayout w:type="fixed"/>
        <w:tblLook w:firstColumn="1" w:firstRow="1" w:lastColumn="0" w:lastRow="0" w:noHBand="0" w:noVBand="1" w:val="04A0"/>
        <w:tblLayout w:type="fixed"/>
      </w:tblPr>
      <w:tblGrid>
        <w:gridCol w:w="611"/>
        <w:gridCol w:w="611"/>
        <w:gridCol w:w="1987"/>
        <w:gridCol w:w="5427"/>
        <w:gridCol w:w="1299"/>
      </w:tblGrid>
      <w:tr>
        <w:tc>
          <w:tcPr>
            <w:tcW w:type="dxa" w:w="611"/>
          </w:tcPr>
          <w:p>
            <w:pPr>
              <w:spacing w:after="20" w:before="20" w:line="240" w:lineRule="auto"/>
            </w:pPr>
            <w:r/>
            <w:r>
              <w:rPr>
                <w:b/>
                <w:sz w:val="18"/>
              </w:rPr>
              <w:t>ID</w:t>
            </w:r>
          </w:p>
        </w:tc>
        <w:tc>
          <w:tcPr>
            <w:tcW w:type="dxa" w:w="611"/>
          </w:tcPr>
          <w:p>
            <w:pPr>
              <w:spacing w:after="20" w:before="20" w:line="240" w:lineRule="auto"/>
            </w:pPr>
            <w:r/>
            <w:r>
              <w:rPr>
                <w:b/>
                <w:sz w:val="18"/>
              </w:rPr>
              <w:t>Wk</w:t>
            </w:r>
          </w:p>
        </w:tc>
        <w:tc>
          <w:tcPr>
            <w:tcW w:type="dxa" w:w="1987"/>
          </w:tcPr>
          <w:p>
            <w:pPr>
              <w:spacing w:after="20" w:before="20" w:line="240" w:lineRule="auto"/>
            </w:pPr>
            <w:r/>
            <w:r>
              <w:rPr>
                <w:b/>
                <w:sz w:val="18"/>
              </w:rPr>
              <w:t>Deliverable</w:t>
            </w:r>
          </w:p>
        </w:tc>
        <w:tc>
          <w:tcPr>
            <w:tcW w:type="dxa" w:w="5427"/>
          </w:tcPr>
          <w:p>
            <w:pPr>
              <w:spacing w:after="20" w:before="20" w:line="240" w:lineRule="auto"/>
            </w:pPr>
            <w:r/>
            <w:r>
              <w:rPr>
                <w:b/>
                <w:sz w:val="18"/>
              </w:rPr>
              <w:t>Pass criteria (all must hold)</w:t>
            </w:r>
          </w:p>
        </w:tc>
        <w:tc>
          <w:tcPr>
            <w:tcW w:type="dxa" w:w="1299"/>
          </w:tcPr>
          <w:p>
            <w:pPr>
              <w:spacing w:after="20" w:before="20" w:line="240" w:lineRule="auto"/>
            </w:pPr>
            <w:r/>
            <w:r>
              <w:rPr>
                <w:b/>
                <w:sz w:val="18"/>
              </w:rPr>
              <w:t>Tag</w:t>
            </w:r>
          </w:p>
        </w:tc>
      </w:tr>
      <w:tr>
        <w:tc>
          <w:tcPr>
            <w:tcW w:type="dxa" w:w="611"/>
          </w:tcPr>
          <w:p>
            <w:pPr>
              <w:spacing w:after="20" w:before="20" w:line="240" w:lineRule="auto"/>
            </w:pPr>
            <w:r/>
            <w:r>
              <w:rPr>
                <w:sz w:val="18"/>
              </w:rPr>
              <w:t>M1</w:t>
            </w:r>
          </w:p>
        </w:tc>
        <w:tc>
          <w:tcPr>
            <w:tcW w:type="dxa" w:w="611"/>
          </w:tcPr>
          <w:p>
            <w:pPr>
              <w:spacing w:after="20" w:before="20" w:line="240" w:lineRule="auto"/>
            </w:pPr>
            <w:r/>
            <w:r>
              <w:rPr>
                <w:sz w:val="18"/>
              </w:rPr>
              <w:t>3</w:t>
            </w:r>
          </w:p>
        </w:tc>
        <w:tc>
          <w:tcPr>
            <w:tcW w:type="dxa" w:w="1987"/>
          </w:tcPr>
          <w:p>
            <w:pPr>
              <w:spacing w:after="20" w:before="20" w:line="240" w:lineRule="auto"/>
            </w:pPr>
            <w:r/>
            <w:r>
              <w:rPr>
                <w:sz w:val="18"/>
              </w:rPr>
              <w:t>The d′ ∝ √depth derivation</w:t>
            </w:r>
          </w:p>
        </w:tc>
        <w:tc>
          <w:tcPr>
            <w:tcW w:type="dxa" w:w="5427"/>
          </w:tcPr>
          <w:p>
            <w:pPr>
              <w:spacing w:after="20" w:before="20" w:line="240" w:lineRule="auto"/>
            </w:pPr>
            <w:r/>
            <w:r>
              <w:rPr>
                <w:sz w:val="18"/>
              </w:rPr>
              <w:t>Derived at the whiteboard, no notes, in about three minutes; the three assumptions named unprompted; the 4× rule stated with numbers; week03_dprime_depth.png committed with its fitted slope, SEED 103</w:t>
            </w:r>
          </w:p>
        </w:tc>
        <w:tc>
          <w:tcPr>
            <w:tcW w:type="dxa" w:w="1299"/>
          </w:tcPr>
          <w:p>
            <w:pPr>
              <w:spacing w:after="20" w:before="20" w:line="240" w:lineRule="auto"/>
            </w:pPr>
            <w:r/>
            <w:r>
              <w:rPr>
                <w:sz w:val="18"/>
              </w:rPr>
              <w:t>—</w:t>
            </w:r>
          </w:p>
        </w:tc>
      </w:tr>
      <w:tr>
        <w:tc>
          <w:tcPr>
            <w:tcW w:type="dxa" w:w="611"/>
          </w:tcPr>
          <w:p>
            <w:pPr>
              <w:spacing w:after="20" w:before="20" w:line="240" w:lineRule="auto"/>
            </w:pPr>
            <w:r/>
            <w:r>
              <w:rPr>
                <w:sz w:val="18"/>
              </w:rPr>
              <w:t>M2</w:t>
            </w:r>
          </w:p>
        </w:tc>
        <w:tc>
          <w:tcPr>
            <w:tcW w:type="dxa" w:w="611"/>
          </w:tcPr>
          <w:p>
            <w:pPr>
              <w:spacing w:after="20" w:before="20" w:line="240" w:lineRule="auto"/>
            </w:pPr>
            <w:r/>
            <w:r>
              <w:rPr>
                <w:sz w:val="18"/>
              </w:rPr>
              <w:t>5</w:t>
            </w:r>
          </w:p>
        </w:tc>
        <w:tc>
          <w:tcPr>
            <w:tcW w:type="dxa" w:w="1987"/>
          </w:tcPr>
          <w:p>
            <w:pPr>
              <w:spacing w:after="20" w:before="20" w:line="240" w:lineRule="auto"/>
            </w:pPr>
            <w:r/>
            <w:r>
              <w:rPr>
                <w:sz w:val="18"/>
              </w:rPr>
              <w:t>Aim 1 closed</w:t>
            </w:r>
          </w:p>
        </w:tc>
        <w:tc>
          <w:tcPr>
            <w:tcW w:type="dxa" w:w="5427"/>
          </w:tcPr>
          <w:p>
            <w:pPr>
              <w:spacing w:after="20" w:before="20" w:line="240" w:lineRule="auto"/>
            </w:pPr>
            <w:r/>
            <w:r>
              <w:rPr>
                <w:sz w:val="18"/>
              </w:rPr>
              <w:t>LLR derived at the board with the log(x!) terms cancelling; (d′_total)² = Σ(d′_g)² derived, naming the independence and Gaussian steps; week05_prediction.png on the diagonal with max |measured − predicted| quoted; test_detection.py green; the Aim 1 deliverable and all five assumptions from memory</w:t>
            </w:r>
          </w:p>
        </w:tc>
        <w:tc>
          <w:tcPr>
            <w:tcW w:type="dxa" w:w="1299"/>
          </w:tcPr>
          <w:p>
            <w:pPr>
              <w:spacing w:after="20" w:before="20" w:line="240" w:lineRule="auto"/>
            </w:pPr>
            <w:r/>
            <w:r>
              <w:rPr>
                <w:sz w:val="18"/>
              </w:rPr>
              <w:t>theory-complete</w:t>
            </w:r>
          </w:p>
        </w:tc>
      </w:tr>
      <w:tr>
        <w:tc>
          <w:tcPr>
            <w:tcW w:type="dxa" w:w="611"/>
          </w:tcPr>
          <w:p>
            <w:pPr>
              <w:spacing w:after="20" w:before="20" w:line="240" w:lineRule="auto"/>
            </w:pPr>
            <w:r/>
            <w:r>
              <w:rPr>
                <w:sz w:val="18"/>
              </w:rPr>
              <w:t>M3</w:t>
            </w:r>
          </w:p>
        </w:tc>
        <w:tc>
          <w:tcPr>
            <w:tcW w:type="dxa" w:w="611"/>
          </w:tcPr>
          <w:p>
            <w:pPr>
              <w:spacing w:after="20" w:before="20" w:line="240" w:lineRule="auto"/>
            </w:pPr>
            <w:r/>
            <w:r>
              <w:rPr>
                <w:sz w:val="18"/>
              </w:rPr>
              <w:t>9</w:t>
            </w:r>
          </w:p>
        </w:tc>
        <w:tc>
          <w:tcPr>
            <w:tcW w:type="dxa" w:w="1987"/>
          </w:tcPr>
          <w:p>
            <w:pPr>
              <w:spacing w:after="20" w:before="20" w:line="240" w:lineRule="auto"/>
            </w:pPr>
            <w:r/>
            <w:r>
              <w:rPr>
                <w:sz w:val="18"/>
              </w:rPr>
              <w:t>Simulator validated against theory</w:t>
            </w:r>
          </w:p>
        </w:tc>
        <w:tc>
          <w:tcPr>
            <w:tcW w:type="dxa" w:w="5427"/>
          </w:tcPr>
          <w:p>
            <w:pPr>
              <w:spacing w:after="20" w:before="20" w:line="240" w:lineRule="auto"/>
            </w:pPr>
            <w:r/>
            <w:r>
              <w:rPr>
                <w:sz w:val="18"/>
              </w:rPr>
              <w:t>Every row of progress/week09_table.md satisfies |measured − theory at D_eff| ≤ 0.02 at SEED 109; dropout = reduced depth derived at the board; the low-depth residual attributed to the Gaussian mapping, not the √depth law; whole suite green</w:t>
            </w:r>
          </w:p>
        </w:tc>
        <w:tc>
          <w:tcPr>
            <w:tcW w:type="dxa" w:w="1299"/>
          </w:tcPr>
          <w:p>
            <w:pPr>
              <w:spacing w:after="20" w:before="20" w:line="240" w:lineRule="auto"/>
            </w:pPr>
            <w:r/>
            <w:r>
              <w:rPr>
                <w:sz w:val="18"/>
              </w:rPr>
              <w:t>simulator-validated</w:t>
            </w:r>
          </w:p>
        </w:tc>
      </w:tr>
      <w:tr>
        <w:tc>
          <w:tcPr>
            <w:tcW w:type="dxa" w:w="611"/>
          </w:tcPr>
          <w:p>
            <w:pPr>
              <w:spacing w:after="20" w:before="20" w:line="240" w:lineRule="auto"/>
            </w:pPr>
            <w:r/>
            <w:r>
              <w:rPr>
                <w:sz w:val="18"/>
              </w:rPr>
              <w:t>M4</w:t>
            </w:r>
          </w:p>
        </w:tc>
        <w:tc>
          <w:tcPr>
            <w:tcW w:type="dxa" w:w="611"/>
          </w:tcPr>
          <w:p>
            <w:pPr>
              <w:spacing w:after="20" w:before="20" w:line="240" w:lineRule="auto"/>
            </w:pPr>
            <w:r/>
            <w:r>
              <w:rPr>
                <w:sz w:val="18"/>
              </w:rPr>
              <w:t>11</w:t>
            </w:r>
          </w:p>
        </w:tc>
        <w:tc>
          <w:tcPr>
            <w:tcW w:type="dxa" w:w="1987"/>
          </w:tcPr>
          <w:p>
            <w:pPr>
              <w:spacing w:after="20" w:before="20" w:line="240" w:lineRule="auto"/>
            </w:pPr>
            <w:r/>
            <w:r>
              <w:rPr>
                <w:sz w:val="18"/>
              </w:rPr>
              <w:t>Real PBMC downsampling curve, end to end</w:t>
            </w:r>
          </w:p>
        </w:tc>
        <w:tc>
          <w:tcPr>
            <w:tcW w:type="dxa" w:w="5427"/>
          </w:tcPr>
          <w:p>
            <w:pPr>
              <w:spacing w:after="20" w:before="20" w:line="240" w:lineRule="auto"/>
            </w:pPr>
            <w:r/>
            <w:r>
              <w:rPr>
                <w:sz w:val="18"/>
              </w:rPr>
              <w:t>NB variance and the d′ ceiling derived at the board; median Fano and median φ quoted with an interval at SEED 111; week11_downsample.png committed and NOT stamped SURROGATE (the gate); both RMSEs quoted and the winning curve defended; whole suite green</w:t>
            </w:r>
          </w:p>
        </w:tc>
        <w:tc>
          <w:tcPr>
            <w:tcW w:type="dxa" w:w="1299"/>
          </w:tcPr>
          <w:p>
            <w:pPr>
              <w:spacing w:after="20" w:before="20" w:line="240" w:lineRule="auto"/>
            </w:pPr>
            <w:r/>
            <w:r>
              <w:rPr>
                <w:sz w:val="18"/>
              </w:rPr>
              <w:t>—</w:t>
            </w:r>
          </w:p>
        </w:tc>
      </w:tr>
      <w:tr>
        <w:tc>
          <w:tcPr>
            <w:tcW w:type="dxa" w:w="611"/>
          </w:tcPr>
          <w:p>
            <w:pPr>
              <w:spacing w:after="20" w:before="20" w:line="240" w:lineRule="auto"/>
            </w:pPr>
            <w:r/>
            <w:r>
              <w:rPr>
                <w:sz w:val="18"/>
              </w:rPr>
              <w:t>M5</w:t>
            </w:r>
          </w:p>
        </w:tc>
        <w:tc>
          <w:tcPr>
            <w:tcW w:type="dxa" w:w="611"/>
          </w:tcPr>
          <w:p>
            <w:pPr>
              <w:spacing w:after="20" w:before="20" w:line="240" w:lineRule="auto"/>
            </w:pPr>
            <w:r/>
            <w:r>
              <w:rPr>
                <w:sz w:val="18"/>
              </w:rPr>
              <w:t>12</w:t>
            </w:r>
          </w:p>
        </w:tc>
        <w:tc>
          <w:tcPr>
            <w:tcW w:type="dxa" w:w="1987"/>
          </w:tcPr>
          <w:p>
            <w:pPr>
              <w:spacing w:after="20" w:before="20" w:line="240" w:lineRule="auto"/>
            </w:pPr>
            <w:r/>
            <w:r>
              <w:rPr>
                <w:sz w:val="18"/>
              </w:rPr>
              <w:t>All three lines of evidence on one axis</w:t>
            </w:r>
          </w:p>
        </w:tc>
        <w:tc>
          <w:tcPr>
            <w:tcW w:type="dxa" w:w="5427"/>
          </w:tcPr>
          <w:p>
            <w:pPr>
              <w:spacing w:after="20" w:before="20" w:line="240" w:lineRule="auto"/>
            </w:pPr>
            <w:r/>
            <w:r>
              <w:rPr>
                <w:sz w:val="18"/>
              </w:rPr>
              <w:t>Tally validates clean in front of the mentor; trial counts and dropped points stated as numbers; the accuracy-to-d′ conversion justified with the 0.104-versus-0.132 demonstration; week12_three_ways.png committed and NOT stamped SIMULATED BEADS (the gate); every exponent reported with an interval</w:t>
            </w:r>
          </w:p>
        </w:tc>
        <w:tc>
          <w:tcPr>
            <w:tcW w:type="dxa" w:w="1299"/>
          </w:tcPr>
          <w:p>
            <w:pPr>
              <w:spacing w:after="20" w:before="20" w:line="240" w:lineRule="auto"/>
            </w:pPr>
            <w:r/>
            <w:r>
              <w:rPr>
                <w:sz w:val="18"/>
              </w:rPr>
              <w:t>evidence-complete</w:t>
            </w:r>
          </w:p>
        </w:tc>
      </w:tr>
      <w:tr>
        <w:tc>
          <w:tcPr>
            <w:tcW w:type="dxa" w:w="611"/>
          </w:tcPr>
          <w:p>
            <w:pPr>
              <w:spacing w:after="20" w:before="20" w:line="240" w:lineRule="auto"/>
            </w:pPr>
            <w:r/>
            <w:r>
              <w:rPr>
                <w:sz w:val="18"/>
              </w:rPr>
              <w:t>M6</w:t>
            </w:r>
          </w:p>
        </w:tc>
        <w:tc>
          <w:tcPr>
            <w:tcW w:type="dxa" w:w="611"/>
          </w:tcPr>
          <w:p>
            <w:pPr>
              <w:spacing w:after="20" w:before="20" w:line="240" w:lineRule="auto"/>
            </w:pPr>
            <w:r/>
            <w:r>
              <w:rPr>
                <w:sz w:val="18"/>
              </w:rPr>
              <w:t>13</w:t>
            </w:r>
          </w:p>
        </w:tc>
        <w:tc>
          <w:tcPr>
            <w:tcW w:type="dxa" w:w="1987"/>
          </w:tcPr>
          <w:p>
            <w:pPr>
              <w:spacing w:after="20" w:before="20" w:line="240" w:lineRule="auto"/>
            </w:pPr>
            <w:r/>
            <w:r>
              <w:rPr>
                <w:sz w:val="18"/>
              </w:rPr>
              <w:t>Error bars and the claim ledger</w:t>
            </w:r>
          </w:p>
        </w:tc>
        <w:tc>
          <w:tcPr>
            <w:tcW w:type="dxa" w:w="5427"/>
          </w:tcPr>
          <w:p>
            <w:pPr>
              <w:spacing w:after="20" w:before="20" w:line="240" w:lineRule="auto"/>
            </w:pPr>
            <w:r/>
            <w:r>
              <w:rPr>
                <w:sz w:val="18"/>
              </w:rPr>
              <w:t>Every Weeks 1–12 figure showing a proportion carries intervals and its n is nameable; the Wilson interval derived at the board; the coverage lab quoted; week13_claims.md defended on three rows the mentor picks at random</w:t>
            </w:r>
          </w:p>
        </w:tc>
        <w:tc>
          <w:tcPr>
            <w:tcW w:type="dxa" w:w="1299"/>
          </w:tcPr>
          <w:p>
            <w:pPr>
              <w:spacing w:after="20" w:before="20" w:line="240" w:lineRule="auto"/>
            </w:pPr>
            <w:r/>
            <w:r>
              <w:rPr>
                <w:sz w:val="18"/>
              </w:rPr>
              <w:t>—</w:t>
            </w:r>
          </w:p>
        </w:tc>
      </w:tr>
      <w:tr>
        <w:tc>
          <w:tcPr>
            <w:tcW w:type="dxa" w:w="611"/>
          </w:tcPr>
          <w:p>
            <w:pPr>
              <w:spacing w:after="20" w:before="20" w:line="240" w:lineRule="auto"/>
            </w:pPr>
            <w:r/>
            <w:r>
              <w:rPr>
                <w:sz w:val="18"/>
              </w:rPr>
              <w:t>M7</w:t>
            </w:r>
          </w:p>
        </w:tc>
        <w:tc>
          <w:tcPr>
            <w:tcW w:type="dxa" w:w="611"/>
          </w:tcPr>
          <w:p>
            <w:pPr>
              <w:spacing w:after="20" w:before="20" w:line="240" w:lineRule="auto"/>
            </w:pPr>
            <w:r/>
            <w:r>
              <w:rPr>
                <w:sz w:val="18"/>
              </w:rPr>
              <w:t>14</w:t>
            </w:r>
          </w:p>
        </w:tc>
        <w:tc>
          <w:tcPr>
            <w:tcW w:type="dxa" w:w="1987"/>
          </w:tcPr>
          <w:p>
            <w:pPr>
              <w:spacing w:after="20" w:before="20" w:line="240" w:lineRule="auto"/>
            </w:pPr>
            <w:r/>
            <w:r>
              <w:rPr>
                <w:sz w:val="18"/>
              </w:rPr>
              <w:t>The 6–8 page report, frozen</w:t>
            </w:r>
          </w:p>
        </w:tc>
        <w:tc>
          <w:tcPr>
            <w:tcW w:type="dxa" w:w="5427"/>
          </w:tcPr>
          <w:p>
            <w:pPr>
              <w:spacing w:after="20" w:before="20" w:line="240" w:lineRule="auto"/>
            </w:pPr>
            <w:r/>
            <w:r>
              <w:rPr>
                <w:sz w:val="18"/>
              </w:rPr>
              <w:t>Draft complete end to end, no TODO, no unfilled placeholder; the freeze test passes live (delete figures/report/, regenerate, hashes match progress/week14.md); refusals explained; every claim matches its ledger status; inside 6–8 pages</w:t>
            </w:r>
          </w:p>
        </w:tc>
        <w:tc>
          <w:tcPr>
            <w:tcW w:type="dxa" w:w="1299"/>
          </w:tcPr>
          <w:p>
            <w:pPr>
              <w:spacing w:after="20" w:before="20" w:line="240" w:lineRule="auto"/>
            </w:pPr>
            <w:r/>
            <w:r>
              <w:rPr>
                <w:sz w:val="18"/>
              </w:rPr>
              <w:t>report-draft</w:t>
            </w:r>
          </w:p>
        </w:tc>
      </w:tr>
      <w:tr>
        <w:tc>
          <w:tcPr>
            <w:tcW w:type="dxa" w:w="611"/>
          </w:tcPr>
          <w:p>
            <w:pPr>
              <w:spacing w:after="20" w:before="20" w:line="240" w:lineRule="auto"/>
            </w:pPr>
            <w:r/>
            <w:r>
              <w:rPr>
                <w:sz w:val="18"/>
              </w:rPr>
              <w:t>M8</w:t>
            </w:r>
          </w:p>
        </w:tc>
        <w:tc>
          <w:tcPr>
            <w:tcW w:type="dxa" w:w="611"/>
          </w:tcPr>
          <w:p>
            <w:pPr>
              <w:spacing w:after="20" w:before="20" w:line="240" w:lineRule="auto"/>
            </w:pPr>
            <w:r/>
            <w:r>
              <w:rPr>
                <w:sz w:val="18"/>
              </w:rPr>
              <w:t>15</w:t>
            </w:r>
          </w:p>
        </w:tc>
        <w:tc>
          <w:tcPr>
            <w:tcW w:type="dxa" w:w="1987"/>
          </w:tcPr>
          <w:p>
            <w:pPr>
              <w:spacing w:after="20" w:before="20" w:line="240" w:lineRule="auto"/>
            </w:pPr>
            <w:r/>
            <w:r>
              <w:rPr>
                <w:sz w:val="18"/>
              </w:rPr>
              <w:t>Poster, talk, submission</w:t>
            </w:r>
          </w:p>
        </w:tc>
        <w:tc>
          <w:tcPr>
            <w:tcW w:type="dxa" w:w="5427"/>
          </w:tcPr>
          <w:p>
            <w:pPr>
              <w:spacing w:after="20" w:before="20" w:line="240" w:lineRule="auto"/>
            </w:pPr>
            <w:r/>
            <w:r>
              <w:rPr>
                <w:sz w:val="18"/>
              </w:rPr>
              <w:t>The talk given once in full, standing, to the clock, with at least half an hour of adversarial Q&amp;A; the poster printed at final size, legible from a metre, nothing below 18 pt, under 300 words; the submission actually submitted; HANDOVER.md and the final README committed</w:t>
            </w:r>
          </w:p>
        </w:tc>
        <w:tc>
          <w:tcPr>
            <w:tcW w:type="dxa" w:w="1299"/>
          </w:tcPr>
          <w:p>
            <w:pPr>
              <w:spacing w:after="20" w:before="20" w:line="240" w:lineRule="auto"/>
            </w:pPr>
            <w:r/>
            <w:r>
              <w:rPr>
                <w:sz w:val="18"/>
              </w:rPr>
              <w:t>v1.0</w:t>
            </w:r>
          </w:p>
        </w:tc>
      </w:tr>
    </w:tbl>
    <w:p>
      <w:pPr>
        <w:spacing w:after="0" w:before="0"/>
      </w:pPr>
    </w:p>
    <w:p>
      <w:pPr>
        <w:pStyle w:val="Heading1"/>
      </w:pPr>
      <w:r>
        <w:t>6. Decision rules</w:t>
      </w:r>
    </w:p>
    <w:p>
      <w:pPr>
        <w:spacing w:after="80"/>
      </w:pPr>
      <w:r>
        <w:rPr>
          <w:i w:val="0"/>
        </w:rPr>
        <w:t>Each rule below is written before the relevant numbers exist, which is the only time a decision rule can honestly be written. A milestone one can talk one's way past is not a milestone.</w:t>
      </w:r>
    </w:p>
    <w:p>
      <w:pPr>
        <w:pStyle w:val="Heading2"/>
      </w:pPr>
      <w:r>
        <w:t>6.1  The Week 9 M3 gate (push or diagnose)</w:t>
      </w:r>
    </w:p>
    <w:p>
      <w:pPr>
        <w:spacing w:after="80"/>
      </w:pPr>
      <w:r>
        <w:rPr>
          <w:i w:val="0"/>
        </w:rPr>
        <w:t>Run python experiments/week09_dropout.py at SEED 109 with 6,000 cells per type, k = 8 genes at fold change 1.5, and open progress/week09_table.md, which has one row per (dropout, depth) pair with the measured accuracy, the theory value at the effective depth, and their difference.</w:t>
      </w:r>
    </w:p>
    <w:p>
      <w:pPr>
        <w:spacing w:before="60" w:after="120"/>
        <w:jc w:val="center"/>
      </w:pPr>
      <w:r>
        <w:rPr>
          <w:i/>
          <w:sz w:val="22"/>
        </w:rPr>
        <w:t>PASS if every row satisfies  |measured − theory at D_eff| ≤ 0.02</w:t>
      </w:r>
    </w:p>
    <w:p>
      <w:pPr>
        <w:spacing w:after="80"/>
      </w:pPr>
      <w:r>
        <w:rPr>
          <w:i w:val="0"/>
        </w:rPr>
        <w:t>The tolerance is justified by the sample size and not by taste: at 6,000 cells per type the sampling standard error of each accuracy is about √(0.25/12000) ≈ 0.005, so 0.02 is roughly four standard errors — tight enough to catch a real disagreement, loose enough not to fire on noise. A healthy run puts the worst row somewhere near 0.005–0.010.</w:t>
      </w:r>
    </w:p>
    <w:p>
      <w:pPr>
        <w:pStyle w:val="ListBullet"/>
        <w:spacing w:after="40"/>
      </w:pPr>
      <w:r>
        <w:rPr>
          <w:b/>
        </w:rPr>
        <w:t xml:space="preserve">On pass: </w:t>
      </w:r>
      <w:r>
        <w:t>commit the table and both figures, tag simulator-validated, push, and proceed to Week 10 and real data.</w:t>
      </w:r>
    </w:p>
    <w:p>
      <w:pPr>
        <w:pStyle w:val="ListBullet"/>
        <w:spacing w:after="40"/>
      </w:pPr>
      <w:r>
        <w:rPr>
          <w:b/>
        </w:rPr>
        <w:t xml:space="preserve">On fail: </w:t>
      </w:r>
      <w:r>
        <w:t>do not proceed to Week 10. Spend Week 10 finding out why. A simulator that disagrees with the theory it implements is either a broken simulator or a broken theory, and carrying either to real data means a later disagreement can never be attributed to anything. Check, in order: the label convention (1 − y); the effective rates handed to the classifier; the keep/loss inversion in apply_dropout; and whether the failing rows are all at the lowest depths, in which case the finding is the known low-depth breakdown of the Gaussian mapping and the fix is to compare against the exact Bayes accuracy rather than Φ(d′/2). Tag nothing. Write the reason in progress/week09.md in one paragraph, quoting the worst row. Then consult the mentor and enter the fallback ladder at F1. An untagged, honestly documented failure is a better research record than a tag that means "I decided it was close enough".</w:t>
      </w:r>
    </w:p>
    <w:p>
      <w:pPr>
        <w:pStyle w:val="Heading2"/>
      </w:pPr>
      <w:r>
        <w:t>6.2  The Week 10 real-data go/no-go</w:t>
      </w:r>
    </w:p>
    <w:p>
      <w:pPr>
        <w:spacing w:after="80"/>
      </w:pPr>
      <w:r>
        <w:rPr>
          <w:i w:val="0"/>
        </w:rPr>
        <w:t>The PBMC download is the project's only external dependency: it needs requirements-optional.txt (scanpy and anndata), about 35 MB of network, and a clustering run that must produce two confidently labelled types. Decision point: the end of Week 10.</w:t>
      </w:r>
    </w:p>
    <w:p>
      <w:pPr>
        <w:pStyle w:val="ListBullet"/>
        <w:spacing w:after="40"/>
      </w:pPr>
      <w:r>
        <w:rPr>
          <w:b/>
        </w:rPr>
        <w:t xml:space="preserve">Go: </w:t>
      </w:r>
      <w:r>
        <w:t>if data/pbmc3k_cache.npz exists, the four printed numbers (cells kept, cells per type, genes after filtering, median library size) are recorded and dated in the log, and neither Week 10 figure carries the SURROGATE stamp, Aim 2's real-data half proceeds to Week 11 as planned.</w:t>
      </w:r>
    </w:p>
    <w:p>
      <w:pPr>
        <w:pStyle w:val="ListBullet"/>
        <w:spacing w:after="40"/>
      </w:pPr>
      <w:r>
        <w:rPr>
          <w:b/>
        </w:rPr>
        <w:t xml:space="preserve">No-go: </w:t>
      </w:r>
      <w:r>
        <w:t>if the download or the labelling has failed — no network, an install that will not resolve, a clustering that yields no two clusters separated by more than 0.25 in marker score — the failure is diagnosed once, with the mentor, inside a 90-minute time-box, and then one of two branches is taken. Branch A (preferred, this is F2 on the ladder): substitute an equivalent public 10x dataset with raw counts available and re-run the same protocol unchanged, recording the substitution in the report's methods section. Branch B: continue on the stamped surrogate for pipeline development only, with the explicit understanding that M4 cannot be passed on surrogate data — this is the week where that rule bites hardest, because the surrogate is overdispersed by construction, so measuring overdispersion on it proves only that the author wrote it in.</w:t>
      </w:r>
    </w:p>
    <w:p>
      <w:pPr>
        <w:pStyle w:val="ListBullet"/>
        <w:spacing w:after="40"/>
      </w:pPr>
      <w:r>
        <w:rPr>
          <w:b/>
        </w:rPr>
        <w:t xml:space="preserve">Hard stop: </w:t>
      </w:r>
      <w:r>
        <w:t>if neither branch has produced real counts by the end of Week 11, Aim 2's real-data half is descoped through the ladder (F3) rather than allowed to consume Week 12. Week 12 is the centrepiece and is the one week that cannot be compressed.</w:t>
      </w:r>
    </w:p>
    <w:p>
      <w:pPr>
        <w:pStyle w:val="Heading2"/>
      </w:pPr>
      <w:r>
        <w:t>6.3  The Week 12 bead-arm rule when the exponent's interval is uninformative</w:t>
      </w:r>
    </w:p>
    <w:p>
      <w:pPr>
        <w:spacing w:after="80"/>
      </w:pPr>
      <w:r>
        <w:rPr>
          <w:i w:val="0"/>
        </w:rPr>
        <w:t>The bead arm was never the arm that would pin the exponent. At 40 trials per point with the 30/35 jars the fitted exponent scatters with a standard deviation of roughly 0.25, and individual runs anywhere from about 0.1 to about 0.9 are entirely ordinary. This was known in Week 6, before the beads were bought, and the rule is therefore about reporting and not about rescue.</w:t>
      </w:r>
    </w:p>
    <w:p>
      <w:pPr>
        <w:pStyle w:val="ListBullet"/>
        <w:spacing w:after="40"/>
      </w:pPr>
      <w:r>
        <w:rPr>
          <w:b/>
        </w:rPr>
        <w:t xml:space="preserve">Always: </w:t>
      </w:r>
      <w:r>
        <w:t>the exponent is reported with its bootstrap interval, in that order, and never rounded towards 0.5. The correct sentence has three parts and this shape: "The bead experiment gives a fitted exponent of 0.34 with a 95% bootstrap interval of [0.05, 0.71], consistent with the predicted 0.5. The interval is wide because the design provides only about 40 trials per point; the Week 6 power calculation anticipated this." Forbidden: "approximately 0.5, confirming the theory" (that is choosing the part of one's own interval one liked) and "0.34, contradicting the theory" (a number one standard error from the prediction contradicts nothing).</w:t>
      </w:r>
    </w:p>
    <w:p>
      <w:pPr>
        <w:pStyle w:val="ListBullet"/>
        <w:spacing w:after="40"/>
      </w:pPr>
      <w:r>
        <w:rPr>
          <w:b/>
        </w:rPr>
        <w:t xml:space="preserve">If the interval is uninformative: </w:t>
      </w:r>
      <w:r>
        <w:t>if the interval is so wide that it excludes nothing — that is, if it contains both 0 and 1 — the bead claim is entered in the Week 13 ledger as conjectured rather than observed, and the report says in one sentence what would move it: more trials per point, at the rate the Week 6 table gives (about 350 per point for ±0.05). The arm is not dropped and the figure is not hidden. A wide interval centred in the right place is sufficient for the job the bead arm actually has, which is to rule out the possibility that the sampling mathematics itself is wrong.</w:t>
      </w:r>
    </w:p>
    <w:p>
      <w:pPr>
        <w:pStyle w:val="ListBullet"/>
        <w:spacing w:after="40"/>
      </w:pPr>
      <w:r>
        <w:rPr>
          <w:b/>
        </w:rPr>
        <w:t xml:space="preserve">If the exponent is high rather than wide: </w:t>
      </w:r>
      <w:r>
        <w:t>if the fitted exponent comes out well above 0.5, the first thing to check is not the theory but the protocol: drawing without replacement inflates the measured exponent, because the finite-population correction is 0.982 at n = 10 and 0.601 at n = 200, which tilts the log-log fit upward. Re-read the protocol, ask the helper what actually happened at the table, and record the answer either way.</w:t>
      </w:r>
    </w:p>
    <w:p>
      <w:pPr>
        <w:pStyle w:val="Heading2"/>
      </w:pPr>
      <w:r>
        <w:t>6.4  The Week 13 rule for demoting a claim</w:t>
      </w:r>
    </w:p>
    <w:p>
      <w:pPr>
        <w:spacing w:after="80"/>
      </w:pPr>
      <w:r>
        <w:rPr>
          <w:i w:val="0"/>
        </w:rPr>
        <w:t>Every claim in this project carries one of four statuses — proved, cited, observed, conjectured — in the chapters, in the progress logs, and in the report. In Week 13 the whole ledger (progress/week13_claims.md) is reviewed and each row is tested against the rules below. Demotion is the default outcome of the test, and a first honest pass typically moves half a dozen rows down a level. That is the ledger working, not a setback.</w:t>
      </w:r>
    </w:p>
    <w:tbl>
      <w:tblPr>
        <w:tblStyle w:val="LightGrid-Accent1"/>
        <w:tblW w:type="auto" w:w="0"/>
        <w:tblLayout w:type="fixed"/>
        <w:tblLook w:firstColumn="1" w:firstRow="1" w:lastColumn="0" w:lastRow="0" w:noHBand="0" w:noVBand="1" w:val="04A0"/>
        <w:tblLayout w:type="fixed"/>
      </w:tblPr>
      <w:tblGrid>
        <w:gridCol w:w="3974"/>
        <w:gridCol w:w="3516"/>
        <w:gridCol w:w="2446"/>
      </w:tblGrid>
      <w:tr>
        <w:tc>
          <w:tcPr>
            <w:tcW w:type="dxa" w:w="3974"/>
          </w:tcPr>
          <w:p>
            <w:pPr>
              <w:spacing w:after="20" w:before="20" w:line="240" w:lineRule="auto"/>
            </w:pPr>
            <w:r/>
            <w:r>
              <w:rPr>
                <w:b/>
                <w:sz w:val="18"/>
              </w:rPr>
              <w:t>Test</w:t>
            </w:r>
          </w:p>
        </w:tc>
        <w:tc>
          <w:tcPr>
            <w:tcW w:type="dxa" w:w="3516"/>
          </w:tcPr>
          <w:p>
            <w:pPr>
              <w:spacing w:after="20" w:before="20" w:line="240" w:lineRule="auto"/>
            </w:pPr>
            <w:r/>
            <w:r>
              <w:rPr>
                <w:b/>
                <w:sz w:val="18"/>
              </w:rPr>
              <w:t>If it fails</w:t>
            </w:r>
          </w:p>
        </w:tc>
        <w:tc>
          <w:tcPr>
            <w:tcW w:type="dxa" w:w="2446"/>
          </w:tcPr>
          <w:p>
            <w:pPr>
              <w:spacing w:after="20" w:before="20" w:line="240" w:lineRule="auto"/>
            </w:pPr>
            <w:r/>
            <w:r>
              <w:rPr>
                <w:b/>
                <w:sz w:val="18"/>
              </w:rPr>
              <w:t>Demote to</w:t>
            </w:r>
          </w:p>
        </w:tc>
      </w:tr>
      <w:tr>
        <w:tc>
          <w:tcPr>
            <w:tcW w:type="dxa" w:w="3974"/>
          </w:tcPr>
          <w:p>
            <w:pPr>
              <w:spacing w:after="20" w:before="20" w:line="240" w:lineRule="auto"/>
            </w:pPr>
            <w:r/>
            <w:r>
              <w:rPr>
                <w:sz w:val="18"/>
              </w:rPr>
              <w:t>Can you derive it at the whiteboard, on demand, without notes, from assumptions you can also state?</w:t>
            </w:r>
          </w:p>
        </w:tc>
        <w:tc>
          <w:tcPr>
            <w:tcW w:type="dxa" w:w="3516"/>
          </w:tcPr>
          <w:p>
            <w:pPr>
              <w:spacing w:after="20" w:before="20" w:line="240" w:lineRule="auto"/>
            </w:pPr>
            <w:r/>
            <w:r>
              <w:rPr>
                <w:sz w:val="18"/>
              </w:rPr>
              <w:t>"It is standard" and "I read a proof once" are not proofs</w:t>
            </w:r>
          </w:p>
        </w:tc>
        <w:tc>
          <w:tcPr>
            <w:tcW w:type="dxa" w:w="2446"/>
          </w:tcPr>
          <w:p>
            <w:pPr>
              <w:spacing w:after="20" w:before="20" w:line="240" w:lineRule="auto"/>
            </w:pPr>
            <w:r/>
            <w:r>
              <w:rPr>
                <w:sz w:val="18"/>
              </w:rPr>
              <w:t>cited (and the reference must be found)</w:t>
            </w:r>
          </w:p>
        </w:tc>
      </w:tr>
      <w:tr>
        <w:tc>
          <w:tcPr>
            <w:tcW w:type="dxa" w:w="3974"/>
          </w:tcPr>
          <w:p>
            <w:pPr>
              <w:spacing w:after="20" w:before="20" w:line="240" w:lineRule="auto"/>
            </w:pPr>
            <w:r/>
            <w:r>
              <w:rPr>
                <w:sz w:val="18"/>
              </w:rPr>
              <w:t>Does the row name the script, the seed and the sample size?</w:t>
            </w:r>
          </w:p>
        </w:tc>
        <w:tc>
          <w:tcPr>
            <w:tcW w:type="dxa" w:w="3516"/>
          </w:tcPr>
          <w:p>
            <w:pPr>
              <w:spacing w:after="20" w:before="20" w:line="240" w:lineRule="auto"/>
            </w:pPr>
            <w:r/>
            <w:r>
              <w:rPr>
                <w:sz w:val="18"/>
              </w:rPr>
              <w:t>An observed claim without a seed is remembered, not observed</w:t>
            </w:r>
          </w:p>
        </w:tc>
        <w:tc>
          <w:tcPr>
            <w:tcW w:type="dxa" w:w="2446"/>
          </w:tcPr>
          <w:p>
            <w:pPr>
              <w:spacing w:after="20" w:before="20" w:line="240" w:lineRule="auto"/>
            </w:pPr>
            <w:r/>
            <w:r>
              <w:rPr>
                <w:sz w:val="18"/>
              </w:rPr>
              <w:t>re-run it, or drop the claim</w:t>
            </w:r>
          </w:p>
        </w:tc>
      </w:tr>
      <w:tr>
        <w:tc>
          <w:tcPr>
            <w:tcW w:type="dxa" w:w="3974"/>
          </w:tcPr>
          <w:p>
            <w:pPr>
              <w:spacing w:after="20" w:before="20" w:line="240" w:lineRule="auto"/>
            </w:pPr>
            <w:r/>
            <w:r>
              <w:rPr>
                <w:sz w:val="18"/>
              </w:rPr>
              <w:t>Does the interval exclude anything a reader would care about?</w:t>
            </w:r>
          </w:p>
        </w:tc>
        <w:tc>
          <w:tcPr>
            <w:tcW w:type="dxa" w:w="3516"/>
          </w:tcPr>
          <w:p>
            <w:pPr>
              <w:spacing w:after="20" w:before="20" w:line="240" w:lineRule="auto"/>
            </w:pPr>
            <w:r/>
            <w:r>
              <w:rPr>
                <w:sz w:val="18"/>
              </w:rPr>
              <w:t>An interval that contains everything supports nothing</w:t>
            </w:r>
          </w:p>
        </w:tc>
        <w:tc>
          <w:tcPr>
            <w:tcW w:type="dxa" w:w="2446"/>
          </w:tcPr>
          <w:p>
            <w:pPr>
              <w:spacing w:after="20" w:before="20" w:line="240" w:lineRule="auto"/>
            </w:pPr>
            <w:r/>
            <w:r>
              <w:rPr>
                <w:sz w:val="18"/>
              </w:rPr>
              <w:t>conjectured</w:t>
            </w:r>
          </w:p>
        </w:tc>
      </w:tr>
      <w:tr>
        <w:tc>
          <w:tcPr>
            <w:tcW w:type="dxa" w:w="3974"/>
          </w:tcPr>
          <w:p>
            <w:pPr>
              <w:spacing w:after="20" w:before="20" w:line="240" w:lineRule="auto"/>
            </w:pPr>
            <w:r/>
            <w:r>
              <w:rPr>
                <w:sz w:val="18"/>
              </w:rPr>
              <w:t>Is it exactly one claim?</w:t>
            </w:r>
          </w:p>
        </w:tc>
        <w:tc>
          <w:tcPr>
            <w:tcW w:type="dxa" w:w="3516"/>
          </w:tcPr>
          <w:p>
            <w:pPr>
              <w:spacing w:after="20" w:before="20" w:line="240" w:lineRule="auto"/>
            </w:pPr>
            <w:r/>
            <w:r>
              <w:rPr>
                <w:sz w:val="18"/>
              </w:rPr>
              <w:t>Sentences containing "and", "therefore" or "which shows that" are usually two claims wearing one status</w:t>
            </w:r>
          </w:p>
        </w:tc>
        <w:tc>
          <w:tcPr>
            <w:tcW w:type="dxa" w:w="2446"/>
          </w:tcPr>
          <w:p>
            <w:pPr>
              <w:spacing w:after="20" w:before="20" w:line="240" w:lineRule="auto"/>
            </w:pPr>
            <w:r/>
            <w:r>
              <w:rPr>
                <w:sz w:val="18"/>
              </w:rPr>
              <w:t>split the row, status each half separately</w:t>
            </w:r>
          </w:p>
        </w:tc>
      </w:tr>
      <w:tr>
        <w:tc>
          <w:tcPr>
            <w:tcW w:type="dxa" w:w="3974"/>
          </w:tcPr>
          <w:p>
            <w:pPr>
              <w:spacing w:after="20" w:before="20" w:line="240" w:lineRule="auto"/>
            </w:pPr>
            <w:r/>
            <w:r>
              <w:rPr>
                <w:sz w:val="18"/>
              </w:rPr>
              <w:t>Does the citation actually support the claim, at the uncertainty the source itself reports?</w:t>
            </w:r>
          </w:p>
        </w:tc>
        <w:tc>
          <w:tcPr>
            <w:tcW w:type="dxa" w:w="3516"/>
          </w:tcPr>
          <w:p>
            <w:pPr>
              <w:spacing w:after="20" w:before="20" w:line="240" w:lineRule="auto"/>
            </w:pPr>
            <w:r/>
            <w:r>
              <w:rPr>
                <w:sz w:val="18"/>
              </w:rPr>
              <w:t>A real source that says something weaker</w:t>
            </w:r>
          </w:p>
        </w:tc>
        <w:tc>
          <w:tcPr>
            <w:tcW w:type="dxa" w:w="2446"/>
          </w:tcPr>
          <w:p>
            <w:pPr>
              <w:spacing w:after="20" w:before="20" w:line="240" w:lineRule="auto"/>
            </w:pPr>
            <w:r/>
            <w:r>
              <w:rPr>
                <w:sz w:val="18"/>
              </w:rPr>
              <w:t>restate the claim at the source's strength</w:t>
            </w:r>
          </w:p>
        </w:tc>
      </w:tr>
    </w:tbl>
    <w:p>
      <w:pPr>
        <w:spacing w:after="0" w:before="0"/>
      </w:pPr>
    </w:p>
    <w:p>
      <w:pPr>
        <w:spacing w:after="80"/>
      </w:pPr>
      <w:r>
        <w:rPr>
          <w:i w:val="0"/>
        </w:rPr>
        <w:t>The rule is written down because unlabelled claims migrate upward one level per retelling — conjectured in the notebook, observed in the slides, proved in the abstract — with nobody lying at any step; each retelling merely drops a qualifier that felt like clutter. At M6 the mentor picks three rows at random and asks for the derivation, the reference, or the seed.</w:t>
      </w:r>
    </w:p>
    <w:p>
      <w:pPr>
        <w:pStyle w:val="Heading1"/>
      </w:pPr>
      <w:r>
        <w:t>7. The fallback ladder F1–F4</w:t>
      </w:r>
    </w:p>
    <w:p>
      <w:pPr>
        <w:spacing w:after="80"/>
      </w:pPr>
      <w:r>
        <w:rPr>
          <w:i w:val="0"/>
        </w:rPr>
        <w:t>The ladder exists so that a scope decision is read out of a document rather than invented under time pressure in Week 13. Take the mildest rung that solves the problem; climbing one is a mentor decision, recorded in the log with its date and trigger. Using a rung as intended is the plan working.</w:t>
      </w:r>
    </w:p>
    <w:tbl>
      <w:tblPr>
        <w:tblStyle w:val="LightGrid-Accent1"/>
        <w:tblW w:type="auto" w:w="0"/>
        <w:tblLayout w:type="fixed"/>
        <w:tblLook w:firstColumn="1" w:firstRow="1" w:lastColumn="0" w:lastRow="0" w:noHBand="0" w:noVBand="1" w:val="04A0"/>
        <w:tblLayout w:type="fixed"/>
      </w:tblPr>
      <w:tblGrid>
        <w:gridCol w:w="535"/>
        <w:gridCol w:w="3516"/>
        <w:gridCol w:w="2904"/>
        <w:gridCol w:w="2981"/>
      </w:tblGrid>
      <w:tr>
        <w:tc>
          <w:tcPr>
            <w:tcW w:type="dxa" w:w="535"/>
          </w:tcPr>
          <w:p>
            <w:pPr>
              <w:spacing w:after="20" w:before="20" w:line="240" w:lineRule="auto"/>
            </w:pPr>
            <w:r/>
            <w:r>
              <w:rPr>
                <w:b/>
                <w:sz w:val="18"/>
              </w:rPr>
              <w:t>Rung</w:t>
            </w:r>
          </w:p>
        </w:tc>
        <w:tc>
          <w:tcPr>
            <w:tcW w:type="dxa" w:w="3516"/>
          </w:tcPr>
          <w:p>
            <w:pPr>
              <w:spacing w:after="20" w:before="20" w:line="240" w:lineRule="auto"/>
            </w:pPr>
            <w:r/>
            <w:r>
              <w:rPr>
                <w:b/>
                <w:sz w:val="18"/>
              </w:rPr>
              <w:t>What it is</w:t>
            </w:r>
          </w:p>
        </w:tc>
        <w:tc>
          <w:tcPr>
            <w:tcW w:type="dxa" w:w="2904"/>
          </w:tcPr>
          <w:p>
            <w:pPr>
              <w:spacing w:after="20" w:before="20" w:line="240" w:lineRule="auto"/>
            </w:pPr>
            <w:r/>
            <w:r>
              <w:rPr>
                <w:b/>
                <w:sz w:val="18"/>
              </w:rPr>
              <w:t>Trigger</w:t>
            </w:r>
          </w:p>
        </w:tc>
        <w:tc>
          <w:tcPr>
            <w:tcW w:type="dxa" w:w="2981"/>
          </w:tcPr>
          <w:p>
            <w:pPr>
              <w:spacing w:after="20" w:before="20" w:line="240" w:lineRule="auto"/>
            </w:pPr>
            <w:r/>
            <w:r>
              <w:rPr>
                <w:b/>
                <w:sz w:val="18"/>
              </w:rPr>
              <w:t>Cost</w:t>
            </w:r>
          </w:p>
        </w:tc>
      </w:tr>
      <w:tr>
        <w:tc>
          <w:tcPr>
            <w:tcW w:type="dxa" w:w="535"/>
          </w:tcPr>
          <w:p>
            <w:pPr>
              <w:spacing w:after="20" w:before="20" w:line="240" w:lineRule="auto"/>
            </w:pPr>
            <w:r/>
            <w:r>
              <w:rPr>
                <w:sz w:val="18"/>
              </w:rPr>
              <w:t>F1</w:t>
            </w:r>
          </w:p>
        </w:tc>
        <w:tc>
          <w:tcPr>
            <w:tcW w:type="dxa" w:w="3516"/>
          </w:tcPr>
          <w:p>
            <w:pPr>
              <w:spacing w:after="20" w:before="20" w:line="240" w:lineRule="auto"/>
            </w:pPr>
            <w:r/>
            <w:r>
              <w:rPr>
                <w:sz w:val="18"/>
              </w:rPr>
              <w:t>Descope within an aim. Keep every aim, shrink the sweep: fewer depths, fewer k values, one bead arm at full trials instead of two at half, the five-type extension dropped, optional exercises abandoned by name in the log.</w:t>
            </w:r>
          </w:p>
        </w:tc>
        <w:tc>
          <w:tcPr>
            <w:tcW w:type="dxa" w:w="2904"/>
          </w:tcPr>
          <w:p>
            <w:pPr>
              <w:spacing w:after="20" w:before="20" w:line="240" w:lineRule="auto"/>
            </w:pPr>
            <w:r/>
            <w:r>
              <w:rPr>
                <w:sz w:val="18"/>
              </w:rPr>
              <w:t>One week's deliverable missed, or a milestone partially passed, with the underlying method working. Both buffer weeks (6 and 13) still uncommitted.</w:t>
            </w:r>
          </w:p>
        </w:tc>
        <w:tc>
          <w:tcPr>
            <w:tcW w:type="dxa" w:w="2981"/>
          </w:tcPr>
          <w:p>
            <w:pPr>
              <w:spacing w:after="20" w:before="20" w:line="240" w:lineRule="auto"/>
            </w:pPr>
            <w:r/>
            <w:r>
              <w:rPr>
                <w:sz w:val="18"/>
              </w:rPr>
              <w:t>Wider error bars and a shorter results section. No claim is lost; some get weaker intervals. Reversible if time reappears.</w:t>
            </w:r>
          </w:p>
        </w:tc>
      </w:tr>
      <w:tr>
        <w:tc>
          <w:tcPr>
            <w:tcW w:type="dxa" w:w="535"/>
          </w:tcPr>
          <w:p>
            <w:pPr>
              <w:spacing w:after="20" w:before="20" w:line="240" w:lineRule="auto"/>
            </w:pPr>
            <w:r/>
            <w:r>
              <w:rPr>
                <w:sz w:val="18"/>
              </w:rPr>
              <w:t>F2</w:t>
            </w:r>
          </w:p>
        </w:tc>
        <w:tc>
          <w:tcPr>
            <w:tcW w:type="dxa" w:w="3516"/>
          </w:tcPr>
          <w:p>
            <w:pPr>
              <w:spacing w:after="20" w:before="20" w:line="240" w:lineRule="auto"/>
            </w:pPr>
            <w:r/>
            <w:r>
              <w:rPr>
                <w:sz w:val="18"/>
              </w:rPr>
              <w:t>Substitute a data source. Swap the failing input for an equivalent one and re-run the identical protocol: another public 10x dataset with raw counts for PBMC 3k; the simulated-bead stand-in for a bead block that cannot be run; a wider jar contrast (30/40) for an underpowered one.</w:t>
            </w:r>
          </w:p>
        </w:tc>
        <w:tc>
          <w:tcPr>
            <w:tcW w:type="dxa" w:w="2904"/>
          </w:tcPr>
          <w:p>
            <w:pPr>
              <w:spacing w:after="20" w:before="20" w:line="240" w:lineRule="auto"/>
            </w:pPr>
            <w:r/>
            <w:r>
              <w:rPr>
                <w:sz w:val="18"/>
              </w:rPr>
              <w:t>An external dependency has failed and a 90-minute diagnosis with the mentor has not fixed it — most likely the Week 10 download (Section 6.2).</w:t>
            </w:r>
          </w:p>
        </w:tc>
        <w:tc>
          <w:tcPr>
            <w:tcW w:type="dxa" w:w="2981"/>
          </w:tcPr>
          <w:p>
            <w:pPr>
              <w:spacing w:after="20" w:before="20" w:line="240" w:lineRule="auto"/>
            </w:pPr>
            <w:r/>
            <w:r>
              <w:rPr>
                <w:sz w:val="18"/>
              </w:rPr>
              <w:t>A paragraph each in Methods and Limitations; comparability with the published PBMC literature is reduced; a stand-in bead figure keeps its stamp and cannot enter the report set.</w:t>
            </w:r>
          </w:p>
        </w:tc>
      </w:tr>
      <w:tr>
        <w:tc>
          <w:tcPr>
            <w:tcW w:type="dxa" w:w="535"/>
          </w:tcPr>
          <w:p>
            <w:pPr>
              <w:spacing w:after="20" w:before="20" w:line="240" w:lineRule="auto"/>
            </w:pPr>
            <w:r/>
            <w:r>
              <w:rPr>
                <w:sz w:val="18"/>
              </w:rPr>
              <w:t>F3</w:t>
            </w:r>
          </w:p>
        </w:tc>
        <w:tc>
          <w:tcPr>
            <w:tcW w:type="dxa" w:w="3516"/>
          </w:tcPr>
          <w:p>
            <w:pPr>
              <w:spacing w:after="20" w:before="20" w:line="240" w:lineRule="auto"/>
            </w:pPr>
            <w:r/>
            <w:r>
              <w:rPr>
                <w:sz w:val="18"/>
              </w:rPr>
              <w:t>Drop an aim, and say so in the report. The aim's section becomes a stated non-result: what was planned, how far it got, why it stopped, what to do next. Aim 3 is the first candidate (most time-expensive per unit of evidence), Aim 2's real-data half the second. Aim 1 is never dropped.</w:t>
            </w:r>
          </w:p>
        </w:tc>
        <w:tc>
          <w:tcPr>
            <w:tcW w:type="dxa" w:w="2904"/>
          </w:tcPr>
          <w:p>
            <w:pPr>
              <w:spacing w:after="20" w:before="20" w:line="240" w:lineRule="auto"/>
            </w:pPr>
            <w:r/>
            <w:r>
              <w:rPr>
                <w:sz w:val="18"/>
              </w:rPr>
              <w:t>A whole milestone has slipped past its buffer — M3 not passed by the end of Week 10, M4 not passed by the end of Week 12, or the bead arm below about half its trial budget entering Week 12.</w:t>
            </w:r>
          </w:p>
        </w:tc>
        <w:tc>
          <w:tcPr>
            <w:tcW w:type="dxa" w:w="2981"/>
          </w:tcPr>
          <w:p>
            <w:pPr>
              <w:spacing w:after="20" w:before="20" w:line="240" w:lineRule="auto"/>
            </w:pPr>
            <w:r/>
            <w:r>
              <w:rPr>
                <w:sz w:val="18"/>
              </w:rPr>
              <w:t>The three-lines figure loses a line — the centrepiece claim — and the report becomes a two-arm comparison. Visible to any reader, which is why it is written up rather than quietly omitted.</w:t>
            </w:r>
          </w:p>
        </w:tc>
      </w:tr>
      <w:tr>
        <w:tc>
          <w:tcPr>
            <w:tcW w:type="dxa" w:w="535"/>
          </w:tcPr>
          <w:p>
            <w:pPr>
              <w:spacing w:after="20" w:before="20" w:line="240" w:lineRule="auto"/>
            </w:pPr>
            <w:r/>
            <w:r>
              <w:rPr>
                <w:sz w:val="18"/>
              </w:rPr>
              <w:t>F4</w:t>
            </w:r>
          </w:p>
        </w:tc>
        <w:tc>
          <w:tcPr>
            <w:tcW w:type="dxa" w:w="3516"/>
          </w:tcPr>
          <w:p>
            <w:pPr>
              <w:spacing w:after="20" w:before="20" w:line="240" w:lineRule="auto"/>
            </w:pPr>
            <w:r/>
            <w:r>
              <w:rPr>
                <w:sz w:val="18"/>
              </w:rPr>
              <w:t>Convert to a negative-result or methods report: an account of what was derived, built and measured, and precisely where and why the evidence chain broke — theory, code, tests, seeds and the failure diagnosis as the contribution.</w:t>
            </w:r>
          </w:p>
        </w:tc>
        <w:tc>
          <w:tcPr>
            <w:tcW w:type="dxa" w:w="2904"/>
          </w:tcPr>
          <w:p>
            <w:pPr>
              <w:spacing w:after="20" w:before="20" w:line="240" w:lineRule="auto"/>
            </w:pPr>
            <w:r/>
            <w:r>
              <w:rPr>
                <w:sz w:val="18"/>
              </w:rPr>
              <w:t>Two or more aims are at F3, or the report cannot be honestly assembled from what exists by the start of Week 14.</w:t>
            </w:r>
          </w:p>
        </w:tc>
        <w:tc>
          <w:tcPr>
            <w:tcW w:type="dxa" w:w="2981"/>
          </w:tcPr>
          <w:p>
            <w:pPr>
              <w:spacing w:after="20" w:before="20" w:line="240" w:lineRule="auto"/>
            </w:pPr>
            <w:r/>
            <w:r>
              <w:rPr>
                <w:sz w:val="18"/>
              </w:rPr>
              <w:t>The headline comparison is gone. What survives — a reproducible repository, a derivation defended at a whiteboard, an honest failure analysis — is a real scientific artefact, and is explicitly not treated here as a failed project.</w:t>
            </w:r>
          </w:p>
        </w:tc>
      </w:tr>
    </w:tbl>
    <w:p>
      <w:pPr>
        <w:spacing w:after="0" w:before="0"/>
      </w:pPr>
    </w:p>
    <w:p>
      <w:pPr>
        <w:pStyle w:val="Heading3"/>
      </w:pPr>
      <w:r>
        <w:t>Invoking a rung</w:t>
      </w:r>
    </w:p>
    <w:p>
      <w:pPr>
        <w:pStyle w:val="ListNumber"/>
        <w:spacing w:after="40"/>
      </w:pPr>
      <w:r>
        <w:t>Name the trigger from the table above, in writing, in progress/weekNN.md, with the date and the milestone or deliverable that missed.</w:t>
      </w:r>
    </w:p>
    <w:p>
      <w:pPr>
        <w:pStyle w:val="ListNumber"/>
        <w:spacing w:after="40"/>
      </w:pPr>
      <w:r>
        <w:t>Put it on the check-in agenda under "Decisions needed". A rung is never climbed alone.</w:t>
      </w:r>
    </w:p>
    <w:p>
      <w:pPr>
        <w:pStyle w:val="ListNumber"/>
        <w:spacing w:after="40"/>
      </w:pPr>
      <w:r>
        <w:t>Take the mildest rung that solves the problem, and say what it costs — from the Cost column, in the project's own terms, not in reassurance.</w:t>
      </w:r>
    </w:p>
    <w:p>
      <w:pPr>
        <w:pStyle w:val="ListNumber"/>
        <w:spacing w:after="40"/>
      </w:pPr>
      <w:r>
        <w:t>Record the decision in the log and, if it changes what the report can claim, in the draft's limitations list the same week.</w:t>
      </w:r>
    </w:p>
    <w:p>
      <w:pPr>
        <w:pStyle w:val="ListNumber"/>
        <w:spacing w:after="40"/>
      </w:pPr>
      <w:r>
        <w:t>Re-check the milestone table: a rung usually changes what a later milestone can certify, and that change is written down now rather than discovered in Week 14.</w:t>
      </w:r>
    </w:p>
    <w:p>
      <w:pPr>
        <w:spacing w:after="80"/>
      </w:pPr>
      <w:r>
        <w:rPr>
          <w:i w:val="0"/>
        </w:rPr>
        <w:t>Two standing constraints on the ladder. Nothing on it may borrow time from Week 12 or from the Week 14 figure freeze — everything upstream of the freeze is negotiable and the freeze is not. And no rung permits removing an error bar, un-stamping a stand-in figure, or dropping a claim's status label; scope contracts, honesty does not.</w:t>
      </w:r>
    </w:p>
    <w:p>
      <w:pPr>
        <w:pStyle w:val="Heading1"/>
      </w:pPr>
      <w:r>
        <w:t>8. Risk register</w:t>
      </w:r>
    </w:p>
    <w:tbl>
      <w:tblPr>
        <w:tblStyle w:val="LightGrid-Accent1"/>
        <w:tblW w:type="auto" w:w="0"/>
        <w:tblLayout w:type="fixed"/>
        <w:tblLook w:firstColumn="1" w:firstRow="1" w:lastColumn="0" w:lastRow="0" w:noHBand="0" w:noVBand="1" w:val="04A0"/>
        <w:tblLayout w:type="fixed"/>
      </w:tblPr>
      <w:tblGrid>
        <w:gridCol w:w="459"/>
        <w:gridCol w:w="2064"/>
        <w:gridCol w:w="1146"/>
        <w:gridCol w:w="1070"/>
        <w:gridCol w:w="5197"/>
      </w:tblGrid>
      <w:tr>
        <w:tc>
          <w:tcPr>
            <w:tcW w:type="dxa" w:w="459"/>
          </w:tcPr>
          <w:p>
            <w:pPr>
              <w:spacing w:after="20" w:before="20" w:line="240" w:lineRule="auto"/>
            </w:pPr>
            <w:r/>
            <w:r>
              <w:rPr>
                <w:b/>
                <w:sz w:val="18"/>
              </w:rPr>
              <w:t>#</w:t>
            </w:r>
          </w:p>
        </w:tc>
        <w:tc>
          <w:tcPr>
            <w:tcW w:type="dxa" w:w="2064"/>
          </w:tcPr>
          <w:p>
            <w:pPr>
              <w:spacing w:after="20" w:before="20" w:line="240" w:lineRule="auto"/>
            </w:pPr>
            <w:r/>
            <w:r>
              <w:rPr>
                <w:b/>
                <w:sz w:val="18"/>
              </w:rPr>
              <w:t>Risk</w:t>
            </w:r>
          </w:p>
        </w:tc>
        <w:tc>
          <w:tcPr>
            <w:tcW w:type="dxa" w:w="1146"/>
          </w:tcPr>
          <w:p>
            <w:pPr>
              <w:spacing w:after="20" w:before="20" w:line="240" w:lineRule="auto"/>
            </w:pPr>
            <w:r/>
            <w:r>
              <w:rPr>
                <w:b/>
                <w:sz w:val="18"/>
              </w:rPr>
              <w:t>Likelihood</w:t>
            </w:r>
          </w:p>
        </w:tc>
        <w:tc>
          <w:tcPr>
            <w:tcW w:type="dxa" w:w="1070"/>
          </w:tcPr>
          <w:p>
            <w:pPr>
              <w:spacing w:after="20" w:before="20" w:line="240" w:lineRule="auto"/>
            </w:pPr>
            <w:r/>
            <w:r>
              <w:rPr>
                <w:b/>
                <w:sz w:val="18"/>
              </w:rPr>
              <w:t>Impact</w:t>
            </w:r>
          </w:p>
        </w:tc>
        <w:tc>
          <w:tcPr>
            <w:tcW w:type="dxa" w:w="5197"/>
          </w:tcPr>
          <w:p>
            <w:pPr>
              <w:spacing w:after="20" w:before="20" w:line="240" w:lineRule="auto"/>
            </w:pPr>
            <w:r/>
            <w:r>
              <w:rPr>
                <w:b/>
                <w:sz w:val="18"/>
              </w:rPr>
              <w:t>Mitigation already built into the plan</w:t>
            </w:r>
          </w:p>
        </w:tc>
      </w:tr>
      <w:tr>
        <w:tc>
          <w:tcPr>
            <w:tcW w:type="dxa" w:w="459"/>
          </w:tcPr>
          <w:p>
            <w:pPr>
              <w:spacing w:after="20" w:before="20" w:line="240" w:lineRule="auto"/>
            </w:pPr>
            <w:r/>
            <w:r>
              <w:rPr>
                <w:sz w:val="18"/>
              </w:rPr>
              <w:t>R1</w:t>
            </w:r>
          </w:p>
        </w:tc>
        <w:tc>
          <w:tcPr>
            <w:tcW w:type="dxa" w:w="2064"/>
          </w:tcPr>
          <w:p>
            <w:pPr>
              <w:spacing w:after="20" w:before="20" w:line="240" w:lineRule="auto"/>
            </w:pPr>
            <w:r/>
            <w:r>
              <w:rPr>
                <w:sz w:val="18"/>
              </w:rPr>
              <w:t>Schedule slip: a bad week, exams, illness, or a bug that eats three days</w:t>
            </w:r>
          </w:p>
        </w:tc>
        <w:tc>
          <w:tcPr>
            <w:tcW w:type="dxa" w:w="1146"/>
          </w:tcPr>
          <w:p>
            <w:pPr>
              <w:spacing w:after="20" w:before="20" w:line="240" w:lineRule="auto"/>
            </w:pPr>
            <w:r/>
            <w:r>
              <w:rPr>
                <w:sz w:val="18"/>
              </w:rPr>
              <w:t>High</w:t>
            </w:r>
          </w:p>
        </w:tc>
        <w:tc>
          <w:tcPr>
            <w:tcW w:type="dxa" w:w="1070"/>
          </w:tcPr>
          <w:p>
            <w:pPr>
              <w:spacing w:after="20" w:before="20" w:line="240" w:lineRule="auto"/>
            </w:pPr>
            <w:r/>
            <w:r>
              <w:rPr>
                <w:sz w:val="18"/>
              </w:rPr>
              <w:t>Medium</w:t>
            </w:r>
          </w:p>
        </w:tc>
        <w:tc>
          <w:tcPr>
            <w:tcW w:type="dxa" w:w="5197"/>
          </w:tcPr>
          <w:p>
            <w:pPr>
              <w:spacing w:after="20" w:before="20" w:line="240" w:lineRule="auto"/>
            </w:pPr>
            <w:r/>
            <w:r>
              <w:rPr>
                <w:sz w:val="18"/>
              </w:rPr>
              <w:t>Two buffer weeks (6 and 13) with no new mandatory material; an in-week triage order (cut the ★★★ exercise, then the optional figure, then full-parameter re-runs — never the log, never this week's tests, never the derivation the next milestone asks for); a two-week time-box</w:t>
            </w:r>
          </w:p>
        </w:tc>
      </w:tr>
      <w:tr>
        <w:tc>
          <w:tcPr>
            <w:tcW w:type="dxa" w:w="459"/>
          </w:tcPr>
          <w:p>
            <w:pPr>
              <w:spacing w:after="20" w:before="20" w:line="240" w:lineRule="auto"/>
            </w:pPr>
            <w:r/>
            <w:r>
              <w:rPr>
                <w:sz w:val="18"/>
              </w:rPr>
              <w:t>R2</w:t>
            </w:r>
          </w:p>
        </w:tc>
        <w:tc>
          <w:tcPr>
            <w:tcW w:type="dxa" w:w="2064"/>
          </w:tcPr>
          <w:p>
            <w:pPr>
              <w:spacing w:after="20" w:before="20" w:line="240" w:lineRule="auto"/>
            </w:pPr>
            <w:r/>
            <w:r>
              <w:rPr>
                <w:sz w:val="18"/>
              </w:rPr>
              <w:t>PBMC download or scanpy install fails</w:t>
            </w:r>
          </w:p>
        </w:tc>
        <w:tc>
          <w:tcPr>
            <w:tcW w:type="dxa" w:w="1146"/>
          </w:tcPr>
          <w:p>
            <w:pPr>
              <w:spacing w:after="20" w:before="20" w:line="240" w:lineRule="auto"/>
            </w:pPr>
            <w:r/>
            <w:r>
              <w:rPr>
                <w:sz w:val="18"/>
              </w:rPr>
              <w:t>Medium</w:t>
            </w:r>
          </w:p>
        </w:tc>
        <w:tc>
          <w:tcPr>
            <w:tcW w:type="dxa" w:w="1070"/>
          </w:tcPr>
          <w:p>
            <w:pPr>
              <w:spacing w:after="20" w:before="20" w:line="240" w:lineRule="auto"/>
            </w:pPr>
            <w:r/>
            <w:r>
              <w:rPr>
                <w:sz w:val="18"/>
              </w:rPr>
              <w:t>High for Aim 2's second half</w:t>
            </w:r>
          </w:p>
        </w:tc>
        <w:tc>
          <w:tcPr>
            <w:tcW w:type="dxa" w:w="5197"/>
          </w:tcPr>
          <w:p>
            <w:pPr>
              <w:spacing w:after="20" w:before="20" w:line="240" w:lineRule="auto"/>
            </w:pPr>
            <w:r/>
            <w:r>
              <w:rPr>
                <w:sz w:val="18"/>
              </w:rPr>
              <w:t>requirements.txt excludes scanpy so the suite never depends on it; a stamped surrogate lets the whole pipeline be built before the download exists; the Week 10 go/no-go (6.2) with F2 substitution; M4 cannot be passed on surrogate data, so the failure cannot be laundered</w:t>
            </w:r>
          </w:p>
        </w:tc>
      </w:tr>
      <w:tr>
        <w:tc>
          <w:tcPr>
            <w:tcW w:type="dxa" w:w="459"/>
          </w:tcPr>
          <w:p>
            <w:pPr>
              <w:spacing w:after="20" w:before="20" w:line="240" w:lineRule="auto"/>
            </w:pPr>
            <w:r/>
            <w:r>
              <w:rPr>
                <w:sz w:val="18"/>
              </w:rPr>
              <w:t>R3</w:t>
            </w:r>
          </w:p>
        </w:tc>
        <w:tc>
          <w:tcPr>
            <w:tcW w:type="dxa" w:w="2064"/>
          </w:tcPr>
          <w:p>
            <w:pPr>
              <w:spacing w:after="20" w:before="20" w:line="240" w:lineRule="auto"/>
            </w:pPr>
            <w:r/>
            <w:r>
              <w:rPr>
                <w:sz w:val="18"/>
              </w:rPr>
              <w:t>Bead tedium and an undersized trial budget</w:t>
            </w:r>
          </w:p>
        </w:tc>
        <w:tc>
          <w:tcPr>
            <w:tcW w:type="dxa" w:w="1146"/>
          </w:tcPr>
          <w:p>
            <w:pPr>
              <w:spacing w:after="20" w:before="20" w:line="240" w:lineRule="auto"/>
            </w:pPr>
            <w:r/>
            <w:r>
              <w:rPr>
                <w:sz w:val="18"/>
              </w:rPr>
              <w:t>High (tedium), Certain (budget)</w:t>
            </w:r>
          </w:p>
        </w:tc>
        <w:tc>
          <w:tcPr>
            <w:tcW w:type="dxa" w:w="1070"/>
          </w:tcPr>
          <w:p>
            <w:pPr>
              <w:spacing w:after="20" w:before="20" w:line="240" w:lineRule="auto"/>
            </w:pPr>
            <w:r/>
            <w:r>
              <w:rPr>
                <w:sz w:val="18"/>
              </w:rPr>
              <w:t>Medium</w:t>
            </w:r>
          </w:p>
        </w:tc>
        <w:tc>
          <w:tcPr>
            <w:tcW w:type="dxa" w:w="5197"/>
          </w:tcPr>
          <w:p>
            <w:pPr>
              <w:spacing w:after="20" w:before="20" w:line="240" w:lineRule="auto"/>
            </w:pPr>
            <w:r/>
            <w:r>
              <w:rPr>
                <w:sz w:val="18"/>
              </w:rPr>
              <w:t>Known undersized before a bead is bought: 40 trials per point gives ±0.15 intervals against a 30/35 effect of 0.208 — about 53% power. Week 6 costs three options and recommends the free fix, widening the jars to 30/40 (about 94% power at the same 400 trials). Table time spread across Weeks 6–12; a helper required (one person must not hold both roles — no self-blinding scheme survives contact with someone who knows the design; if no helper is found the arm is run and reported as unblinded, or goes to F2); 45-minute blocks</w:t>
            </w:r>
          </w:p>
        </w:tc>
      </w:tr>
      <w:tr>
        <w:tc>
          <w:tcPr>
            <w:tcW w:type="dxa" w:w="459"/>
          </w:tcPr>
          <w:p>
            <w:pPr>
              <w:spacing w:after="20" w:before="20" w:line="240" w:lineRule="auto"/>
            </w:pPr>
            <w:r/>
            <w:r>
              <w:rPr>
                <w:sz w:val="18"/>
              </w:rPr>
              <w:t>R4</w:t>
            </w:r>
          </w:p>
        </w:tc>
        <w:tc>
          <w:tcPr>
            <w:tcW w:type="dxa" w:w="2064"/>
          </w:tcPr>
          <w:p>
            <w:pPr>
              <w:spacing w:after="20" w:before="20" w:line="240" w:lineRule="auto"/>
            </w:pPr>
            <w:r/>
            <w:r>
              <w:rPr>
                <w:sz w:val="18"/>
              </w:rPr>
              <w:t>Overdispersion swamps the effect on real data</w:t>
            </w:r>
          </w:p>
        </w:tc>
        <w:tc>
          <w:tcPr>
            <w:tcW w:type="dxa" w:w="1146"/>
          </w:tcPr>
          <w:p>
            <w:pPr>
              <w:spacing w:after="20" w:before="20" w:line="240" w:lineRule="auto"/>
            </w:pPr>
            <w:r/>
            <w:r>
              <w:rPr>
                <w:sz w:val="18"/>
              </w:rPr>
              <w:t>Medium-high</w:t>
            </w:r>
          </w:p>
        </w:tc>
        <w:tc>
          <w:tcPr>
            <w:tcW w:type="dxa" w:w="1070"/>
          </w:tcPr>
          <w:p>
            <w:pPr>
              <w:spacing w:after="20" w:before="20" w:line="240" w:lineRule="auto"/>
            </w:pPr>
            <w:r/>
            <w:r>
              <w:rPr>
                <w:sz w:val="18"/>
              </w:rPr>
              <w:t>Medium</w:t>
            </w:r>
          </w:p>
        </w:tc>
        <w:tc>
          <w:tcPr>
            <w:tcW w:type="dxa" w:w="5197"/>
          </w:tcPr>
          <w:p>
            <w:pPr>
              <w:spacing w:after="20" w:before="20" w:line="240" w:lineRule="auto"/>
            </w:pPr>
            <w:r/>
            <w:r>
              <w:rPr>
                <w:sz w:val="18"/>
              </w:rPr>
              <w:t>Predicted, not accidental: Week 11 derives the ceiling d′_∞ = |p₁−p₂|/(p̄√φ) and the knee D = 1/(φp̄) in advance and reports both RMSEs with no result to hope for. Quadrature over 32 markers keeps measured accuracy usable at the ceiling. If overdispersion dominates, that is the headline negative result</w:t>
            </w:r>
          </w:p>
        </w:tc>
      </w:tr>
      <w:tr>
        <w:tc>
          <w:tcPr>
            <w:tcW w:type="dxa" w:w="459"/>
          </w:tcPr>
          <w:p>
            <w:pPr>
              <w:spacing w:after="20" w:before="20" w:line="240" w:lineRule="auto"/>
            </w:pPr>
            <w:r/>
            <w:r>
              <w:rPr>
                <w:sz w:val="18"/>
              </w:rPr>
              <w:t>R5</w:t>
            </w:r>
          </w:p>
        </w:tc>
        <w:tc>
          <w:tcPr>
            <w:tcW w:type="dxa" w:w="2064"/>
          </w:tcPr>
          <w:p>
            <w:pPr>
              <w:spacing w:after="20" w:before="20" w:line="240" w:lineRule="auto"/>
            </w:pPr>
            <w:r/>
            <w:r>
              <w:rPr>
                <w:sz w:val="18"/>
              </w:rPr>
              <w:t>Scope creep toward deep learning or a bigger dataset</w:t>
            </w:r>
          </w:p>
        </w:tc>
        <w:tc>
          <w:tcPr>
            <w:tcW w:type="dxa" w:w="1146"/>
          </w:tcPr>
          <w:p>
            <w:pPr>
              <w:spacing w:after="20" w:before="20" w:line="240" w:lineRule="auto"/>
            </w:pPr>
            <w:r/>
            <w:r>
              <w:rPr>
                <w:sz w:val="18"/>
              </w:rPr>
              <w:t>Medium</w:t>
            </w:r>
          </w:p>
        </w:tc>
        <w:tc>
          <w:tcPr>
            <w:tcW w:type="dxa" w:w="1070"/>
          </w:tcPr>
          <w:p>
            <w:pPr>
              <w:spacing w:after="20" w:before="20" w:line="240" w:lineRule="auto"/>
            </w:pPr>
            <w:r/>
            <w:r>
              <w:rPr>
                <w:sz w:val="18"/>
              </w:rPr>
              <w:t>High</w:t>
            </w:r>
          </w:p>
        </w:tc>
        <w:tc>
          <w:tcPr>
            <w:tcW w:type="dxa" w:w="5197"/>
          </w:tcPr>
          <w:p>
            <w:pPr>
              <w:spacing w:after="20" w:before="20" w:line="240" w:lineRule="auto"/>
            </w:pPr>
            <w:r/>
            <w:r>
              <w:rPr>
                <w:sz w:val="18"/>
              </w:rPr>
              <w:t>Classifiers are written from scratch so that the classifier is visibly not the bottleneck: Week 8 measures the logistic-to-Bayes gap. Aims, milestones and the report's word budget are fixed in advance; new methods are admissible only as a Week 15 future-work paragraph</w:t>
            </w:r>
          </w:p>
        </w:tc>
      </w:tr>
      <w:tr>
        <w:tc>
          <w:tcPr>
            <w:tcW w:type="dxa" w:w="459"/>
          </w:tcPr>
          <w:p>
            <w:pPr>
              <w:spacing w:after="20" w:before="20" w:line="240" w:lineRule="auto"/>
            </w:pPr>
            <w:r/>
            <w:r>
              <w:rPr>
                <w:sz w:val="18"/>
              </w:rPr>
              <w:t>R6</w:t>
            </w:r>
          </w:p>
        </w:tc>
        <w:tc>
          <w:tcPr>
            <w:tcW w:type="dxa" w:w="2064"/>
          </w:tcPr>
          <w:p>
            <w:pPr>
              <w:spacing w:after="20" w:before="20" w:line="240" w:lineRule="auto"/>
            </w:pPr>
            <w:r/>
            <w:r>
              <w:rPr>
                <w:sz w:val="18"/>
              </w:rPr>
              <w:t>The student's other commitments (school, exams, applications) compress the semester</w:t>
            </w:r>
          </w:p>
        </w:tc>
        <w:tc>
          <w:tcPr>
            <w:tcW w:type="dxa" w:w="1146"/>
          </w:tcPr>
          <w:p>
            <w:pPr>
              <w:spacing w:after="20" w:before="20" w:line="240" w:lineRule="auto"/>
            </w:pPr>
            <w:r/>
            <w:r>
              <w:rPr>
                <w:sz w:val="18"/>
              </w:rPr>
              <w:t>High</w:t>
            </w:r>
          </w:p>
        </w:tc>
        <w:tc>
          <w:tcPr>
            <w:tcW w:type="dxa" w:w="1070"/>
          </w:tcPr>
          <w:p>
            <w:pPr>
              <w:spacing w:after="20" w:before="20" w:line="240" w:lineRule="auto"/>
            </w:pPr>
            <w:r/>
            <w:r>
              <w:rPr>
                <w:sz w:val="18"/>
              </w:rPr>
              <w:t>Medium</w:t>
            </w:r>
          </w:p>
        </w:tc>
        <w:tc>
          <w:tcPr>
            <w:tcW w:type="dxa" w:w="5197"/>
          </w:tcPr>
          <w:p>
            <w:pPr>
              <w:spacing w:after="20" w:before="20" w:line="240" w:lineRule="auto"/>
            </w:pPr>
            <w:r/>
            <w:r>
              <w:rPr>
                <w:sz w:val="18"/>
              </w:rPr>
              <w:t>A stated 6–10 hour weekly budget with a published breakdown, so overrun is visible early; the weekly loop stays closable by cutting from the top of the triage list; biweekly check-ins catch drift within two weeks; buffer weeks absorb one bad week each</w:t>
            </w:r>
          </w:p>
        </w:tc>
      </w:tr>
      <w:tr>
        <w:tc>
          <w:tcPr>
            <w:tcW w:type="dxa" w:w="459"/>
          </w:tcPr>
          <w:p>
            <w:pPr>
              <w:spacing w:after="20" w:before="20" w:line="240" w:lineRule="auto"/>
            </w:pPr>
            <w:r/>
            <w:r>
              <w:rPr>
                <w:sz w:val="18"/>
              </w:rPr>
              <w:t>R7</w:t>
            </w:r>
          </w:p>
        </w:tc>
        <w:tc>
          <w:tcPr>
            <w:tcW w:type="dxa" w:w="2064"/>
          </w:tcPr>
          <w:p>
            <w:pPr>
              <w:spacing w:after="20" w:before="20" w:line="240" w:lineRule="auto"/>
            </w:pPr>
            <w:r/>
            <w:r>
              <w:rPr>
                <w:sz w:val="18"/>
              </w:rPr>
              <w:t>Hardware and environment: a laptop that cannot run the full sweeps, or an environment that will not install</w:t>
            </w:r>
          </w:p>
        </w:tc>
        <w:tc>
          <w:tcPr>
            <w:tcW w:type="dxa" w:w="1146"/>
          </w:tcPr>
          <w:p>
            <w:pPr>
              <w:spacing w:after="20" w:before="20" w:line="240" w:lineRule="auto"/>
            </w:pPr>
            <w:r/>
            <w:r>
              <w:rPr>
                <w:sz w:val="18"/>
              </w:rPr>
              <w:t>Low-medium</w:t>
            </w:r>
          </w:p>
        </w:tc>
        <w:tc>
          <w:tcPr>
            <w:tcW w:type="dxa" w:w="1070"/>
          </w:tcPr>
          <w:p>
            <w:pPr>
              <w:spacing w:after="20" w:before="20" w:line="240" w:lineRule="auto"/>
            </w:pPr>
            <w:r/>
            <w:r>
              <w:rPr>
                <w:sz w:val="18"/>
              </w:rPr>
              <w:t>Low-medium</w:t>
            </w:r>
          </w:p>
        </w:tc>
        <w:tc>
          <w:tcPr>
            <w:tcW w:type="dxa" w:w="5197"/>
          </w:tcPr>
          <w:p>
            <w:pPr>
              <w:spacing w:after="20" w:before="20" w:line="240" w:lineRule="auto"/>
            </w:pPr>
            <w:r/>
            <w:r>
              <w:rPr>
                <w:sz w:val="18"/>
              </w:rPr>
              <w:t>Runs on a laptop with NumPy, SciPy, matplotlib and pytest; the heavy dependency is isolated in requirements-optional.txt; a Colab fallback is documented in python/SETUP.md; fast=True is a sub-minute smoke mode, and a fast figure is never a reported figure</w:t>
            </w:r>
          </w:p>
        </w:tc>
      </w:tr>
      <w:tr>
        <w:tc>
          <w:tcPr>
            <w:tcW w:type="dxa" w:w="459"/>
          </w:tcPr>
          <w:p>
            <w:pPr>
              <w:spacing w:after="20" w:before="20" w:line="240" w:lineRule="auto"/>
            </w:pPr>
            <w:r/>
            <w:r>
              <w:rPr>
                <w:sz w:val="18"/>
              </w:rPr>
              <w:t>R8</w:t>
            </w:r>
          </w:p>
        </w:tc>
        <w:tc>
          <w:tcPr>
            <w:tcW w:type="dxa" w:w="2064"/>
          </w:tcPr>
          <w:p>
            <w:pPr>
              <w:spacing w:after="20" w:before="20" w:line="240" w:lineRule="auto"/>
            </w:pPr>
            <w:r/>
            <w:r>
              <w:rPr>
                <w:sz w:val="18"/>
              </w:rPr>
              <w:t>Mentor availability, or a check-in missed</w:t>
            </w:r>
          </w:p>
        </w:tc>
        <w:tc>
          <w:tcPr>
            <w:tcW w:type="dxa" w:w="1146"/>
          </w:tcPr>
          <w:p>
            <w:pPr>
              <w:spacing w:after="20" w:before="20" w:line="240" w:lineRule="auto"/>
            </w:pPr>
            <w:r/>
            <w:r>
              <w:rPr>
                <w:sz w:val="18"/>
              </w:rPr>
              <w:t>Low</w:t>
            </w:r>
          </w:p>
        </w:tc>
        <w:tc>
          <w:tcPr>
            <w:tcW w:type="dxa" w:w="1070"/>
          </w:tcPr>
          <w:p>
            <w:pPr>
              <w:spacing w:after="20" w:before="20" w:line="240" w:lineRule="auto"/>
            </w:pPr>
            <w:r/>
            <w:r>
              <w:rPr>
                <w:sz w:val="18"/>
              </w:rPr>
              <w:t>Medium</w:t>
            </w:r>
          </w:p>
        </w:tc>
        <w:tc>
          <w:tcPr>
            <w:tcW w:type="dxa" w:w="5197"/>
          </w:tcPr>
          <w:p>
            <w:pPr>
              <w:spacing w:after="20" w:before="20" w:line="240" w:lineRule="auto"/>
            </w:pPr>
            <w:r/>
            <w:r>
              <w:rPr>
                <w:sz w:val="18"/>
              </w:rPr>
              <w:t>The check-in is a standing biweekly issue with a fixed agenda, so a missed meeting still leaves a written record; milestone verification is a defined pass/fail list rather than an open conversation, so it re-runs quickly; a partial pass costs nothing</w:t>
            </w:r>
          </w:p>
        </w:tc>
      </w:tr>
    </w:tbl>
    <w:p>
      <w:pPr>
        <w:spacing w:after="0" w:before="0"/>
      </w:pPr>
    </w:p>
    <w:p>
      <w:pPr>
        <w:pStyle w:val="Heading1"/>
      </w:pPr>
      <w:r>
        <w:t>9. Deliverables</w:t>
      </w:r>
    </w:p>
    <w:p>
      <w:pPr>
        <w:pStyle w:val="ListBullet"/>
        <w:spacing w:after="40"/>
      </w:pPr>
      <w:r>
        <w:rPr>
          <w:b/>
        </w:rPr>
        <w:t xml:space="preserve">Code and data: </w:t>
      </w:r>
      <w:r>
        <w:t>the public repository at the URL above — the celldetect package, a green pytest suite, seeded experiment scripts, every committed figure, the bead tally CSVs as primary data, fifteen progress logs, the notebook scans, and the five tags.</w:t>
      </w:r>
    </w:p>
    <w:p>
      <w:pPr>
        <w:pStyle w:val="ListBullet"/>
        <w:spacing w:after="40"/>
      </w:pPr>
      <w:r>
        <w:rPr>
          <w:b/>
        </w:rPr>
        <w:t xml:space="preserve">Report: </w:t>
      </w:r>
      <w:r>
        <w:t>a 6–8 page self-contained report, readable by someone who has not taken this course: abstract 150 words; introduction and question 450 (F1); theory 600 (F2); methods four paragraphs of about 110; results 750 (F3–F6); limitations about 350; conclusion; references. F1–F6 are frozen into figures/report/ with CAPTIONS.md and SEEDS.json, byte-reproducible from one command.</w:t>
      </w:r>
    </w:p>
    <w:p>
      <w:pPr>
        <w:pStyle w:val="ListBullet"/>
        <w:spacing w:after="40"/>
      </w:pPr>
      <w:r>
        <w:rPr>
          <w:b/>
        </w:rPr>
        <w:t xml:space="preserve">Poster: </w:t>
      </w:r>
      <w:r>
        <w:t>three panels in figures/poster/ — P1_question, P2_result, P3_limits — printed at final size, under 300 words total, nothing below 18 pt, regenerated at poster font sizes rather than scaled up.</w:t>
      </w:r>
    </w:p>
    <w:p>
      <w:pPr>
        <w:pStyle w:val="ListBullet"/>
        <w:spacing w:after="40"/>
      </w:pPr>
      <w:r>
        <w:rPr>
          <w:b/>
        </w:rPr>
        <w:t xml:space="preserve">Talk: </w:t>
      </w:r>
      <w:r>
        <w:t>a twelve-minute talk to a timed structure, given once in full to the mentor with at least half an hour of adversarial Q&amp;A before it is given to anyone else.</w:t>
      </w:r>
    </w:p>
    <w:p>
      <w:pPr>
        <w:pStyle w:val="ListBullet"/>
        <w:spacing w:after="40"/>
      </w:pPr>
      <w:r>
        <w:rPr>
          <w:b/>
        </w:rPr>
        <w:t xml:space="preserve">Submission: </w:t>
      </w:r>
      <w:r>
        <w:t>a submission to a venue whose current requirements have been read (the Journal of Emerging Investigators author guidelines are written for exactly this kind of report), plus HANDOVER.md and a final README that let a stranger pick the project up.</w:t>
      </w:r>
    </w:p>
    <w:p>
      <w:pPr>
        <w:pStyle w:val="Heading1"/>
      </w:pPr>
      <w:r>
        <w:t>10. Success criteria</w:t>
      </w:r>
    </w:p>
    <w:p>
      <w:pPr>
        <w:spacing w:after="80"/>
      </w:pPr>
      <w:r>
        <w:rPr>
          <w:i w:val="0"/>
        </w:rPr>
        <w:t>Success is not high classification accuracy. Getting 99% on PBMC 3k takes an afternoon and teaches nothing, because the two cell types were chosen for being easy to tell apart; a high number here is a fact about the dataset, not about the student and not about the world. Any sentence in the report whose persuasive force comes from the size of an accuracy is a sentence in the wrong project.</w:t>
      </w:r>
    </w:p>
    <w:p>
      <w:pPr>
        <w:spacing w:after="80"/>
      </w:pPr>
      <w:r>
        <w:rPr>
          <w:i w:val="0"/>
        </w:rPr>
        <w:t>Success is a quantitative comparison between a derived prediction, a simulation and a physical experiment, with an honest account of where they diverge — four fitted exponents with intervals on one pair of log-log axes, and a stated boundary where the law stops holding. Concretely: Aim 1's derivation defended at a whiteboard without notes; the simulator's agreement or disagreement characterised against a tolerance fixed in advance; a real-data downsampling curve from raw integer counts with both predictions drawn on it; a measured bead exponent with an interval; every claim carrying a status and every proportion an interval; and a report that says plainly where the evidence runs out.</w:t>
      </w:r>
    </w:p>
    <w:p>
      <w:pPr>
        <w:spacing w:after="80"/>
      </w:pPr>
      <w:r>
        <w:rPr>
          <w:i w:val="0"/>
        </w:rPr>
        <w:t>A clean negative result is a strong outcome, and this is not a consolation clause. "Dropout breaks the Φ(d′/2) mapping below some depth" and "overdispersion caps what depth can buy, at a knee this project can compute" are exactly the kind of finding the report has a section reserved for. What the plan treats as a genuine failure is different and smaller: an unlabelled claim, a figure without a seed, a number without an interval, or a result described in language that promises more than the evidence delivers.</w:t>
      </w:r>
    </w:p>
    <w:p>
      <w:pPr>
        <w:pStyle w:val="Heading1"/>
      </w:pPr>
      <w:r>
        <w:t>11. Ethics and integrity</w:t>
      </w:r>
    </w:p>
    <w:p>
      <w:pPr>
        <w:pStyle w:val="Heading2"/>
      </w:pPr>
      <w:r>
        <w:t>11.1  AI-use policy</w:t>
      </w:r>
    </w:p>
    <w:p>
      <w:pPr>
        <w:spacing w:after="80"/>
      </w:pPr>
      <w:r>
        <w:rPr>
          <w:i w:val="0"/>
        </w:rPr>
        <w:t>The full policy is at docs/extras/ai-policy.html and rests on one principle with two halves. Disclosure is never punished: there is no penalty for writing "I asked an AI to explain the quadrature step and then re-derived it myself" in a progress log, not once and not every week. Undisclosed reliance is the one thing that is — presenting as one's own something one could not reproduce is the single failure this project treats as serious, more serious than a wrong answer, a failed milestone or a null result. Allowed: explanation, debugging help on a specific gap arrived at through the unstuck protocol, prose polish on text whose claims the student decided, and mechanical chores. Not allowed: generated derivations, generated implementations of the week's functions, generated interpretation of the student's own figures. Enforcement is structural — milestones are checked against what the student can explain, not against what runs. Every progress log ends with a "Tools used" line; it is never empty, and "none" is itself a disclosure. Model-produced citations are verified against the actual paper before they enter the repository, because invented references are structurally perfect and factually false.</w:t>
      </w:r>
    </w:p>
    <w:p>
      <w:pPr>
        <w:pStyle w:val="Heading2"/>
      </w:pPr>
      <w:r>
        <w:t>11.2  Data provenance</w:t>
      </w:r>
    </w:p>
    <w:p>
      <w:pPr>
        <w:pStyle w:val="ListBullet"/>
        <w:spacing w:after="40"/>
      </w:pPr>
      <w:r>
        <w:rPr>
          <w:b/>
        </w:rPr>
        <w:t xml:space="preserve">Real data: </w:t>
      </w:r>
      <w:r>
        <w:t>public 10x Genomics PBMC 3k, downloaded by fetch_pbmc3k.py and cited with its source; raw integer counts cached, never normalized; the cache is not committed, but the download's four summary numbers are recorded and dated in the log so the exact subset can be reconstructed. Labels are Leiden annotations at resolution 0.5 and are described as such wherever used.</w:t>
      </w:r>
    </w:p>
    <w:p>
      <w:pPr>
        <w:pStyle w:val="ListBullet"/>
        <w:spacing w:after="40"/>
      </w:pPr>
      <w:r>
        <w:rPr>
          <w:b/>
        </w:rPr>
        <w:t xml:space="preserve">Bead data: </w:t>
      </w:r>
      <w:r>
        <w:t>the tally CSVs in python/data/beads/ are primary data, not notes; the photographed sheets in notebook/beads/ are the originals and win any dispute with a transcription. Trials are never deleted — compromised runs are excluded by name and the analysis reported both ways.</w:t>
      </w:r>
    </w:p>
    <w:p>
      <w:pPr>
        <w:pStyle w:val="ListBullet"/>
        <w:spacing w:after="40"/>
      </w:pPr>
      <w:r>
        <w:rPr>
          <w:b/>
        </w:rPr>
        <w:t xml:space="preserve">Generated data: </w:t>
      </w:r>
      <w:r>
        <w:t>every figure carries its seed; every derived number in the report is traceable to a script, a seed and a sample size.</w:t>
      </w:r>
    </w:p>
    <w:p>
      <w:pPr>
        <w:pStyle w:val="Heading2"/>
      </w:pPr>
      <w:r>
        <w:t>11.3  Authorship and credit</w:t>
      </w:r>
    </w:p>
    <w:p>
      <w:pPr>
        <w:spacing w:after="80"/>
      </w:pPr>
      <w:r>
        <w:rPr>
          <w:i w:val="0"/>
        </w:rPr>
        <w:t>Vihaan Rao is the author of the report, the poster and the talk. Dr. Isac Artzi is the mentor, acknowledged as such, with the role described accurately — verification, questioning, scope decisions — rather than inflated or hidden. The bead helper is named in the acknowledgements: the arm is not possible without them, and their blinding is what makes it worth anything. Reference implementations in python/solutions/ are meant to be read after a real attempt, which is not cheating; presenting one as one's own at a milestone is. Sources are cited specifically enough to be checked: author, year, and where in the paper.</w:t>
      </w:r>
    </w:p>
    <w:p>
      <w:pPr>
        <w:pStyle w:val="Heading2"/>
      </w:pPr>
      <w:r>
        <w:t>11.4  Every claim carries a status</w:t>
      </w:r>
    </w:p>
    <w:p>
      <w:pPr>
        <w:spacing w:after="80"/>
      </w:pPr>
      <w:r>
        <w:rPr>
          <w:i w:val="0"/>
        </w:rPr>
        <w:t>Proved (derivable at the whiteboard on demand, from assumptions that can also be stated), cited (established by someone else, with the reference), observed (measured here, with a seed, a sample size and an interval, but not derived), or conjectured (believed, and stated plainly as a belief). An unlabelled claim is inadmissible — in the chapters, in the logs, in the report and in the talk — because the label is the only thing that stops a claim from drifting upward, and because it tells a reader what to do with it: check the derivation, check the source, check the seed and the interval, or disagree.</w:t>
      </w:r>
    </w:p>
    <w:p>
      <w:pPr>
        <w:pStyle w:val="Heading1"/>
      </w:pPr>
      <w:r>
        <w:t>12. Mentor check-in schedule, and what verification means</w:t>
      </w:r>
    </w:p>
    <w:p>
      <w:pPr>
        <w:pStyle w:val="Heading2"/>
      </w:pPr>
      <w:r>
        <w:t>12.1  The weekly loop that feeds the check-in</w:t>
      </w:r>
    </w:p>
    <w:p>
      <w:pPr>
        <w:spacing w:after="80"/>
      </w:pPr>
      <w:r>
        <w:rPr>
          <w:i w:val="0"/>
        </w:rPr>
        <w:t>Seven steps, in this order, every week, closed even in a bad week. The order is not decoration: each step produces the input the next one needs.</w:t>
      </w:r>
    </w:p>
    <w:p>
      <w:pPr>
        <w:pStyle w:val="ListNumber"/>
        <w:spacing w:after="40"/>
      </w:pPr>
      <w:r>
        <w:t>Read the week's chapter, playing with its labs; state the week's main result in one sentence without looking.</w:t>
      </w:r>
    </w:p>
    <w:p>
      <w:pPr>
        <w:pStyle w:val="ListNumber"/>
        <w:spacing w:after="40"/>
      </w:pPr>
      <w:r>
        <w:t>Work the exercises in the paper notebook before opening the solutions — including the attempts that failed, written down as failures.</w:t>
      </w:r>
    </w:p>
    <w:p>
      <w:pPr>
        <w:pStyle w:val="ListNumber"/>
        <w:spacing w:after="40"/>
      </w:pPr>
      <w:r>
        <w:t>Implement the week's TODOs in python/celldetect/; no NotImplementedError left in this week's functions.</w:t>
      </w:r>
    </w:p>
    <w:p>
      <w:pPr>
        <w:pStyle w:val="ListNumber"/>
        <w:spacing w:after="40"/>
      </w:pPr>
      <w:r>
        <w:t>Get pytest green — the week's module, then the whole suite — and say in one sentence what each test is checking.</w:t>
      </w:r>
    </w:p>
    <w:p>
      <w:pPr>
        <w:pStyle w:val="ListNumber"/>
        <w:spacing w:after="40"/>
      </w:pPr>
      <w:r>
        <w:t>Run the week's experiment; the figure exists, carries its seed in the corner, and is not stamped "not a result".</w:t>
      </w:r>
    </w:p>
    <w:p>
      <w:pPr>
        <w:pStyle w:val="ListNumber"/>
        <w:spacing w:after="40"/>
      </w:pPr>
      <w:r>
        <w:t>Commit code and figure together, with the seed in the message.</w:t>
      </w:r>
    </w:p>
    <w:p>
      <w:pPr>
        <w:pStyle w:val="ListNumber"/>
        <w:spacing w:after="40"/>
      </w:pPr>
      <w:r>
        <w:t>Write the progress log from progress/TEMPLATE.md, all headings filled including "Where I'm stuck" and the "Tools used" disclosure line.</w:t>
      </w:r>
    </w:p>
    <w:p>
      <w:pPr>
        <w:pStyle w:val="Heading2"/>
      </w:pPr>
      <w:r>
        <w:t>12.2  The schedule</w:t>
      </w:r>
    </w:p>
    <w:p>
      <w:pPr>
        <w:spacing w:after="80"/>
      </w:pPr>
      <w:r>
        <w:rPr>
          <w:i w:val="0"/>
        </w:rPr>
        <w:t>Check-ins are biweekly, opened as a GitHub issue from .github/ISSUE_TEMPLATE/checkin.md before the meeting, with both progress logs and notebook scans linked, the figures and seeds to be looked at listed, and the new bead data named with its trial counts. The windows close on milestone weeks, so a milestone is verified in its own week rather than a fortnight later.</w:t>
      </w:r>
    </w:p>
    <w:tbl>
      <w:tblPr>
        <w:tblStyle w:val="LightGrid-Accent1"/>
        <w:tblW w:type="auto" w:w="0"/>
        <w:tblLayout w:type="fixed"/>
        <w:tblLook w:firstColumn="1" w:firstRow="1" w:lastColumn="0" w:lastRow="0" w:noHBand="0" w:noVBand="1" w:val="04A0"/>
        <w:tblLayout w:type="fixed"/>
      </w:tblPr>
      <w:tblGrid>
        <w:gridCol w:w="1242"/>
        <w:gridCol w:w="1708"/>
        <w:gridCol w:w="6986"/>
      </w:tblGrid>
      <w:tr>
        <w:tc>
          <w:tcPr>
            <w:tcW w:type="dxa" w:w="1242"/>
          </w:tcPr>
          <w:p>
            <w:pPr>
              <w:spacing w:after="20" w:before="20" w:line="240" w:lineRule="auto"/>
            </w:pPr>
            <w:r/>
            <w:r>
              <w:rPr>
                <w:b/>
                <w:sz w:val="18"/>
              </w:rPr>
              <w:t>Check-in</w:t>
            </w:r>
          </w:p>
        </w:tc>
        <w:tc>
          <w:tcPr>
            <w:tcW w:type="dxa" w:w="1708"/>
          </w:tcPr>
          <w:p>
            <w:pPr>
              <w:spacing w:after="20" w:before="20" w:line="240" w:lineRule="auto"/>
            </w:pPr>
            <w:r/>
            <w:r>
              <w:rPr>
                <w:b/>
                <w:sz w:val="18"/>
              </w:rPr>
              <w:t>Weeks covered</w:t>
            </w:r>
          </w:p>
        </w:tc>
        <w:tc>
          <w:tcPr>
            <w:tcW w:type="dxa" w:w="6986"/>
          </w:tcPr>
          <w:p>
            <w:pPr>
              <w:spacing w:after="20" w:before="20" w:line="240" w:lineRule="auto"/>
            </w:pPr>
            <w:r/>
            <w:r>
              <w:rPr>
                <w:b/>
                <w:sz w:val="18"/>
              </w:rPr>
              <w:t>Verified at this meeting</w:t>
            </w:r>
          </w:p>
        </w:tc>
      </w:tr>
      <w:tr>
        <w:tc>
          <w:tcPr>
            <w:tcW w:type="dxa" w:w="1242"/>
          </w:tcPr>
          <w:p>
            <w:pPr>
              <w:spacing w:after="20" w:before="20" w:line="240" w:lineRule="auto"/>
            </w:pPr>
            <w:r/>
            <w:r>
              <w:rPr>
                <w:sz w:val="18"/>
              </w:rPr>
              <w:t>Kickoff</w:t>
            </w:r>
          </w:p>
        </w:tc>
        <w:tc>
          <w:tcPr>
            <w:tcW w:type="dxa" w:w="1708"/>
          </w:tcPr>
          <w:p>
            <w:pPr>
              <w:spacing w:after="20" w:before="20" w:line="240" w:lineRule="auto"/>
            </w:pPr>
            <w:r/>
            <w:r>
              <w:rPr>
                <w:sz w:val="18"/>
              </w:rPr>
              <w:t>Week 1</w:t>
            </w:r>
          </w:p>
        </w:tc>
        <w:tc>
          <w:tcPr>
            <w:tcW w:type="dxa" w:w="6986"/>
          </w:tcPr>
          <w:p>
            <w:pPr>
              <w:spacing w:after="20" w:before="20" w:line="240" w:lineRule="auto"/>
            </w:pPr>
            <w:r/>
            <w:r>
              <w:rPr>
                <w:sz w:val="18"/>
              </w:rPr>
              <w:t>Setup working; the question stated out loud in two sentences; the notebook opened; the first seeded figure committed</w:t>
            </w:r>
          </w:p>
        </w:tc>
      </w:tr>
      <w:tr>
        <w:tc>
          <w:tcPr>
            <w:tcW w:type="dxa" w:w="1242"/>
          </w:tcPr>
          <w:p>
            <w:pPr>
              <w:spacing w:after="20" w:before="20" w:line="240" w:lineRule="auto"/>
            </w:pPr>
            <w:r/>
            <w:r>
              <w:rPr>
                <w:sz w:val="18"/>
              </w:rPr>
              <w:t>C1</w:t>
            </w:r>
          </w:p>
        </w:tc>
        <w:tc>
          <w:tcPr>
            <w:tcW w:type="dxa" w:w="1708"/>
          </w:tcPr>
          <w:p>
            <w:pPr>
              <w:spacing w:after="20" w:before="20" w:line="240" w:lineRule="auto"/>
            </w:pPr>
            <w:r/>
            <w:r>
              <w:rPr>
                <w:sz w:val="18"/>
              </w:rPr>
              <w:t>Weeks 2–3</w:t>
            </w:r>
          </w:p>
        </w:tc>
        <w:tc>
          <w:tcPr>
            <w:tcW w:type="dxa" w:w="6986"/>
          </w:tcPr>
          <w:p>
            <w:pPr>
              <w:spacing w:after="20" w:before="20" w:line="240" w:lineRule="auto"/>
            </w:pPr>
            <w:r/>
            <w:r>
              <w:rPr>
                <w:sz w:val="18"/>
              </w:rPr>
              <w:t>M1 — the d′ ∝ √depth derivation at the whiteboard</w:t>
            </w:r>
          </w:p>
        </w:tc>
      </w:tr>
      <w:tr>
        <w:tc>
          <w:tcPr>
            <w:tcW w:type="dxa" w:w="1242"/>
          </w:tcPr>
          <w:p>
            <w:pPr>
              <w:spacing w:after="20" w:before="20" w:line="240" w:lineRule="auto"/>
            </w:pPr>
            <w:r/>
            <w:r>
              <w:rPr>
                <w:sz w:val="18"/>
              </w:rPr>
              <w:t>C2</w:t>
            </w:r>
          </w:p>
        </w:tc>
        <w:tc>
          <w:tcPr>
            <w:tcW w:type="dxa" w:w="1708"/>
          </w:tcPr>
          <w:p>
            <w:pPr>
              <w:spacing w:after="20" w:before="20" w:line="240" w:lineRule="auto"/>
            </w:pPr>
            <w:r/>
            <w:r>
              <w:rPr>
                <w:sz w:val="18"/>
              </w:rPr>
              <w:t>Weeks 4–5</w:t>
            </w:r>
          </w:p>
        </w:tc>
        <w:tc>
          <w:tcPr>
            <w:tcW w:type="dxa" w:w="6986"/>
          </w:tcPr>
          <w:p>
            <w:pPr>
              <w:spacing w:after="20" w:before="20" w:line="240" w:lineRule="auto"/>
            </w:pPr>
            <w:r/>
            <w:r>
              <w:rPr>
                <w:sz w:val="18"/>
              </w:rPr>
              <w:t>M2 — Aim 1 closed; tag theory-complete</w:t>
            </w:r>
          </w:p>
        </w:tc>
      </w:tr>
      <w:tr>
        <w:tc>
          <w:tcPr>
            <w:tcW w:type="dxa" w:w="1242"/>
          </w:tcPr>
          <w:p>
            <w:pPr>
              <w:spacing w:after="20" w:before="20" w:line="240" w:lineRule="auto"/>
            </w:pPr>
            <w:r/>
            <w:r>
              <w:rPr>
                <w:sz w:val="18"/>
              </w:rPr>
              <w:t>C3</w:t>
            </w:r>
          </w:p>
        </w:tc>
        <w:tc>
          <w:tcPr>
            <w:tcW w:type="dxa" w:w="1708"/>
          </w:tcPr>
          <w:p>
            <w:pPr>
              <w:spacing w:after="20" w:before="20" w:line="240" w:lineRule="auto"/>
            </w:pPr>
            <w:r/>
            <w:r>
              <w:rPr>
                <w:sz w:val="18"/>
              </w:rPr>
              <w:t>Weeks 6–7</w:t>
            </w:r>
          </w:p>
        </w:tc>
        <w:tc>
          <w:tcPr>
            <w:tcW w:type="dxa" w:w="6986"/>
          </w:tcPr>
          <w:p>
            <w:pPr>
              <w:spacing w:after="20" w:before="20" w:line="240" w:lineRule="auto"/>
            </w:pPr>
            <w:r/>
            <w:r>
              <w:rPr>
                <w:sz w:val="18"/>
              </w:rPr>
              <w:t>The bead design defended with a power number; the pilot run validated; the simulator's first accuracy-vs-theory figure</w:t>
            </w:r>
          </w:p>
        </w:tc>
      </w:tr>
      <w:tr>
        <w:tc>
          <w:tcPr>
            <w:tcW w:type="dxa" w:w="1242"/>
          </w:tcPr>
          <w:p>
            <w:pPr>
              <w:spacing w:after="20" w:before="20" w:line="240" w:lineRule="auto"/>
            </w:pPr>
            <w:r/>
            <w:r>
              <w:rPr>
                <w:sz w:val="18"/>
              </w:rPr>
              <w:t>C4</w:t>
            </w:r>
          </w:p>
        </w:tc>
        <w:tc>
          <w:tcPr>
            <w:tcW w:type="dxa" w:w="1708"/>
          </w:tcPr>
          <w:p>
            <w:pPr>
              <w:spacing w:after="20" w:before="20" w:line="240" w:lineRule="auto"/>
            </w:pPr>
            <w:r/>
            <w:r>
              <w:rPr>
                <w:sz w:val="18"/>
              </w:rPr>
              <w:t>Weeks 8–9</w:t>
            </w:r>
          </w:p>
        </w:tc>
        <w:tc>
          <w:tcPr>
            <w:tcW w:type="dxa" w:w="6986"/>
          </w:tcPr>
          <w:p>
            <w:pPr>
              <w:spacing w:after="20" w:before="20" w:line="240" w:lineRule="auto"/>
            </w:pPr>
            <w:r/>
            <w:r>
              <w:rPr>
                <w:sz w:val="18"/>
              </w:rPr>
              <w:t>M3 — the gate at 0.02, pass or documented fail; tag simulator-validated</w:t>
            </w:r>
          </w:p>
        </w:tc>
      </w:tr>
      <w:tr>
        <w:tc>
          <w:tcPr>
            <w:tcW w:type="dxa" w:w="1242"/>
          </w:tcPr>
          <w:p>
            <w:pPr>
              <w:spacing w:after="20" w:before="20" w:line="240" w:lineRule="auto"/>
            </w:pPr>
            <w:r/>
            <w:r>
              <w:rPr>
                <w:sz w:val="18"/>
              </w:rPr>
              <w:t>C5</w:t>
            </w:r>
          </w:p>
        </w:tc>
        <w:tc>
          <w:tcPr>
            <w:tcW w:type="dxa" w:w="1708"/>
          </w:tcPr>
          <w:p>
            <w:pPr>
              <w:spacing w:after="20" w:before="20" w:line="240" w:lineRule="auto"/>
            </w:pPr>
            <w:r/>
            <w:r>
              <w:rPr>
                <w:sz w:val="18"/>
              </w:rPr>
              <w:t>Weeks 10–11</w:t>
            </w:r>
          </w:p>
        </w:tc>
        <w:tc>
          <w:tcPr>
            <w:tcW w:type="dxa" w:w="6986"/>
          </w:tcPr>
          <w:p>
            <w:pPr>
              <w:spacing w:after="20" w:before="20" w:line="240" w:lineRule="auto"/>
            </w:pPr>
            <w:r/>
            <w:r>
              <w:rPr>
                <w:sz w:val="18"/>
              </w:rPr>
              <w:t>M4 — the downsampling curve, unstamped; Aim 2 closes</w:t>
            </w:r>
          </w:p>
        </w:tc>
      </w:tr>
      <w:tr>
        <w:tc>
          <w:tcPr>
            <w:tcW w:type="dxa" w:w="1242"/>
          </w:tcPr>
          <w:p>
            <w:pPr>
              <w:spacing w:after="20" w:before="20" w:line="240" w:lineRule="auto"/>
            </w:pPr>
            <w:r/>
            <w:r>
              <w:rPr>
                <w:sz w:val="18"/>
              </w:rPr>
              <w:t>C6</w:t>
            </w:r>
          </w:p>
        </w:tc>
        <w:tc>
          <w:tcPr>
            <w:tcW w:type="dxa" w:w="1708"/>
          </w:tcPr>
          <w:p>
            <w:pPr>
              <w:spacing w:after="20" w:before="20" w:line="240" w:lineRule="auto"/>
            </w:pPr>
            <w:r/>
            <w:r>
              <w:rPr>
                <w:sz w:val="18"/>
              </w:rPr>
              <w:t>Weeks 12–13</w:t>
            </w:r>
          </w:p>
        </w:tc>
        <w:tc>
          <w:tcPr>
            <w:tcW w:type="dxa" w:w="6986"/>
          </w:tcPr>
          <w:p>
            <w:pPr>
              <w:spacing w:after="20" w:before="20" w:line="240" w:lineRule="auto"/>
            </w:pPr>
            <w:r/>
            <w:r>
              <w:rPr>
                <w:sz w:val="18"/>
              </w:rPr>
              <w:t>M5 (tag evidence-complete) and M6 — the claim ledger defended line by line</w:t>
            </w:r>
          </w:p>
        </w:tc>
      </w:tr>
      <w:tr>
        <w:tc>
          <w:tcPr>
            <w:tcW w:type="dxa" w:w="1242"/>
          </w:tcPr>
          <w:p>
            <w:pPr>
              <w:spacing w:after="20" w:before="20" w:line="240" w:lineRule="auto"/>
            </w:pPr>
            <w:r/>
            <w:r>
              <w:rPr>
                <w:sz w:val="18"/>
              </w:rPr>
              <w:t>C7</w:t>
            </w:r>
          </w:p>
        </w:tc>
        <w:tc>
          <w:tcPr>
            <w:tcW w:type="dxa" w:w="1708"/>
          </w:tcPr>
          <w:p>
            <w:pPr>
              <w:spacing w:after="20" w:before="20" w:line="240" w:lineRule="auto"/>
            </w:pPr>
            <w:r/>
            <w:r>
              <w:rPr>
                <w:sz w:val="18"/>
              </w:rPr>
              <w:t>Week 14</w:t>
            </w:r>
          </w:p>
        </w:tc>
        <w:tc>
          <w:tcPr>
            <w:tcW w:type="dxa" w:w="6986"/>
          </w:tcPr>
          <w:p>
            <w:pPr>
              <w:spacing w:after="20" w:before="20" w:line="240" w:lineRule="auto"/>
            </w:pPr>
            <w:r/>
            <w:r>
              <w:rPr>
                <w:sz w:val="18"/>
              </w:rPr>
              <w:t>M7 — the freeze test run live; tag report-draft</w:t>
            </w:r>
          </w:p>
        </w:tc>
      </w:tr>
      <w:tr>
        <w:tc>
          <w:tcPr>
            <w:tcW w:type="dxa" w:w="1242"/>
          </w:tcPr>
          <w:p>
            <w:pPr>
              <w:spacing w:after="20" w:before="20" w:line="240" w:lineRule="auto"/>
            </w:pPr>
            <w:r/>
            <w:r>
              <w:rPr>
                <w:sz w:val="18"/>
              </w:rPr>
              <w:t>C8</w:t>
            </w:r>
          </w:p>
        </w:tc>
        <w:tc>
          <w:tcPr>
            <w:tcW w:type="dxa" w:w="1708"/>
          </w:tcPr>
          <w:p>
            <w:pPr>
              <w:spacing w:after="20" w:before="20" w:line="240" w:lineRule="auto"/>
            </w:pPr>
            <w:r/>
            <w:r>
              <w:rPr>
                <w:sz w:val="18"/>
              </w:rPr>
              <w:t>Week 15</w:t>
            </w:r>
          </w:p>
        </w:tc>
        <w:tc>
          <w:tcPr>
            <w:tcW w:type="dxa" w:w="6986"/>
          </w:tcPr>
          <w:p>
            <w:pPr>
              <w:spacing w:after="20" w:before="20" w:line="240" w:lineRule="auto"/>
            </w:pPr>
            <w:r/>
            <w:r>
              <w:rPr>
                <w:sz w:val="18"/>
              </w:rPr>
              <w:t>M8 — the talk given in full with adversarial Q&amp;A; tag v1.0</w:t>
            </w:r>
          </w:p>
        </w:tc>
      </w:tr>
    </w:tbl>
    <w:p>
      <w:pPr>
        <w:spacing w:after="0" w:before="0"/>
      </w:pPr>
    </w:p>
    <w:p>
      <w:pPr>
        <w:pStyle w:val="Heading2"/>
      </w:pPr>
      <w:r>
        <w:t>12.3  What verification means</w:t>
      </w:r>
    </w:p>
    <w:p>
      <w:pPr>
        <w:spacing w:after="80"/>
      </w:pPr>
      <w:r>
        <w:rPr>
          <w:i w:val="0"/>
        </w:rPr>
        <w:t>Verification means the mentor works down the chapter's verify box item by item, each pass or fail. In practice: a marker, a blank whiteboard, a closed notebook and about ten minutes of derivation in which getting stuck and thinking is allowed; a figure on screen with the question "what would this look like if the hypothesis were false?"; pytest run live, with the student saying what each test protects against; and the week's one decision read out, with its number.</w:t>
      </w:r>
    </w:p>
    <w:p>
      <w:pPr>
        <w:spacing w:after="80"/>
      </w:pPr>
      <w:r>
        <w:rPr>
          <w:i w:val="0"/>
        </w:rPr>
        <w:t>A partial pass is not a setback: it has found a fixable gap in Week 5 rather than in Week 14, which is the mechanism the schedule is built around. Stuck points arrive in the three-line form the log and the check-in template share — I can show X / I need Y / the gap is Z — so the meeting starts from a research question rather than a confession. Anything stuck for two weeks goes on the agenda automatically, by rule and not by judgement.</w:t>
      </w:r>
    </w:p>
    <w:p>
      <w:pPr>
        <w:spacing w:before="200"/>
      </w:pPr>
      <w:r>
        <w:rPr>
          <w:i/>
          <w:color w:val="505050"/>
          <w:sz w:val="18"/>
        </w:rPr>
        <w:t>Governing document. Chapters, code, data and logs: https://github.com/isac-artzi/SenSym-computational-biology  ·  Course site: https://isac-artzi.github.io/SenSym-computational-biology/  ·  Version 1.0, 13 August 2026.</w:t>
      </w:r>
    </w:p>
    <w:sectPr w:rsidR="00FC693F" w:rsidRPr="0006063C" w:rsidSect="00034616">
      <w:footerReference w:type="default" r:id="rId9"/>
      <w:pgSz w:w="12240" w:h="15840"/>
      <w:pgMar w:top="1152"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6060"/>
        <w:sz w:val="16"/>
      </w:rPr>
      <w:t>Repository: https://github.com/isac-artzi/SenSym-computational-biology   ·   Course site: https://isac-artzi.github.io/SenSym-computational-biology/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ascii="Calibri" w:hAnsi="Calibri"/>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Calibri" w:hAnsi="Calibri"/>
      <w:b/>
      <w:bCs/>
      <w:color w:val="2E5496"/>
      <w:sz w:val="24"/>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Calibri" w:hAnsi="Calibri"/>
      <w:b/>
      <w:bCs/>
      <w:color w:val="2E549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