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Your Research Project, in Brief</w:t>
      </w:r>
    </w:p>
    <w:p>
      <w:pPr>
        <w:spacing w:after="20"/>
        <w:jc w:val="center"/>
      </w:pPr>
      <w:r>
        <w:rPr>
          <w:color w:val="444444"/>
          <w:sz w:val="21"/>
        </w:rPr>
        <w:t>How Much Data Does It Take to Tell Two Cell Types Apart?</w:t>
      </w:r>
    </w:p>
    <w:p>
      <w:pPr>
        <w:spacing w:after="20"/>
        <w:jc w:val="center"/>
      </w:pPr>
      <w:r>
        <w:rPr>
          <w:color w:val="444444"/>
          <w:sz w:val="21"/>
        </w:rPr>
        <w:t>Vihaan Rao, student   ·   Dr. Isac Artzi, mentor   ·   15 weeks   ·   13 August 2026</w:t>
      </w:r>
    </w:p>
    <w:p>
      <w:pPr>
        <w:spacing w:after="20"/>
        <w:jc w:val="center"/>
      </w:pPr>
      <w:r>
        <w:rPr>
          <w:color w:val="444444"/>
          <w:sz w:val="21"/>
        </w:rPr>
        <w:t>Read this before Week 1, and again in Week 8</w:t>
      </w:r>
    </w:p>
    <w:p>
      <w:pPr>
        <w:spacing w:after="160"/>
        <w:jc w:val="center"/>
      </w:pPr>
      <w:r>
        <w:rPr>
          <w:color w:val="999999"/>
        </w:rPr>
        <w:t>————————————————————————————</w:t>
      </w:r>
    </w:p>
    <w:p>
      <w:pPr>
        <w:pStyle w:val="Heading1"/>
      </w:pPr>
      <w:r>
        <w:t>What you are doing, and why it is interesting</w:t>
      </w:r>
    </w:p>
    <w:p>
      <w:pPr>
        <w:spacing w:after="80"/>
      </w:pPr>
      <w:r>
        <w:rPr>
          <w:i w:val="0"/>
        </w:rPr>
        <w:t>A single-cell RNA sequencer does not measure a cell. It draws a sample from it — a few thousand molecules out of a few hundred thousand — and hands you the tally. So when you decide what type a cell is, you are not really doing machine learning. You are doing detection: two hypotheses, one noisy observation, one decision, which is the same problem radar engineers solved in the 1950s and the same problem a doctor solves reading a blurry scan.</w:t>
      </w:r>
    </w:p>
    <w:p>
      <w:pPr>
        <w:spacing w:after="80"/>
      </w:pPr>
      <w:r>
        <w:rPr>
          <w:i w:val="0"/>
        </w:rPr>
        <w:t>That reframing is the whole project, and it buys you something specific: an answer with no free parameters in it. You will not tune a model until the accuracy looks good. You will derive, in advance, how well any classifier can possibly do given the data it was handed — then test that prediction three independent ways. On paper. In a simulator you write yourself. And on a kitchen table, with two jars of coloured beads, where nothing is simulated and no software can be wrong.</w:t>
      </w:r>
    </w:p>
    <w:p>
      <w:pPr>
        <w:spacing w:after="80"/>
      </w:pPr>
      <w:r>
        <w:rPr>
          <w:i w:val="0"/>
        </w:rPr>
        <w:t>The interesting part is not that the theory works. It is where it stops working, and you will find two places: dropout at low depth, where the accuracy formula bends, and overdispersion in real cells, where deeper sequencing stops buying anything at all. Those are the results worth having, and they are the ones people with sequencing budgets actually care about.</w:t>
      </w:r>
    </w:p>
    <w:p>
      <w:pPr>
        <w:pStyle w:val="Heading1"/>
      </w:pPr>
      <w:r>
        <w:t>The one formula</w:t>
      </w:r>
    </w:p>
    <w:p>
      <w:pPr>
        <w:spacing w:before="60" w:after="120"/>
        <w:jc w:val="center"/>
      </w:pPr>
      <w:r>
        <w:rPr>
          <w:i/>
          <w:sz w:val="22"/>
        </w:rPr>
        <w:t>d′ ∝ √(depth × k)     and     accuracy = Φ(d′/2)</w:t>
      </w:r>
    </w:p>
    <w:p>
      <w:pPr>
        <w:spacing w:after="80"/>
      </w:pPr>
      <w:r>
        <w:rPr>
          <w:i w:val="0"/>
        </w:rPr>
        <w:t>In words: d′ is how far apart two cell types are, measured in units of the noise. The signal between two types grows in proportion to how much data you collect, but the noise grows only as the square root of it — so the ratio, which is what you can actually see, grows as a square root too. Doubling how well you can tell two cell types apart costs four times the data. Not twice. Four times, and the same 4× rule applies whether the data is sequencing depth, marker genes, or beads out of a jar.</w:t>
      </w:r>
    </w:p>
    <w:p>
      <w:pPr>
        <w:spacing w:after="80"/>
      </w:pPr>
      <w:r>
        <w:rPr>
          <w:i w:val="0"/>
        </w:rPr>
        <w:t>A square root is a slow, unglamorous function, and the honest reaction to the numbers is mild disappointment. Twenty times as many beads buys you twenty-one percentage points. That disappointment is the finding. It is a statement about what data can and cannot buy, and it is true whether or not anyone likes it.</w:t>
      </w:r>
    </w:p>
    <w:p>
      <w:pPr>
        <w:pStyle w:val="Heading1"/>
      </w:pPr>
      <w:r>
        <w:t>What you will have at the end</w:t>
      </w:r>
    </w:p>
    <w:p>
      <w:pPr>
        <w:pStyle w:val="ListBullet"/>
        <w:spacing w:after="40"/>
      </w:pPr>
      <w:r>
        <w:rPr>
          <w:b/>
        </w:rPr>
        <w:t xml:space="preserve">A repository. </w:t>
      </w:r>
      <w:r>
        <w:t>public, seeded, tested, with every figure regenerable from one command by a stranger with no help from you.</w:t>
      </w:r>
    </w:p>
    <w:p>
      <w:pPr>
        <w:pStyle w:val="ListBullet"/>
        <w:spacing w:after="40"/>
      </w:pPr>
      <w:r>
        <w:rPr>
          <w:b/>
        </w:rPr>
        <w:t xml:space="preserve">A report. </w:t>
      </w:r>
      <w:r>
        <w:t>six to eight pages, self-contained, readable by someone who has never taken this course, with a limitations section that names the weaknesses before a reader finds them.</w:t>
      </w:r>
    </w:p>
    <w:p>
      <w:pPr>
        <w:pStyle w:val="ListBullet"/>
        <w:spacing w:after="40"/>
      </w:pPr>
      <w:r>
        <w:rPr>
          <w:b/>
        </w:rPr>
        <w:t xml:space="preserve">A poster. </w:t>
      </w:r>
      <w:r>
        <w:t>three panels — question, result, limits — legible from a metre away in thirty seconds.</w:t>
      </w:r>
    </w:p>
    <w:p>
      <w:pPr>
        <w:pStyle w:val="ListBullet"/>
        <w:spacing w:after="40"/>
      </w:pPr>
      <w:r>
        <w:rPr>
          <w:b/>
        </w:rPr>
        <w:t xml:space="preserve">A talk. </w:t>
      </w:r>
      <w:r>
        <w:t>twelve minutes, timed, followed by half an hour of your mentor attacking it.</w:t>
      </w:r>
    </w:p>
    <w:p>
      <w:pPr>
        <w:spacing w:after="80"/>
      </w:pPr>
      <w:r>
        <w:rPr>
          <w:i w:val="0"/>
        </w:rPr>
        <w:t>And, more important than any of the four: the ability to defend all of them. At every check-in you will be asked to derive something at a whiteboard with your notebook closed, and to explain why a particular line of your own code is there. That is not a test of memory. It is the difference between having done a project and having a project that was done near you.</w:t>
      </w:r>
    </w:p>
    <w:p>
      <w:pPr>
        <w:pStyle w:val="Heading1"/>
      </w:pPr>
      <w:r>
        <w:t>What each week costs</w:t>
      </w:r>
    </w:p>
    <w:p>
      <w:pPr>
        <w:spacing w:after="80"/>
      </w:pPr>
      <w:r>
        <w:rPr>
          <w:i w:val="0"/>
        </w:rPr>
        <w:t>Plan on 6 to 10 hours per week. Milestone weeks (3, 5, 9, 11, 12, 13, 14, 15) run at the top of the range. Roughly half of the time is writing — notebook, log, eventually the report — and that is not overhead added to the research; in a research project it is a large part of what the research is.</w:t>
      </w:r>
    </w:p>
    <w:tbl>
      <w:tblPr>
        <w:tblStyle w:val="LightGrid-Accent1"/>
        <w:tblW w:type="auto" w:w="0"/>
        <w:tblLayout w:type="fixed"/>
        <w:tblLook w:firstColumn="1" w:firstRow="1" w:lastColumn="0" w:lastRow="0" w:noHBand="0" w:noVBand="1" w:val="04A0"/>
        <w:tblLayout w:type="fixed"/>
      </w:tblPr>
      <w:tblGrid>
        <w:gridCol w:w="3881"/>
        <w:gridCol w:w="931"/>
        <w:gridCol w:w="1087"/>
        <w:gridCol w:w="4036"/>
      </w:tblGrid>
      <w:tr>
        <w:tc>
          <w:tcPr>
            <w:tcW w:type="dxa" w:w="3881"/>
          </w:tcPr>
          <w:p>
            <w:pPr>
              <w:spacing w:after="20" w:before="20" w:line="240" w:lineRule="auto"/>
            </w:pPr>
            <w:r/>
            <w:r>
              <w:rPr>
                <w:b/>
                <w:sz w:val="18"/>
              </w:rPr>
              <w:t>Activity</w:t>
            </w:r>
          </w:p>
        </w:tc>
        <w:tc>
          <w:tcPr>
            <w:tcW w:type="dxa" w:w="931"/>
          </w:tcPr>
          <w:p>
            <w:pPr>
              <w:spacing w:after="20" w:before="20" w:line="240" w:lineRule="auto"/>
            </w:pPr>
            <w:r/>
            <w:r>
              <w:rPr>
                <w:b/>
                <w:sz w:val="18"/>
              </w:rPr>
              <w:t>Typical</w:t>
            </w:r>
          </w:p>
        </w:tc>
        <w:tc>
          <w:tcPr>
            <w:tcW w:type="dxa" w:w="1087"/>
          </w:tcPr>
          <w:p>
            <w:pPr>
              <w:spacing w:after="20" w:before="20" w:line="240" w:lineRule="auto"/>
            </w:pPr>
            <w:r/>
            <w:r>
              <w:rPr>
                <w:b/>
                <w:sz w:val="18"/>
              </w:rPr>
              <w:t>Range</w:t>
            </w:r>
          </w:p>
        </w:tc>
        <w:tc>
          <w:tcPr>
            <w:tcW w:type="dxa" w:w="4036"/>
          </w:tcPr>
          <w:p>
            <w:pPr>
              <w:spacing w:after="20" w:before="20" w:line="240" w:lineRule="auto"/>
            </w:pPr>
            <w:r/>
            <w:r>
              <w:rPr>
                <w:b/>
                <w:sz w:val="18"/>
              </w:rPr>
              <w:t>Note</w:t>
            </w:r>
          </w:p>
        </w:tc>
      </w:tr>
      <w:tr>
        <w:tc>
          <w:tcPr>
            <w:tcW w:type="dxa" w:w="3881"/>
          </w:tcPr>
          <w:p>
            <w:pPr>
              <w:spacing w:after="20" w:before="20" w:line="240" w:lineRule="auto"/>
            </w:pPr>
            <w:r/>
            <w:r>
              <w:rPr>
                <w:sz w:val="18"/>
              </w:rPr>
              <w:t>Reading the chapter and playing with its labs</w:t>
            </w:r>
          </w:p>
        </w:tc>
        <w:tc>
          <w:tcPr>
            <w:tcW w:type="dxa" w:w="931"/>
          </w:tcPr>
          <w:p>
            <w:pPr>
              <w:spacing w:after="20" w:before="20" w:line="240" w:lineRule="auto"/>
            </w:pPr>
            <w:r/>
            <w:r>
              <w:rPr>
                <w:sz w:val="18"/>
              </w:rPr>
              <w:t>1.5 h</w:t>
            </w:r>
          </w:p>
        </w:tc>
        <w:tc>
          <w:tcPr>
            <w:tcW w:type="dxa" w:w="1087"/>
          </w:tcPr>
          <w:p>
            <w:pPr>
              <w:spacing w:after="20" w:before="20" w:line="240" w:lineRule="auto"/>
            </w:pPr>
            <w:r/>
            <w:r>
              <w:rPr>
                <w:sz w:val="18"/>
              </w:rPr>
              <w:t>1–2 h</w:t>
            </w:r>
          </w:p>
        </w:tc>
        <w:tc>
          <w:tcPr>
            <w:tcW w:type="dxa" w:w="4036"/>
          </w:tcPr>
          <w:p>
            <w:pPr>
              <w:spacing w:after="20" w:before="20" w:line="240" w:lineRule="auto"/>
            </w:pPr>
            <w:r/>
            <w:r>
              <w:rPr>
                <w:sz w:val="18"/>
              </w:rPr>
              <w:t>Two sittings with a night in between beats one long one</w:t>
            </w:r>
          </w:p>
        </w:tc>
      </w:tr>
      <w:tr>
        <w:tc>
          <w:tcPr>
            <w:tcW w:type="dxa" w:w="3881"/>
          </w:tcPr>
          <w:p>
            <w:pPr>
              <w:spacing w:after="20" w:before="20" w:line="240" w:lineRule="auto"/>
            </w:pPr>
            <w:r/>
            <w:r>
              <w:rPr>
                <w:sz w:val="18"/>
              </w:rPr>
              <w:t>Exercises in the paper notebook</w:t>
            </w:r>
          </w:p>
        </w:tc>
        <w:tc>
          <w:tcPr>
            <w:tcW w:type="dxa" w:w="931"/>
          </w:tcPr>
          <w:p>
            <w:pPr>
              <w:spacing w:after="20" w:before="20" w:line="240" w:lineRule="auto"/>
            </w:pPr>
            <w:r/>
            <w:r>
              <w:rPr>
                <w:sz w:val="18"/>
              </w:rPr>
              <w:t>2.5 h</w:t>
            </w:r>
          </w:p>
        </w:tc>
        <w:tc>
          <w:tcPr>
            <w:tcW w:type="dxa" w:w="1087"/>
          </w:tcPr>
          <w:p>
            <w:pPr>
              <w:spacing w:after="20" w:before="20" w:line="240" w:lineRule="auto"/>
            </w:pPr>
            <w:r/>
            <w:r>
              <w:rPr>
                <w:sz w:val="18"/>
              </w:rPr>
              <w:t>2–3.5 h</w:t>
            </w:r>
          </w:p>
        </w:tc>
        <w:tc>
          <w:tcPr>
            <w:tcW w:type="dxa" w:w="4036"/>
          </w:tcPr>
          <w:p>
            <w:pPr>
              <w:spacing w:after="20" w:before="20" w:line="240" w:lineRule="auto"/>
            </w:pPr>
            <w:r/>
            <w:r>
              <w:rPr>
                <w:sz w:val="18"/>
              </w:rPr>
              <w:t>The ★★★ exercise alone can be an hour, and is the one to defer in a hard week</w:t>
            </w:r>
          </w:p>
        </w:tc>
      </w:tr>
      <w:tr>
        <w:tc>
          <w:tcPr>
            <w:tcW w:type="dxa" w:w="3881"/>
          </w:tcPr>
          <w:p>
            <w:pPr>
              <w:spacing w:after="20" w:before="20" w:line="240" w:lineRule="auto"/>
            </w:pPr>
            <w:r/>
            <w:r>
              <w:rPr>
                <w:sz w:val="18"/>
              </w:rPr>
              <w:t>Implementing the TODOs, getting pytest green</w:t>
            </w:r>
          </w:p>
        </w:tc>
        <w:tc>
          <w:tcPr>
            <w:tcW w:type="dxa" w:w="931"/>
          </w:tcPr>
          <w:p>
            <w:pPr>
              <w:spacing w:after="20" w:before="20" w:line="240" w:lineRule="auto"/>
            </w:pPr>
            <w:r/>
            <w:r>
              <w:rPr>
                <w:sz w:val="18"/>
              </w:rPr>
              <w:t>2 h</w:t>
            </w:r>
          </w:p>
        </w:tc>
        <w:tc>
          <w:tcPr>
            <w:tcW w:type="dxa" w:w="1087"/>
          </w:tcPr>
          <w:p>
            <w:pPr>
              <w:spacing w:after="20" w:before="20" w:line="240" w:lineRule="auto"/>
            </w:pPr>
            <w:r/>
            <w:r>
              <w:rPr>
                <w:sz w:val="18"/>
              </w:rPr>
              <w:t>1.5–3 h</w:t>
            </w:r>
          </w:p>
        </w:tc>
        <w:tc>
          <w:tcPr>
            <w:tcW w:type="dxa" w:w="4036"/>
          </w:tcPr>
          <w:p>
            <w:pPr>
              <w:spacing w:after="20" w:before="20" w:line="240" w:lineRule="auto"/>
            </w:pPr>
            <w:r/>
            <w:r>
              <w:rPr>
                <w:sz w:val="18"/>
              </w:rPr>
              <w:t>Enormous variance. One dtype bug is forty minutes</w:t>
            </w:r>
          </w:p>
        </w:tc>
      </w:tr>
      <w:tr>
        <w:tc>
          <w:tcPr>
            <w:tcW w:type="dxa" w:w="3881"/>
          </w:tcPr>
          <w:p>
            <w:pPr>
              <w:spacing w:after="20" w:before="20" w:line="240" w:lineRule="auto"/>
            </w:pPr>
            <w:r/>
            <w:r>
              <w:rPr>
                <w:sz w:val="18"/>
              </w:rPr>
              <w:t>Running the experiment, checking the figure, committing</w:t>
            </w:r>
          </w:p>
        </w:tc>
        <w:tc>
          <w:tcPr>
            <w:tcW w:type="dxa" w:w="931"/>
          </w:tcPr>
          <w:p>
            <w:pPr>
              <w:spacing w:after="20" w:before="20" w:line="240" w:lineRule="auto"/>
            </w:pPr>
            <w:r/>
            <w:r>
              <w:rPr>
                <w:sz w:val="18"/>
              </w:rPr>
              <w:t>0.5 h</w:t>
            </w:r>
          </w:p>
        </w:tc>
        <w:tc>
          <w:tcPr>
            <w:tcW w:type="dxa" w:w="1087"/>
          </w:tcPr>
          <w:p>
            <w:pPr>
              <w:spacing w:after="20" w:before="20" w:line="240" w:lineRule="auto"/>
            </w:pPr>
            <w:r/>
            <w:r>
              <w:rPr>
                <w:sz w:val="18"/>
              </w:rPr>
              <w:t>0.5–1 h</w:t>
            </w:r>
          </w:p>
        </w:tc>
        <w:tc>
          <w:tcPr>
            <w:tcW w:type="dxa" w:w="4036"/>
          </w:tcPr>
          <w:p>
            <w:pPr>
              <w:spacing w:after="20" w:before="20" w:line="240" w:lineRule="auto"/>
            </w:pPr>
            <w:r/>
            <w:r>
              <w:rPr>
                <w:sz w:val="18"/>
              </w:rPr>
              <w:t>Longer the first time a script runs at full parameters</w:t>
            </w:r>
          </w:p>
        </w:tc>
      </w:tr>
      <w:tr>
        <w:tc>
          <w:tcPr>
            <w:tcW w:type="dxa" w:w="3881"/>
          </w:tcPr>
          <w:p>
            <w:pPr>
              <w:spacing w:after="20" w:before="20" w:line="240" w:lineRule="auto"/>
            </w:pPr>
            <w:r/>
            <w:r>
              <w:rPr>
                <w:sz w:val="18"/>
              </w:rPr>
              <w:t>Progress log</w:t>
            </w:r>
          </w:p>
        </w:tc>
        <w:tc>
          <w:tcPr>
            <w:tcW w:type="dxa" w:w="931"/>
          </w:tcPr>
          <w:p>
            <w:pPr>
              <w:spacing w:after="20" w:before="20" w:line="240" w:lineRule="auto"/>
            </w:pPr>
            <w:r/>
            <w:r>
              <w:rPr>
                <w:sz w:val="18"/>
              </w:rPr>
              <w:t>0.5 h</w:t>
            </w:r>
          </w:p>
        </w:tc>
        <w:tc>
          <w:tcPr>
            <w:tcW w:type="dxa" w:w="1087"/>
          </w:tcPr>
          <w:p>
            <w:pPr>
              <w:spacing w:after="20" w:before="20" w:line="240" w:lineRule="auto"/>
            </w:pPr>
            <w:r/>
            <w:r>
              <w:rPr>
                <w:sz w:val="18"/>
              </w:rPr>
              <w:t>0.3–0.75 h</w:t>
            </w:r>
          </w:p>
        </w:tc>
        <w:tc>
          <w:tcPr>
            <w:tcW w:type="dxa" w:w="4036"/>
          </w:tcPr>
          <w:p>
            <w:pPr>
              <w:spacing w:after="20" w:before="20" w:line="240" w:lineRule="auto"/>
            </w:pPr>
            <w:r/>
            <w:r>
              <w:rPr>
                <w:sz w:val="18"/>
              </w:rPr>
              <w:t>Do it the same day. Written on Wednesday about last Saturday, it is fiction</w:t>
            </w:r>
          </w:p>
        </w:tc>
      </w:tr>
      <w:tr>
        <w:tc>
          <w:tcPr>
            <w:tcW w:type="dxa" w:w="3881"/>
          </w:tcPr>
          <w:p>
            <w:pPr>
              <w:spacing w:after="20" w:before="20" w:line="240" w:lineRule="auto"/>
            </w:pPr>
            <w:r/>
            <w:r>
              <w:rPr>
                <w:sz w:val="18"/>
              </w:rPr>
              <w:t>Bead runs (Weeks 6–12 only)</w:t>
            </w:r>
          </w:p>
        </w:tc>
        <w:tc>
          <w:tcPr>
            <w:tcW w:type="dxa" w:w="931"/>
          </w:tcPr>
          <w:p>
            <w:pPr>
              <w:spacing w:after="20" w:before="20" w:line="240" w:lineRule="auto"/>
            </w:pPr>
            <w:r/>
            <w:r>
              <w:rPr>
                <w:sz w:val="18"/>
              </w:rPr>
              <w:t>1 h</w:t>
            </w:r>
          </w:p>
        </w:tc>
        <w:tc>
          <w:tcPr>
            <w:tcW w:type="dxa" w:w="1087"/>
          </w:tcPr>
          <w:p>
            <w:pPr>
              <w:spacing w:after="20" w:before="20" w:line="240" w:lineRule="auto"/>
            </w:pPr>
            <w:r/>
            <w:r>
              <w:rPr>
                <w:sz w:val="18"/>
              </w:rPr>
              <w:t>0.5–1.5 h</w:t>
            </w:r>
          </w:p>
        </w:tc>
        <w:tc>
          <w:tcPr>
            <w:tcW w:type="dxa" w:w="4036"/>
          </w:tcPr>
          <w:p>
            <w:pPr>
              <w:spacing w:after="20" w:before="20" w:line="240" w:lineRule="auto"/>
            </w:pPr>
            <w:r/>
            <w:r>
              <w:rPr>
                <w:sz w:val="18"/>
              </w:rPr>
              <w:t>About 13 hours of table time in total, spread across those weeks</w:t>
            </w:r>
          </w:p>
        </w:tc>
      </w:tr>
      <w:tr>
        <w:tc>
          <w:tcPr>
            <w:tcW w:type="dxa" w:w="3881"/>
          </w:tcPr>
          <w:p>
            <w:pPr>
              <w:spacing w:after="20" w:before="20" w:line="240" w:lineRule="auto"/>
            </w:pPr>
            <w:r/>
            <w:r>
              <w:rPr>
                <w:sz w:val="18"/>
              </w:rPr>
              <w:t>Total</w:t>
            </w:r>
          </w:p>
        </w:tc>
        <w:tc>
          <w:tcPr>
            <w:tcW w:type="dxa" w:w="931"/>
          </w:tcPr>
          <w:p>
            <w:pPr>
              <w:spacing w:after="20" w:before="20" w:line="240" w:lineRule="auto"/>
            </w:pPr>
            <w:r/>
            <w:r>
              <w:rPr>
                <w:sz w:val="18"/>
              </w:rPr>
              <w:t>7–8 h</w:t>
            </w:r>
          </w:p>
        </w:tc>
        <w:tc>
          <w:tcPr>
            <w:tcW w:type="dxa" w:w="1087"/>
          </w:tcPr>
          <w:p>
            <w:pPr>
              <w:spacing w:after="20" w:before="20" w:line="240" w:lineRule="auto"/>
            </w:pPr>
            <w:r/>
            <w:r>
              <w:rPr>
                <w:sz w:val="18"/>
              </w:rPr>
              <w:t>6–10 h</w:t>
            </w:r>
          </w:p>
        </w:tc>
        <w:tc>
          <w:tcPr>
            <w:tcW w:type="dxa" w:w="4036"/>
          </w:tcPr>
          <w:p>
            <w:pPr>
              <w:spacing w:after="20" w:before="20" w:line="240" w:lineRule="auto"/>
            </w:pPr>
            <w:r/>
            <w:r>
              <w:rPr>
                <w:sz w:val="18"/>
              </w:rPr>
              <w:t>Stop when the time is spent, and write down what you cut</w:t>
            </w:r>
          </w:p>
        </w:tc>
      </w:tr>
    </w:tbl>
    <w:p>
      <w:pPr>
        <w:spacing w:after="0" w:before="0"/>
      </w:pPr>
    </w:p>
    <w:p>
      <w:pPr>
        <w:pStyle w:val="Heading1"/>
      </w:pPr>
      <w:r>
        <w:t>The three habits that decide whether this works</w:t>
      </w:r>
    </w:p>
    <w:p>
      <w:pPr>
        <w:pStyle w:val="ListNumber"/>
        <w:spacing w:after="40"/>
      </w:pPr>
      <w:r>
        <w:rPr>
          <w:b/>
        </w:rPr>
        <w:t xml:space="preserve">1. Write everything down, including the failures. </w:t>
      </w:r>
      <w:r>
        <w:t>The notebook is the primary record, and a failed derivation written out in full sentences is worth more to it than a correct one you can no longer reconstruct. Scan it weekly. In Week 14 the failures become the "difficulties encountered" paragraph, and by then you will notice that your Week 12 questions are much sharper than your Week 3 ones. That is the project working.</w:t>
      </w:r>
    </w:p>
    <w:p>
      <w:pPr>
        <w:pStyle w:val="ListNumber"/>
        <w:spacing w:after="40"/>
      </w:pPr>
      <w:r>
        <w:rPr>
          <w:b/>
        </w:rPr>
        <w:t xml:space="preserve">2. Label every claim. </w:t>
      </w:r>
      <w:r>
        <w:t>Proved (you can derive it at a whiteboard, on demand, without notes), cited (someone else established it, and here is the reference), observed (you measured it, with a seed and an interval, and did not derive it), or conjectured (you believe it and you say so). An unlabelled claim is inadmissible, because without a label claims drift upward one level per retelling — conjectured in your notebook, observed in your slides, proved in your abstract — and nobody lies at any step.</w:t>
      </w:r>
    </w:p>
    <w:p>
      <w:pPr>
        <w:pStyle w:val="ListNumber"/>
        <w:spacing w:after="40"/>
      </w:pPr>
      <w:r>
        <w:rPr>
          <w:b/>
        </w:rPr>
        <w:t xml:space="preserve">3. Never report a number without an interval. </w:t>
      </w:r>
      <w:r>
        <w:t>34 out of 40 correct is not 85%; it is 85% with a 95% interval from about 71% to 93%, and the second version is the only one a reader can use. Same for every seed, every fit, every exponent. A number without an interval is a rumour that happens to have decimal places.</w:t>
      </w:r>
    </w:p>
    <w:p>
      <w:pPr>
        <w:pStyle w:val="Heading1"/>
      </w:pPr>
      <w:r>
        <w:t>When you are stuck</w:t>
      </w:r>
    </w:p>
    <w:p>
      <w:pPr>
        <w:spacing w:after="80"/>
      </w:pPr>
      <w:r>
        <w:rPr>
          <w:i w:val="0"/>
        </w:rPr>
        <w:t>Being stuck is the normal state of research, not evidence that something has gone wrong. There is a protocol for it (docs/extras/unstuck.html) and it takes about ninety minutes: explain the problem out loud to an object; write the gap template; compute the smallest possible case numerically; check your assumptions against the chapter's; change one thing at a time. Then stop. The third hour on a stuck problem has a terrible return and it is stealing time from the six other things the week needs.</w:t>
      </w:r>
    </w:p>
    <w:p>
      <w:pPr>
        <w:spacing w:after="80"/>
      </w:pPr>
      <w:r>
        <w:rPr>
          <w:i w:val="0"/>
        </w:rPr>
        <w:t>The gap template is three lines, in full sentences: I can show X. I need Y. The gap is Z. A filled-in template is a research question, not a confession, and it is what turns "I'm stuck on Week 5" into something a mentor can answer in one sentence. Anything still stuck two weeks later goes on the check-in agenda automatically — by rule, not because you decided it was serious enough. Most things that take four weeks would have taken twenty minutes of somebody else's time in the first week, and making that trade cheap is the entire point of having a mentor.</w:t>
      </w:r>
    </w:p>
    <w:p>
      <w:pPr>
        <w:spacing w:after="80"/>
      </w:pPr>
      <w:r>
        <w:rPr>
          <w:i w:val="0"/>
        </w:rPr>
        <w:t>On AI tools: use them for what the policy allows, and disclose every use on the "Tools used" line of your progress log. Disclosure is never punished — not once, not every week. Undisclosed reliance is the one thing that is, because milestones are checked against what you can explain, not against what runs, and code you cannot explain buys you nothing at a check-in anyway.</w:t>
      </w:r>
    </w:p>
    <w:p>
      <w:pPr>
        <w:pStyle w:val="Heading1"/>
      </w:pPr>
      <w:r>
        <w:t>What success looks like — and what it does not</w:t>
      </w:r>
    </w:p>
    <w:p>
      <w:pPr>
        <w:spacing w:after="80"/>
      </w:pPr>
      <w:r>
        <w:rPr>
          <w:i w:val="0"/>
        </w:rPr>
        <w:t>Success is not high classification accuracy. Getting 99% on PBMC 3k takes an afternoon and teaches nothing; those two cell types were chosen because they are easy to tell apart, so a high number is a fact about the dataset and not about you. If you catch yourself hoping a number comes out big, you have drifted into the wrong project.</w:t>
      </w:r>
    </w:p>
    <w:p>
      <w:pPr>
        <w:spacing w:after="80"/>
      </w:pPr>
      <w:r>
        <w:rPr>
          <w:i w:val="0"/>
        </w:rPr>
        <w:t>Success is a quantitative comparison between a derived prediction, a simulation and a physical experiment, with an honest account of where they diverge — four fitted exponents, each with an interval, on one pair of log-log axes, plus a clearly stated boundary where the law stops holding. A clean negative result is a strong outcome: "dropout breaks the accuracy formula below some depth" and "overdispersion caps what depth can buy" are exactly the findings this report has a section reserved for.</w:t>
      </w:r>
    </w:p>
    <w:p>
      <w:pPr>
        <w:spacing w:after="80"/>
      </w:pPr>
      <w:r>
        <w:rPr>
          <w:i w:val="0"/>
        </w:rPr>
        <w:t>What would count as a genuine failure is smaller and more specific than a null result: an unlabelled claim, a figure with no seed, a proportion with no interval, or a good measurement described in language that promises more than it delivers. The most common failure of a student research project is not fabrication. It is overclaiming by accident, and everything in this plan — the ledger, the intervals, the stamps on stand-in figures — exists to make that hard to do without noticing.</w:t>
      </w:r>
    </w:p>
    <w:p>
      <w:pPr>
        <w:pStyle w:val="Heading1"/>
      </w:pPr>
      <w:r>
        <w:t>What this is training, beyond biology</w:t>
      </w:r>
    </w:p>
    <w:p>
      <w:pPr>
        <w:spacing w:after="80"/>
      </w:pPr>
      <w:r>
        <w:rPr>
          <w:i w:val="0"/>
        </w:rPr>
        <w:t>You will not discover anything new here. The square-root law is old, PBMC 3k has been analysed ten thousand times, and nobody needed your bead experiment. What you will have is the demonstrated ability to take a vague question, make it precise enough to be answered, predict the answer before measuring it, design an experiment that can actually detect what it is looking for, and then say exactly how much you know and how much you do not. That last skill — putting a number next to your own uncertainty and refusing to round it in your favour — is rare, it is portable, and it is the thing people trust you for later. The same detection mathematics you will derive in Week 3 shows up in radar, in medical testing, in psychophysics, in A/B tests and in astronomy, and in all of them the answer is the same: signal grows linearly, noise grows as a square root, and everything you can see is the ratio.</w:t>
      </w:r>
    </w:p>
    <w:p>
      <w:pPr>
        <w:spacing w:before="200"/>
      </w:pPr>
      <w:r>
        <w:rPr>
          <w:i/>
          <w:color w:val="505050"/>
          <w:sz w:val="18"/>
        </w:rPr>
        <w:t>Course site: https://isac-artzi.github.io/SenSym-computational-biology/   ·   Repository: https://github.com/isac-artzi/SenSym-computational-biology   ·   Governing plan: plans/Research_Plan_Full.docx   ·   Weekly schedule: plans/Weekly_Plan_15_Weeks.docx</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Repository: https://github.com/isac-artzi/SenSym-computational-biology   ·   Course site: https://isac-artzi.github.io/SenSym-computational-biology/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