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Sistema de controle financeiro de posto de gasolina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+ Funcionário: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– cadastrar clientes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--- funcionários só podem cadastrar clientes e não outros funcionários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– enviar convite para o cliente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– através da nota e do CPF registrar informações do abastecimento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– cadastrar e atualizar informações (registradas)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– não pode deletar informações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– diferentes níveis de acesso para funcionários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– cadastrar postos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--- registrar itens do posto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– cadastrar funcionários e dependentes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– salario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– relatórios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– registro de logs (entrada e saída de informações(cadastros, atualizações)) funcionário não tem acesso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– atualizações em tempo real (React)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+ Cliente: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– sera informado para pessoa a relação de abastecimento (através do CPF)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– relatórios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Requisitos não funcionais/requisitos do sistema: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– criações das tabelas separadas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– manter o sistema em funcionamento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– segurança dos dados e de acesso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– sistema simples de entendimento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História do usuário: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+Administrador: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o único com acesso geral no sistema;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Excluir o que os funcionários adicionaram;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 e editar os lançamentos de combustíveis;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realizar o login do usuário na visão do usuário;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Permissão para emitir todos os relatórios que podem ter níveis de emissão;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+Funcionário: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inserir os dados do abastecimento no sistema;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alterar os abastecimentos;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pode excluir nenhum registro;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cadastrar clientes no ato do abastecimento;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emitir relatórios;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+Cliente: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ver os abastecimentos realizados em determinado período;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recuperar senha caso seja um lesado;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ter acesso a emissao de relatorios do sistema;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