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Завдання для проєкту</w:t>
      </w:r>
    </w:p>
    <w:p w:rsidR="00000000" w:rsidDel="00000000" w:rsidP="00000000" w:rsidRDefault="00000000" w:rsidRPr="00000000" w14:paraId="00000002">
      <w:pPr>
        <w:pStyle w:val="Subtit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12"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Вам треба дослідити датасет з </w:t>
      </w:r>
      <w:r w:rsidDel="00000000" w:rsidR="00000000" w:rsidRPr="00000000">
        <w:rPr>
          <w:rFonts w:ascii="Helvetica Neue" w:cs="Helvetica Neue" w:eastAsia="Helvetica Neue" w:hAnsi="Helvetica Neue"/>
          <w:rtl w:val="0"/>
        </w:rPr>
        <w:t xml:space="preserve">продажем</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кави на трьох ринках. Розібратися в </w:t>
      </w:r>
      <w:r w:rsidDel="00000000" w:rsidR="00000000" w:rsidRPr="00000000">
        <w:rPr>
          <w:rFonts w:ascii="Helvetica Neue" w:cs="Helvetica Neue" w:eastAsia="Helvetica Neue" w:hAnsi="Helvetica Neue"/>
          <w:rtl w:val="0"/>
        </w:rPr>
        <w:t xml:space="preserve">зв'язках</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побудувати звіти для менеджменту.</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12"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rtl w:val="0"/>
        </w:rPr>
        <w:t xml:space="preserve">Результатом</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вашої роботи буде </w:t>
      </w:r>
      <w:r w:rsidDel="00000000" w:rsidR="00000000" w:rsidRPr="00000000">
        <w:rPr>
          <w:rFonts w:ascii="Helvetica Neue" w:cs="Helvetica Neue" w:eastAsia="Helvetica Neue" w:hAnsi="Helvetica Neue"/>
          <w:rtl w:val="0"/>
        </w:rPr>
        <w:t xml:space="preserve">дешборд</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з основними показниками та інструментами більш глибокого дослідження</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Завдання</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Завантаж файл </w:t>
      </w:r>
      <w:hyperlink r:id="rId7">
        <w:r w:rsidDel="00000000" w:rsidR="00000000" w:rsidRPr="00000000">
          <w:rPr>
            <w:rFonts w:ascii="Helvetica Neue" w:cs="Helvetica Neue" w:eastAsia="Helvetica Neue" w:hAnsi="Helvetica Neue"/>
            <w:b w:val="0"/>
            <w:i w:val="0"/>
            <w:smallCaps w:val="0"/>
            <w:strike w:val="0"/>
            <w:color w:val="1155cc"/>
            <w:sz w:val="24"/>
            <w:szCs w:val="24"/>
            <w:u w:val="single"/>
            <w:shd w:fill="auto" w:val="clear"/>
            <w:vertAlign w:val="baseline"/>
            <w:rtl w:val="0"/>
          </w:rPr>
          <w:t xml:space="preserve">Raw Data.xlsx</w:t>
        </w:r>
      </w:hyperlink>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в Tableau. Уважно досліди всі три аркуші. Вибери правильний тип зʼєднання, щоб використовувати для побудови візуалізацій</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Подумай, які міри тобі знадобляться для верхнерівневої аналітики. Створи калькуляційні поля. На першому аркуші побудуй візуалізацію у вигляді таблиці, в якій буде відображено продажі по країнах з групуванням по типах обсмаження та сортів кави і показниками, кількості замовлень, обʼєму продажів, прибутку, загальної маси проданої кави</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На наступному аркуші побудуй візуалізацію, що показуватиме клієнтів з найвищим рівнем продажів, та показники кількості замовлень, обʼєму продажів, прибутку, загальної маси проданої кави щороку у кожного. Надай можливість замовнику самому обирати, яку кількість ТОП клієнтів він хоче побачити на аркуші (за допомогою параметра). Додай фільтри  по типах обсмаження та сортів кави</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Підготуй ще один аркуш з топ клієнтами. Цього разу у вигляді візуала treemap, де замовник сам зможе вибирати за якою мірою (продажі, прибуток, замовлення, маска) буде визначатися топ клієнтів. Додай відповідні підписи до даних, а також налаштуй заголовок таким чином, щоб він динамічно відображав “ТОП (видане число топ клієнтів) клієнтів за (вибрана міра, наприклад “прибуток”)”.</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Створи візуал, в якому використовуючи бокс-пдот замовник зможе оглядово зрозуміти, як розподіляються замовлення з різних країн на кількістю кави в кг</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Об</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єднай 4 підготовлених аркуші в одному дешбоарді. Переконайся, що замовник має змогу керувати параметрами вибору кількості ТОП клієнтів та міри, за якою вони визначаються. Додай фільтри по типах обсмаження та сортів кави. Переконайся, що фільтри працюють для всіх графіків, а також, що елементи кожного візуала також можуть бути використані в якості фільтра для всього дешбоарду. Додай заголовок з описом того, що відображає дешбоард.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Створи новий аркуш з відображенням загального рівня прибутку поквартально. Додай до аркушу ще один лінійний графік з показником ARPPU. Додай лінії тренду. Що вони говорять?</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На наступному аркуші побудуй </w:t>
      </w:r>
      <w:r w:rsidDel="00000000" w:rsidR="00000000" w:rsidRPr="00000000">
        <w:rPr>
          <w:rFonts w:ascii="Helvetica Neue" w:cs="Helvetica Neue" w:eastAsia="Helvetica Neue" w:hAnsi="Helvetica Neue"/>
          <w:rtl w:val="0"/>
        </w:rPr>
        <w:t xml:space="preserve">стовпчикову</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діаграму з прибутком щомісяця. Додай </w:t>
      </w:r>
      <w:r w:rsidDel="00000000" w:rsidR="00000000" w:rsidRPr="00000000">
        <w:rPr>
          <w:rFonts w:ascii="Helvetica Neue" w:cs="Helvetica Neue" w:eastAsia="Helvetica Neue" w:hAnsi="Helvetica Neue"/>
          <w:rtl w:val="0"/>
        </w:rPr>
        <w:t xml:space="preserve">форматування</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кольором таким чином, щоб місяці, в яких рівень прибутковості був більше 10.5% відображалися зеленим, від 9.5% до 10.5% - жовтим, всі інші - червоним кольором. Додай значення абсолютного рівня прибутку до підписів, прибутковість у відсотках - у спливаючи підказки.</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На наступному аркуші на одному графіку побудуй зональну діаграму з відображенням щомісячних продажів. Додай на неї лінійну діаграми, що рахуватиме середньорічний рівень продажів (середньомісячне значення за останні 12 місяців). Переконайся, що діаграми мають </w:t>
      </w:r>
      <w:r w:rsidDel="00000000" w:rsidR="00000000" w:rsidRPr="00000000">
        <w:rPr>
          <w:rFonts w:ascii="Helvetica Neue" w:cs="Helvetica Neue" w:eastAsia="Helvetica Neue" w:hAnsi="Helvetica Neue"/>
          <w:rtl w:val="0"/>
        </w:rPr>
        <w:t xml:space="preserve">однакову</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шкалу по вертикалі</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На останньому аркуші побудуй графік з поміняними продажами (зональна діаграма) і наклади поверх нього </w:t>
      </w:r>
      <w:r w:rsidDel="00000000" w:rsidR="00000000" w:rsidRPr="00000000">
        <w:rPr>
          <w:rFonts w:ascii="Helvetica Neue" w:cs="Helvetica Neue" w:eastAsia="Helvetica Neue" w:hAnsi="Helvetica Neue"/>
          <w:rtl w:val="0"/>
        </w:rPr>
        <w:t xml:space="preserve">стовпчикову</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діаграму, яка б показувала, на скільки змінилися продажі порівняно з попереднім місяцем. Позитивні зміни виділи синім, негативні червоним</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12" w:lineRule="auto"/>
        <w:ind w:left="393" w:right="0" w:hanging="393"/>
        <w:jc w:val="left"/>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Збери всі чотири діаграми з часовими рядами в одному дешборді. Налаштуй фільтри на </w:t>
      </w:r>
      <w:r w:rsidDel="00000000" w:rsidR="00000000" w:rsidRPr="00000000">
        <w:rPr>
          <w:rFonts w:ascii="Helvetica Neue" w:cs="Helvetica Neue" w:eastAsia="Helvetica Neue" w:hAnsi="Helvetica Neue"/>
          <w:rtl w:val="0"/>
        </w:rPr>
        <w:t xml:space="preserve">зовнішній</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вигляд.</w:t>
      </w:r>
    </w:p>
    <w:sectPr>
      <w:headerReference r:id="rId8" w:type="default"/>
      <w:footerReference r:id="rId9" w:type="default"/>
      <w:pgSz w:h="16840" w:w="11900" w:orient="portrait"/>
      <w:pgMar w:bottom="1440" w:top="1440" w:left="1440" w:right="1440" w:header="480" w:footer="4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51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Footer</w:t>
      <w:tab/>
      <w:tab/>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113" w:hanging="393"/>
      </w:pPr>
      <w:rPr>
        <w:smallCaps w:val="0"/>
        <w:strike w:val="0"/>
        <w:shd w:fill="auto" w:val="clear"/>
        <w:vertAlign w:val="baseline"/>
      </w:rPr>
    </w:lvl>
    <w:lvl w:ilvl="3">
      <w:start w:val="1"/>
      <w:numFmt w:val="decimal"/>
      <w:lvlText w:val="%4."/>
      <w:lvlJc w:val="left"/>
      <w:pPr>
        <w:ind w:left="1473" w:hanging="392.9999999999998"/>
      </w:pPr>
      <w:rPr>
        <w:smallCaps w:val="0"/>
        <w:strike w:val="0"/>
        <w:shd w:fill="auto" w:val="clear"/>
        <w:vertAlign w:val="baseline"/>
      </w:rPr>
    </w:lvl>
    <w:lvl w:ilvl="4">
      <w:start w:val="1"/>
      <w:numFmt w:val="decimal"/>
      <w:lvlText w:val="%5."/>
      <w:lvlJc w:val="left"/>
      <w:pPr>
        <w:ind w:left="1833" w:hanging="393"/>
      </w:pPr>
      <w:rPr>
        <w:smallCaps w:val="0"/>
        <w:strike w:val="0"/>
        <w:shd w:fill="auto" w:val="clear"/>
        <w:vertAlign w:val="baseline"/>
      </w:rPr>
    </w:lvl>
    <w:lvl w:ilvl="5">
      <w:start w:val="1"/>
      <w:numFmt w:val="decimal"/>
      <w:lvlText w:val="%6."/>
      <w:lvlJc w:val="left"/>
      <w:pPr>
        <w:ind w:left="2193" w:hanging="393"/>
      </w:pPr>
      <w:rPr>
        <w:smallCaps w:val="0"/>
        <w:strike w:val="0"/>
        <w:shd w:fill="auto" w:val="clear"/>
        <w:vertAlign w:val="baseline"/>
      </w:rPr>
    </w:lvl>
    <w:lvl w:ilvl="6">
      <w:start w:val="1"/>
      <w:numFmt w:val="decimal"/>
      <w:lvlText w:val="%7."/>
      <w:lvlJc w:val="left"/>
      <w:pPr>
        <w:ind w:left="2553" w:hanging="393"/>
      </w:pPr>
      <w:rPr>
        <w:smallCaps w:val="0"/>
        <w:strike w:val="0"/>
        <w:shd w:fill="auto" w:val="clear"/>
        <w:vertAlign w:val="baseline"/>
      </w:rPr>
    </w:lvl>
    <w:lvl w:ilvl="7">
      <w:start w:val="1"/>
      <w:numFmt w:val="decimal"/>
      <w:lvlText w:val="%8."/>
      <w:lvlJc w:val="left"/>
      <w:pPr>
        <w:ind w:left="2913" w:hanging="393"/>
      </w:pPr>
      <w:rPr>
        <w:smallCaps w:val="0"/>
        <w:strike w:val="0"/>
        <w:shd w:fill="auto" w:val="clear"/>
        <w:vertAlign w:val="baseline"/>
      </w:rPr>
    </w:lvl>
    <w:lvl w:ilvl="8">
      <w:start w:val="1"/>
      <w:numFmt w:val="decimal"/>
      <w:lvlText w:val="%9."/>
      <w:lvlJc w:val="left"/>
      <w:pPr>
        <w:ind w:left="3273" w:hanging="393"/>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Helvetica Neue" w:cs="Helvetica Neue" w:eastAsia="Helvetica Neue" w:hAnsi="Helvetica Neue"/>
      <w:b w:val="1"/>
      <w:i w:val="0"/>
      <w:smallCaps w:val="0"/>
      <w:strike w:val="0"/>
      <w:color w:val="000000"/>
      <w:sz w:val="36"/>
      <w:szCs w:val="36"/>
      <w:u w:val="none"/>
      <w:shd w:fill="auto" w:val="clear"/>
      <w:vertAlign w:val="baseline"/>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nl-NL"/>
      <w14:textFill>
        <w14:solidFill>
          <w14:srgbClr w14:val="000000"/>
        </w14:solidFill>
      </w14:textFill>
      <w14:textOutline>
        <w14:noFill/>
      </w14:textOutline>
    </w:rPr>
  </w:style>
  <w:style w:type="paragraph" w:styleId="Title">
    <w:name w:val="Title"/>
    <w:next w:val="Title"/>
    <w:pPr>
      <w:keepNext w:val="0"/>
      <w:keepLines w:val="1"/>
      <w:pageBreakBefore w:val="0"/>
      <w:widowControl w:val="1"/>
      <w:shd w:color="auto" w:fill="auto" w:val="clear"/>
      <w:suppressAutoHyphens w:val="0"/>
      <w:bidi w:val="0"/>
      <w:spacing w:after="120" w:before="0" w:line="240" w:lineRule="auto"/>
      <w:ind w:left="0" w:right="0" w:firstLine="0"/>
      <w:jc w:val="center"/>
      <w:outlineLvl w:val="9"/>
    </w:pPr>
    <w:rPr>
      <w:rFonts w:ascii="Helvetica Neue" w:cs="Arial Unicode MS" w:eastAsia="Arial Unicode MS" w:hAnsi="Helvetica Neue" w:hint="default"/>
      <w:b w:val="1"/>
      <w:bCs w:val="1"/>
      <w:i w:val="0"/>
      <w:iCs w:val="0"/>
      <w:caps w:val="0"/>
      <w:smallCaps w:val="0"/>
      <w:strike w:val="0"/>
      <w:dstrike w:val="0"/>
      <w:outline w:val="0"/>
      <w:color w:val="000000"/>
      <w:spacing w:val="0"/>
      <w:kern w:val="0"/>
      <w:position w:val="0"/>
      <w:sz w:val="36"/>
      <w:szCs w:val="36"/>
      <w:u w:val="none"/>
      <w:shd w:color="auto" w:fill="auto" w:val="nil"/>
      <w:vertAlign w:val="baseline"/>
      <w14:textFill>
        <w14:solidFill>
          <w14:srgbClr w14:val="000000"/>
        </w14:solidFill>
      </w14:textFill>
      <w14:textOutline>
        <w14:noFill/>
      </w14:textOutline>
    </w:rPr>
  </w:style>
  <w:style w:type="paragraph" w:styleId="Subtitle">
    <w:name w:val="Subtitle"/>
    <w:next w:val="Subtitle"/>
    <w:pPr>
      <w:keepNext w:val="0"/>
      <w:keepLines w:val="1"/>
      <w:pageBreakBefore w:val="0"/>
      <w:widowControl w:val="1"/>
      <w:shd w:color="auto" w:fill="auto" w:val="clear"/>
      <w:suppressAutoHyphens w:val="0"/>
      <w:bidi w:val="0"/>
      <w:spacing w:after="360" w:before="0" w:line="240" w:lineRule="auto"/>
      <w:ind w:left="0" w:right="0" w:firstLine="0"/>
      <w:jc w:val="center"/>
      <w:outlineLvl w:val="9"/>
    </w:pPr>
    <w:rPr>
      <w:rFonts w:ascii="Helvetica Neue" w:cs="Arial Unicode MS" w:eastAsia="Arial Unicode MS" w:hAnsi="Helvetica Neue" w:hint="default"/>
      <w:b w:val="0"/>
      <w:bCs w:val="0"/>
      <w:i w:val="0"/>
      <w:iCs w:val="0"/>
      <w:caps w:val="0"/>
      <w:smallCaps w:val="0"/>
      <w:strike w:val="0"/>
      <w:dstrike w:val="0"/>
      <w:outline w:val="0"/>
      <w:color w:val="000000"/>
      <w:spacing w:val="0"/>
      <w:kern w:val="0"/>
      <w:position w:val="0"/>
      <w:sz w:val="28"/>
      <w:szCs w:val="28"/>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240" w:before="0" w:line="312" w:lineRule="auto"/>
      <w:ind w:left="0" w:right="0" w:firstLine="0"/>
      <w:jc w:val="left"/>
      <w:outlineLvl w:val="9"/>
    </w:pPr>
    <w:rPr>
      <w:rFonts w:ascii="Helvetica Neue" w:cs="Arial Unicode MS" w:eastAsia="Arial Unicode MS" w:hAnsi="Helvetica Neue" w:hint="default"/>
      <w:b w:val="0"/>
      <w:bCs w:val="0"/>
      <w:i w:val="0"/>
      <w:iCs w:val="0"/>
      <w:caps w:val="0"/>
      <w:smallCaps w:val="0"/>
      <w:strike w:val="0"/>
      <w:dstrike w:val="0"/>
      <w:outline w:val="0"/>
      <w:color w:val="000000"/>
      <w:spacing w:val="7"/>
      <w:kern w:val="0"/>
      <w:position w:val="0"/>
      <w:sz w:val="24"/>
      <w:szCs w:val="24"/>
      <w:u w:val="none"/>
      <w:shd w:color="auto" w:fill="auto" w:val="nil"/>
      <w:vertAlign w:val="baseline"/>
      <w14:textFill>
        <w14:solidFill>
          <w14:srgbClr w14:val="000000"/>
        </w14:solidFill>
      </w14:textFill>
      <w14:textOutline>
        <w14:noFill/>
      </w14:textOutline>
    </w:rPr>
  </w:style>
  <w:style w:type="paragraph" w:styleId="Heading">
    <w:name w:val="Heading"/>
    <w:next w:val="Body"/>
    <w:pPr>
      <w:keepNext w:val="1"/>
      <w:keepLines w:val="1"/>
      <w:pageBreakBefore w:val="0"/>
      <w:widowControl w:val="1"/>
      <w:shd w:color="auto" w:fill="auto" w:val="clear"/>
      <w:suppressAutoHyphens w:val="0"/>
      <w:bidi w:val="0"/>
      <w:spacing w:after="160" w:before="280" w:line="240" w:lineRule="auto"/>
      <w:ind w:left="0" w:right="0" w:firstLine="0"/>
      <w:jc w:val="center"/>
      <w:outlineLvl w:val="0"/>
    </w:pPr>
    <w:rPr>
      <w:rFonts w:ascii="Helvetica Neue" w:cs="Arial Unicode MS" w:eastAsia="Arial Unicode MS" w:hAnsi="Helvetica Neue" w:hint="default"/>
      <w:b w:val="0"/>
      <w:bCs w:val="0"/>
      <w:i w:val="0"/>
      <w:iCs w:val="0"/>
      <w:caps w:val="0"/>
      <w:smallCaps w:val="0"/>
      <w:strike w:val="0"/>
      <w:dstrike w:val="0"/>
      <w:outline w:val="0"/>
      <w:color w:val="000000"/>
      <w:spacing w:val="2"/>
      <w:kern w:val="0"/>
      <w:position w:val="0"/>
      <w:sz w:val="28"/>
      <w:szCs w:val="28"/>
      <w:u w:val="none"/>
      <w:shd w:color="auto" w:fill="auto" w:val="nil"/>
      <w:vertAlign w:val="baseline"/>
      <w14:textFill>
        <w14:solidFill>
          <w14:srgbClr w14:val="000000"/>
        </w14:solidFill>
      </w14:textFill>
      <w14:textOutline>
        <w14:noFill/>
      </w14:textOutline>
    </w:rPr>
  </w:style>
  <w:style w:type="numbering" w:styleId="Numbered">
    <w:name w:val="Numbered"/>
    <w:pPr>
      <w:numPr>
        <w:numId w:val="1"/>
      </w:numPr>
    </w:pPr>
  </w:style>
  <w:style w:type="paragraph" w:styleId="Subtitle">
    <w:name w:val="Subtitle"/>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Helvetica Neue" w:cs="Helvetica Neue" w:eastAsia="Helvetica Neue" w:hAnsi="Helvetica Neue"/>
      <w:b w:val="0"/>
      <w:i w:val="0"/>
      <w:smallCaps w:val="0"/>
      <w:strike w:val="0"/>
      <w:color w:val="000000"/>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K9dbeDke0VGwvakklxIOuE8ErBmZGL1/edit?gid=56148317#gid=56148317"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8jvhfK9GkwR93uD8NX3P6kJSQ==">CgMxLjA4AHIhMTZHMjh6M3lZWXhFajhtRVhBMjRfajNQUTRiRGdnbzZS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