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DE8B" w14:textId="045B009B" w:rsidR="005B64C6" w:rsidRDefault="00A377DA" w:rsidP="0022569C">
      <w:pPr>
        <w:pStyle w:val="DTITLE1"/>
      </w:pPr>
      <w:r>
        <w:t>1 С</w:t>
      </w:r>
      <w:r w:rsidR="006561CA">
        <w:t>РАВНИТЕЛЬНЫЙ АНАЛИЗ АНАЛОГИЧНЫХ СИСТЕМ (УСТРОЙСТВ)</w:t>
      </w:r>
    </w:p>
    <w:p w14:paraId="4C4F499E" w14:textId="6FA46B03" w:rsidR="00A377DA" w:rsidRDefault="00A377DA" w:rsidP="008476E3">
      <w:pPr>
        <w:pStyle w:val="DBASE"/>
      </w:pPr>
    </w:p>
    <w:p w14:paraId="11AA3DEA" w14:textId="1E034669" w:rsidR="00EE5101" w:rsidRDefault="006561CA" w:rsidP="0022569C">
      <w:pPr>
        <w:pStyle w:val="DTITLE2"/>
      </w:pPr>
      <w:r w:rsidRPr="006561CA">
        <w:t xml:space="preserve">1.1 </w:t>
      </w:r>
      <w:r>
        <w:t>Анализ существующих систем защиты данных</w:t>
      </w:r>
    </w:p>
    <w:p w14:paraId="7EB0ECC1" w14:textId="77777777" w:rsidR="006561CA" w:rsidRPr="006561CA" w:rsidRDefault="006561CA" w:rsidP="006561CA">
      <w:pPr>
        <w:pStyle w:val="DBASE"/>
      </w:pPr>
    </w:p>
    <w:p w14:paraId="59F06BE9" w14:textId="051832B3" w:rsidR="006354C7" w:rsidRDefault="00A377DA" w:rsidP="008476E3">
      <w:pPr>
        <w:pStyle w:val="DBASE"/>
      </w:pPr>
      <w:r>
        <w:t>Однонаправленная передача данных в закрытую сеть является частным случаем системы разграничения доступа.</w:t>
      </w:r>
      <w:r w:rsidR="006354C7">
        <w:t xml:space="preserve"> Подобными свойствами обладают межсетевые экраны и системы контроля трафика внутри локальной вычислительной сети. Таким образом, корректно сравнение </w:t>
      </w:r>
      <w:r w:rsidR="007B3CF8">
        <w:t>разрабатываемой</w:t>
      </w:r>
      <w:r w:rsidR="006354C7">
        <w:t xml:space="preserve"> системы с межсетевыми экранами и другими методиками разграничения доступа к данным по сети.</w:t>
      </w:r>
    </w:p>
    <w:p w14:paraId="6B0BDA17" w14:textId="36B518BF" w:rsidR="00AC500B" w:rsidRDefault="006354C7" w:rsidP="008476E3">
      <w:pPr>
        <w:pStyle w:val="DBASE"/>
      </w:pPr>
      <w:r>
        <w:t xml:space="preserve">В патенте </w:t>
      </w:r>
      <w:r w:rsidRPr="006354C7">
        <w:t>«</w:t>
      </w:r>
      <w:r>
        <w:rPr>
          <w:lang w:val="en-US"/>
        </w:rPr>
        <w:t>RU</w:t>
      </w:r>
      <w:r w:rsidRPr="006354C7">
        <w:t xml:space="preserve">2712815 </w:t>
      </w:r>
      <w:r>
        <w:t>Защита сетевых устройств посредством межсетевого экрана</w:t>
      </w:r>
      <w:r w:rsidRPr="006354C7">
        <w:t>»</w:t>
      </w:r>
      <w:r w:rsidR="00B24F75">
        <w:rPr>
          <w:vertAlign w:val="superscript"/>
          <w:lang w:val="en-US"/>
        </w:rPr>
        <w:t> </w:t>
      </w:r>
      <w:r w:rsidR="00B24F75" w:rsidRPr="000E1122">
        <w:rPr>
          <w:vertAlign w:val="superscript"/>
        </w:rPr>
        <w:t>[</w:t>
      </w:r>
      <w:r w:rsidR="00B24F75">
        <w:rPr>
          <w:vertAlign w:val="superscript"/>
        </w:rPr>
        <w:t>2</w:t>
      </w:r>
      <w:r w:rsidR="00B24F75" w:rsidRPr="000E1122">
        <w:rPr>
          <w:vertAlign w:val="superscript"/>
        </w:rPr>
        <w:t>]</w:t>
      </w:r>
      <w:r>
        <w:t xml:space="preserve"> приведена система</w:t>
      </w:r>
      <w:r w:rsidR="00AC500B">
        <w:t>,</w:t>
      </w:r>
      <w:r>
        <w:t xml:space="preserve">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w:t>
      </w:r>
      <w:r w:rsidR="00AC500B">
        <w:t>.</w:t>
      </w:r>
      <w:r w:rsidR="00CE2CB0">
        <w:t xml:space="preserve"> Пример предлагаемой в патенте системы представлен на рисунке 1.1.</w:t>
      </w:r>
    </w:p>
    <w:p w14:paraId="1BB423CC" w14:textId="3D1093F7" w:rsidR="00AC500B" w:rsidRDefault="00AC500B" w:rsidP="00CF18EA">
      <w:pPr>
        <w:pStyle w:val="DPIC"/>
      </w:pPr>
      <w:r w:rsidRPr="00AC500B">
        <w:rPr>
          <w:noProof/>
        </w:rPr>
        <w:drawing>
          <wp:inline distT="0" distB="0" distL="0" distR="0" wp14:anchorId="3850D4B0" wp14:editId="0D1951D1">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5A046B57" w14:textId="7696CBF5" w:rsidR="00CE2CB0" w:rsidRDefault="00AC500B" w:rsidP="00CE2CB0">
      <w:pPr>
        <w:pStyle w:val="DPIC"/>
      </w:pPr>
      <w:r>
        <w:t xml:space="preserve">Рисунок 1.1 – </w:t>
      </w:r>
      <w:r w:rsidR="00CE2CB0">
        <w:t>Пример системы для защиты сетевых устройств</w:t>
      </w:r>
      <w:r w:rsidR="00CE2CB0" w:rsidRPr="00CE2CB0">
        <w:t xml:space="preserve"> </w:t>
      </w:r>
      <w:r w:rsidR="00CE2CB0">
        <w:t>от нежелательного сетевого доступа</w:t>
      </w:r>
    </w:p>
    <w:p w14:paraId="718E54AB" w14:textId="745DD25B" w:rsidR="00DA2A0E" w:rsidRDefault="00DA2A0E" w:rsidP="00CE2CB0">
      <w:pPr>
        <w:pStyle w:val="DBASE"/>
      </w:pPr>
    </w:p>
    <w:p w14:paraId="73548EE2" w14:textId="7F6A7C8A" w:rsidR="004010CA" w:rsidRDefault="00DA2A0E" w:rsidP="00DA2A0E">
      <w:pPr>
        <w:pStyle w:val="DBASE"/>
      </w:pPr>
      <w:r>
        <w:t>В данном примере, три сетевых устройства (серверы 141, 142 и 143 приложений) являются частью частной сети 140. Доступ к серверам 141</w:t>
      </w:r>
      <w:r w:rsidR="004010CA">
        <w:noBreakHyphen/>
      </w:r>
      <w:r>
        <w:t>143 получается изнутри частной сети 140 через частный сетевой адрес. Другими словами, адресация серверов 141</w:t>
      </w:r>
      <w:r w:rsidR="004010CA">
        <w:noBreakHyphen/>
      </w:r>
      <w:r>
        <w:t>143 приложений не может быть осуществлена посредством их частных сетевых адресов извне частной сети 140.</w:t>
      </w:r>
      <w:r w:rsidR="004010CA">
        <w:t xml:space="preserve"> Частная сеть 140 отделена от внешней сети шлюзом 100, тем самым </w:t>
      </w:r>
      <w:r w:rsidR="004010CA">
        <w:lastRenderedPageBreak/>
        <w:t>обеспечивая прохождение трафика между внешней сетью и сетью 140 управляемым образом.</w:t>
      </w:r>
    </w:p>
    <w:p w14:paraId="0945BB60" w14:textId="5686CA0B" w:rsidR="004010CA" w:rsidRDefault="004010CA" w:rsidP="004010CA">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582248B9" w14:textId="74AB555B" w:rsidR="004010CA" w:rsidRDefault="004010CA" w:rsidP="004010CA">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5F196DDD" w14:textId="56B4F79F" w:rsidR="004010CA" w:rsidRPr="004010CA" w:rsidRDefault="004010CA" w:rsidP="004010CA">
      <w:pPr>
        <w:pStyle w:val="DBASE"/>
      </w:pPr>
      <w:r>
        <w:t xml:space="preserve">Процесс </w:t>
      </w:r>
      <w:r w:rsidR="004C77DB">
        <w:t>создания сетевого туннеля между сетями представлен на рисунке 1.2.</w:t>
      </w:r>
    </w:p>
    <w:p w14:paraId="3CF1EE7F" w14:textId="2A5FCDA9" w:rsidR="00CE2CB0" w:rsidRDefault="00CE2CB0" w:rsidP="00CF18EA">
      <w:pPr>
        <w:pStyle w:val="DPIC"/>
      </w:pPr>
      <w:r w:rsidRPr="00CF18EA">
        <w:rPr>
          <w:noProof/>
        </w:rPr>
        <w:drawing>
          <wp:inline distT="0" distB="0" distL="0" distR="0" wp14:anchorId="2A1AE89B" wp14:editId="7CB7626D">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11A24D16" w14:textId="102A4A31" w:rsidR="00CE2CB0" w:rsidRDefault="00CE2CB0" w:rsidP="00CE2CB0">
      <w:pPr>
        <w:pStyle w:val="DPIC"/>
      </w:pPr>
      <w:r>
        <w:t xml:space="preserve">Рисунок 1.2 – Структурная схема </w:t>
      </w:r>
      <w:r w:rsidR="004C77DB">
        <w:t>создания сетевого туннеля между клиентским устройством и частной сетью</w:t>
      </w:r>
    </w:p>
    <w:p w14:paraId="763A34EB" w14:textId="320D1B5A" w:rsidR="004C77DB" w:rsidRDefault="004C77DB" w:rsidP="004C77DB">
      <w:pPr>
        <w:pStyle w:val="DBASE"/>
      </w:pPr>
    </w:p>
    <w:p w14:paraId="3BDF0876" w14:textId="1FC2F03B" w:rsidR="004C77DB" w:rsidRDefault="004C77DB" w:rsidP="004C77DB">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486DBBB" w14:textId="2B933E8C" w:rsidR="004C77DB" w:rsidRDefault="004C77DB" w:rsidP="004C77DB">
      <w:pPr>
        <w:pStyle w:val="DBASE"/>
      </w:pPr>
      <w:r>
        <w:t xml:space="preserve">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w:t>
      </w:r>
      <w:r w:rsidR="00EB20FE">
        <w:t>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4D507F5C" w14:textId="59CCD25D" w:rsidR="00EB20FE" w:rsidRDefault="00EB20FE" w:rsidP="004C77DB">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w:t>
      </w:r>
      <w:r w:rsidR="00E02C80">
        <w:t xml:space="preserve">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41FC4877" w14:textId="0674D008" w:rsidR="00205396" w:rsidRDefault="00E02C80" w:rsidP="004C77DB">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w:t>
      </w:r>
      <w:r w:rsidR="00766E17">
        <w:t>.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241C9893" w14:textId="102F6335" w:rsidR="00E02C80" w:rsidRDefault="00205396" w:rsidP="004C77DB">
      <w:pPr>
        <w:pStyle w:val="DBASE"/>
      </w:pPr>
      <w:r>
        <w:t xml:space="preserve">В патенте </w:t>
      </w:r>
      <w:r w:rsidRPr="006354C7">
        <w:t>«</w:t>
      </w:r>
      <w:r>
        <w:rPr>
          <w:lang w:val="en-US"/>
        </w:rPr>
        <w:t>RU</w:t>
      </w:r>
      <w:r w:rsidRPr="00205396">
        <w:t xml:space="preserve">2607997C1 </w:t>
      </w:r>
      <w:r>
        <w:t>Система защиты компьютерных сетей от несанкционированного доступа</w:t>
      </w:r>
      <w:r w:rsidRPr="006354C7">
        <w:t>»</w:t>
      </w:r>
      <w:r w:rsidR="00B24F75">
        <w:rPr>
          <w:vertAlign w:val="superscript"/>
          <w:lang w:val="en-US"/>
        </w:rPr>
        <w:t> </w:t>
      </w:r>
      <w:r w:rsidR="00B24F75" w:rsidRPr="00B24F75">
        <w:rPr>
          <w:vertAlign w:val="superscript"/>
        </w:rPr>
        <w:t>[</w:t>
      </w:r>
      <w:r w:rsidR="00B24F75">
        <w:rPr>
          <w:vertAlign w:val="superscript"/>
        </w:rPr>
        <w:t>3</w:t>
      </w:r>
      <w:r w:rsidR="00B24F75" w:rsidRPr="000E1122">
        <w:rPr>
          <w:vertAlign w:val="superscript"/>
        </w:rPr>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w:t>
      </w:r>
      <w:r>
        <w:lastRenderedPageBreak/>
        <w:t>компьютерной сети из двух</w:t>
      </w:r>
      <w:r w:rsidR="00CF18EA">
        <w:t xml:space="preserve">. Устройство </w:t>
      </w:r>
      <w:r>
        <w:t>дополнительно содержит узел обработки трафика, 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w:t>
      </w:r>
      <w:r w:rsidR="00CF18EA">
        <w:t xml:space="preserve"> </w:t>
      </w:r>
      <w:r>
        <w:t>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w:t>
      </w:r>
      <w:r w:rsidR="00CF18EA">
        <w:t xml:space="preserve"> </w:t>
      </w:r>
      <w:r>
        <w:t>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0F57C9DC" w14:textId="4AF74045" w:rsidR="00CF18EA" w:rsidRDefault="00CF18EA" w:rsidP="004C77DB">
      <w:pPr>
        <w:pStyle w:val="DBASE"/>
      </w:pPr>
      <w:r>
        <w:t>Схема подключения компьютерной сети к представленному устройству представлено на рисунке 1.3.</w:t>
      </w:r>
    </w:p>
    <w:p w14:paraId="0D33C264" w14:textId="52C6EAD5" w:rsidR="00CF18EA" w:rsidRDefault="00CF18EA" w:rsidP="00AC4F1D">
      <w:pPr>
        <w:pStyle w:val="DPIC"/>
      </w:pPr>
      <w:r w:rsidRPr="00CF18EA">
        <w:rPr>
          <w:noProof/>
        </w:rPr>
        <w:drawing>
          <wp:inline distT="0" distB="0" distL="0" distR="0" wp14:anchorId="342BC4F9" wp14:editId="51603E7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5B53AF7" w14:textId="20F3E1A2" w:rsidR="00CF18EA" w:rsidRDefault="00CF18EA" w:rsidP="00AC4F1D">
      <w:pPr>
        <w:pStyle w:val="DPIC"/>
      </w:pPr>
      <w:r>
        <w:t xml:space="preserve">Рисунок 1.3 – Структурная схема </w:t>
      </w:r>
      <w:r w:rsidR="00771FA4">
        <w:t>подключения компьютерной сетей к устройству фильтрации трафика</w:t>
      </w:r>
    </w:p>
    <w:p w14:paraId="0A698584" w14:textId="5524E999" w:rsidR="00CF18EA" w:rsidRDefault="00CF18EA" w:rsidP="004C77DB">
      <w:pPr>
        <w:pStyle w:val="DBASE"/>
      </w:pPr>
    </w:p>
    <w:p w14:paraId="04226D7A" w14:textId="52F3F17C" w:rsidR="00AC4F1D" w:rsidRDefault="00F8034A" w:rsidP="004C77DB">
      <w:pPr>
        <w:pStyle w:val="DBASE"/>
      </w:pPr>
      <w:r>
        <w:t xml:space="preserve">Согласно </w:t>
      </w:r>
      <w:r w:rsidR="00DE224D">
        <w:t>разработке</w:t>
      </w:r>
      <w:r>
        <w:t xml:space="preserve">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r w:rsidR="00DE224D">
        <w:t>.</w:t>
      </w:r>
    </w:p>
    <w:p w14:paraId="7380B958" w14:textId="79DEBE13" w:rsidR="006561CA" w:rsidRDefault="00AC4F1D" w:rsidP="00AC4F1D">
      <w:pPr>
        <w:pStyle w:val="DTITLE1"/>
      </w:pPr>
      <w:r>
        <w:br w:type="column"/>
      </w:r>
      <w:r w:rsidR="006561CA">
        <w:lastRenderedPageBreak/>
        <w:t>1.2 Принципы построения однонаправленных сетей</w:t>
      </w:r>
    </w:p>
    <w:p w14:paraId="23D3A016" w14:textId="77777777" w:rsidR="006561CA" w:rsidRDefault="006561CA" w:rsidP="006561CA">
      <w:pPr>
        <w:pStyle w:val="DBASE"/>
      </w:pPr>
    </w:p>
    <w:p w14:paraId="02704D82" w14:textId="584A04A4" w:rsidR="00771FA4" w:rsidRDefault="00771FA4" w:rsidP="004C77DB">
      <w:pPr>
        <w:pStyle w:val="DBASE"/>
      </w:pPr>
      <w:r>
        <w:t>Документ</w:t>
      </w:r>
      <w:r w:rsidRPr="00771FA4">
        <w:t xml:space="preserve"> «</w:t>
      </w:r>
      <w:r>
        <w:rPr>
          <w:lang w:val="en-US"/>
        </w:rPr>
        <w:t>Unidirectional</w:t>
      </w:r>
      <w:r w:rsidRPr="00771FA4">
        <w:t xml:space="preserve"> </w:t>
      </w:r>
      <w:r>
        <w:rPr>
          <w:lang w:val="en-US"/>
        </w:rPr>
        <w:t>Networking</w:t>
      </w:r>
      <w:r w:rsidRPr="00771FA4">
        <w:t>»</w:t>
      </w:r>
      <w:r w:rsidR="00B24F75">
        <w:rPr>
          <w:vertAlign w:val="superscript"/>
          <w:lang w:val="en-US"/>
        </w:rPr>
        <w:t> </w:t>
      </w:r>
      <w:r w:rsidR="00B24F75" w:rsidRPr="007A7B27">
        <w:rPr>
          <w:vertAlign w:val="superscript"/>
        </w:rPr>
        <w:t>[4]</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сложности в процессе реализации однонаправленной системы передачи 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r w:rsidR="00F2403D">
        <w:t>.</w:t>
      </w:r>
    </w:p>
    <w:p w14:paraId="020E1D71" w14:textId="5F3A8C98" w:rsidR="00771FA4" w:rsidRDefault="008D0CF1" w:rsidP="004C77DB">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64308B71" w14:textId="38E22909" w:rsidR="008D0CF1" w:rsidRDefault="008D0CF1" w:rsidP="004C77DB">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568F403F" w14:textId="5500BB3B" w:rsidR="009C7461" w:rsidRDefault="008D0CF1" w:rsidP="004C77DB">
      <w:pPr>
        <w:pStyle w:val="DBASE"/>
      </w:pPr>
      <w:r>
        <w:t xml:space="preserve">В качестве </w:t>
      </w:r>
      <w:r w:rsidR="00114EDA">
        <w:t xml:space="preserve">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70DA894A" w14:textId="25A1B348" w:rsidR="00114EDA" w:rsidRDefault="009C7461" w:rsidP="004C77DB">
      <w:pPr>
        <w:pStyle w:val="DBASE"/>
      </w:pPr>
      <w:r>
        <w:t>Если сетевое устройство не может при</w:t>
      </w:r>
      <w:r w:rsidR="006C720D">
        <w:t xml:space="preserve">нимать </w:t>
      </w:r>
      <w:r>
        <w:t>данны</w:t>
      </w:r>
      <w:r w:rsidR="006C720D">
        <w:t xml:space="preserve">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394509CD" w14:textId="785FA9D0" w:rsidR="009C7461" w:rsidRDefault="00114EDA" w:rsidP="004C77DB">
      <w:pPr>
        <w:pStyle w:val="DBASE"/>
      </w:pPr>
      <w:r>
        <w:t xml:space="preserve">С точки зрения безопасности, компьютер, который может только принимать данные, может считаться конфиденциальным </w:t>
      </w:r>
      <w:r w:rsidR="006C720D">
        <w:t>для</w:t>
      </w:r>
      <w:r>
        <w:t xml:space="preserve"> внешнего пользователя. Если злоумышленник не может получить никакой информации о удаленном компьютере, то не сможет провести</w:t>
      </w:r>
      <w:r w:rsidR="009C7461">
        <w:t xml:space="preserve">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w:t>
      </w:r>
      <w:r w:rsidR="006C720D">
        <w:t xml:space="preserve">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w:t>
      </w:r>
      <w:r w:rsidR="009C7461">
        <w:t xml:space="preserve"> Таким образом, для внешнего пользователя, данный компьютер полностью конфиденциален.</w:t>
      </w:r>
    </w:p>
    <w:p w14:paraId="1D479671" w14:textId="399A1B47" w:rsidR="009C7461" w:rsidRDefault="009C7461" w:rsidP="004C77DB">
      <w:pPr>
        <w:pStyle w:val="DBASE"/>
      </w:pPr>
      <w:r>
        <w:t xml:space="preserve">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w:t>
      </w:r>
      <w:r>
        <w:lastRenderedPageBreak/>
        <w:t xml:space="preserve">приема, сетевая карта не будет передавать данные. Для того, чтобы оптическая сетевая карта производила передачу, </w:t>
      </w:r>
      <w:r w:rsidR="006C720D">
        <w:t xml:space="preserve">одним из решений </w:t>
      </w:r>
      <w:r>
        <w:t>предлагается использование несущей из другой сетевой карты на стороне передачи. Схема подключения представлена на рисунке 1.6.</w:t>
      </w:r>
    </w:p>
    <w:p w14:paraId="53A01CBF" w14:textId="77777777" w:rsidR="006C720D" w:rsidRDefault="006C720D" w:rsidP="004C77DB">
      <w:pPr>
        <w:pStyle w:val="DBASE"/>
      </w:pPr>
    </w:p>
    <w:p w14:paraId="7FB3F8C5" w14:textId="635C4185" w:rsidR="006C720D" w:rsidRDefault="00F60E55" w:rsidP="006C720D">
      <w:pPr>
        <w:pStyle w:val="DPIC"/>
      </w:pPr>
      <w:r>
        <w:rPr>
          <w:noProof/>
        </w:rPr>
        <w:drawing>
          <wp:inline distT="0" distB="0" distL="0" distR="0" wp14:anchorId="0B5607F9" wp14:editId="5E7F88DE">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365B8EEF" w14:textId="1009260C" w:rsidR="006C720D" w:rsidRDefault="006C720D" w:rsidP="006C720D">
      <w:pPr>
        <w:pStyle w:val="DPIC"/>
      </w:pPr>
      <w:r>
        <w:t>Рисунок 1.6 – Решение проблемы отсутствия, несущей на приемной стороне передатчика</w:t>
      </w:r>
    </w:p>
    <w:p w14:paraId="41956B18" w14:textId="681536AD" w:rsidR="006C720D" w:rsidRDefault="006C720D" w:rsidP="004C77DB">
      <w:pPr>
        <w:pStyle w:val="DBASE"/>
      </w:pPr>
    </w:p>
    <w:p w14:paraId="10DF7A6B" w14:textId="30FD0BF2" w:rsidR="006C720D" w:rsidRDefault="006C720D" w:rsidP="004C77DB">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4C781CC1" w14:textId="7C38340A" w:rsidR="006C720D" w:rsidRDefault="006C720D" w:rsidP="004C77DB">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r w:rsidR="001C6BA6">
        <w:t>.</w:t>
      </w:r>
    </w:p>
    <w:p w14:paraId="73D3F849" w14:textId="1FB22E04" w:rsidR="006C720D" w:rsidRDefault="001D04AE" w:rsidP="004C77DB">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38BAE049" w14:textId="532A8616" w:rsidR="001D04AE" w:rsidRDefault="001D04AE" w:rsidP="004C77DB">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w:t>
      </w:r>
      <w:r>
        <w:lastRenderedPageBreak/>
        <w:t xml:space="preserve">принимающего компьютера, так как не способен получить ответ на </w:t>
      </w:r>
      <w:r>
        <w:rPr>
          <w:lang w:val="en-US"/>
        </w:rPr>
        <w:t>ARP</w:t>
      </w:r>
      <w:r w:rsidRPr="001D04AE">
        <w:t xml:space="preserve"> </w:t>
      </w:r>
      <w:r>
        <w:t>запрос.</w:t>
      </w:r>
    </w:p>
    <w:p w14:paraId="2166DE2C" w14:textId="65FED40A" w:rsidR="001D04AE" w:rsidRDefault="001D04AE" w:rsidP="004C77DB">
      <w:pPr>
        <w:pStyle w:val="DBASE"/>
      </w:pPr>
      <w:r>
        <w:t>Для того, чтобы обойти данное ограничение можно воспользоваться несколькими путями:</w:t>
      </w:r>
    </w:p>
    <w:p w14:paraId="7C1964F6" w14:textId="1D7D5769" w:rsidR="001D04AE" w:rsidRDefault="006307DF" w:rsidP="004C77DB">
      <w:pPr>
        <w:pStyle w:val="DBASE"/>
      </w:pPr>
      <w:r>
        <w:t>–</w:t>
      </w:r>
      <w:r w:rsidR="001D04AE">
        <w:t> Вручную настроить таблицу определения адреса на передающем узле</w:t>
      </w:r>
    </w:p>
    <w:p w14:paraId="22ECEA02" w14:textId="49BC2339" w:rsidR="001D04AE" w:rsidRDefault="006307DF" w:rsidP="004C77DB">
      <w:pPr>
        <w:pStyle w:val="DBASE"/>
      </w:pPr>
      <w:r>
        <w:t>–</w:t>
      </w:r>
      <w:r w:rsidR="001D04AE">
        <w:t> Настроить сетевую карту так, что любая информация, полученная на нее, будет принята вне зависимости от адресата.</w:t>
      </w:r>
    </w:p>
    <w:p w14:paraId="46066AB8" w14:textId="05CF213A" w:rsidR="001D04AE" w:rsidRDefault="006307DF" w:rsidP="004C77DB">
      <w:pPr>
        <w:pStyle w:val="DBASE"/>
      </w:pPr>
      <w:r>
        <w:t>–</w:t>
      </w:r>
      <w:r w:rsidR="001D04AE">
        <w:t> Убедится, что передающая сторона и приемная сторона находятся в одной подсети и использовать широковещательный адрес.</w:t>
      </w:r>
    </w:p>
    <w:p w14:paraId="6742441D" w14:textId="4ED3B7C0" w:rsidR="001D04AE" w:rsidRDefault="001D04AE" w:rsidP="004C77DB">
      <w:pPr>
        <w:pStyle w:val="DBASE"/>
      </w:pPr>
      <w:r>
        <w:t xml:space="preserve">Таким образом, </w:t>
      </w:r>
      <w:r w:rsidR="000D4C34">
        <w:t xml:space="preserve">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w:t>
      </w:r>
      <w:r w:rsidR="00EE5101">
        <w:t>значительно ограничивает число возможных сетевых уязвимостей.</w:t>
      </w:r>
    </w:p>
    <w:p w14:paraId="2B3D20E2" w14:textId="77777777" w:rsidR="00EE5101" w:rsidRDefault="00EE5101" w:rsidP="004C77DB">
      <w:pPr>
        <w:pStyle w:val="DBASE"/>
      </w:pPr>
    </w:p>
    <w:p w14:paraId="783C29D2" w14:textId="2F29E96C" w:rsidR="0022569C" w:rsidRPr="0022569C" w:rsidRDefault="0022569C" w:rsidP="00CD77D8">
      <w:pPr>
        <w:pStyle w:val="DTITLE2"/>
      </w:pPr>
      <w:r>
        <w:t>1.3 Анализ существующего рынка аппаратных диодов данных</w:t>
      </w:r>
      <w:r w:rsidRPr="0022569C">
        <w:t xml:space="preserve"> </w:t>
      </w:r>
      <w:r>
        <w:t>(однонаправленных шлюзов)</w:t>
      </w:r>
    </w:p>
    <w:p w14:paraId="4EBE1A57" w14:textId="6E054F4C" w:rsidR="0022569C" w:rsidRDefault="0022569C" w:rsidP="0022569C">
      <w:pPr>
        <w:pStyle w:val="DBASE"/>
      </w:pPr>
    </w:p>
    <w:p w14:paraId="7E90853B" w14:textId="77777777" w:rsidR="006307DF" w:rsidRDefault="0022569C" w:rsidP="0022569C">
      <w:pPr>
        <w:pStyle w:val="DBASE"/>
      </w:pPr>
      <w:r>
        <w:t xml:space="preserve">Диод данных предназначен для </w:t>
      </w:r>
      <w:r w:rsidR="006307DF">
        <w:t xml:space="preserve">гарантированной </w:t>
      </w:r>
      <w:r>
        <w:t xml:space="preserve">однонаправленной передачи информации между защищённым сегментом сети и внешними </w:t>
      </w:r>
      <w:r w:rsidR="006307DF">
        <w:t>сетевыми устройствами</w:t>
      </w:r>
      <w:r>
        <w:t>.</w:t>
      </w:r>
    </w:p>
    <w:p w14:paraId="186F2C73" w14:textId="5B1B56DF" w:rsidR="0022569C" w:rsidRDefault="006307DF" w:rsidP="0022569C">
      <w:pPr>
        <w:pStyle w:val="DBASE"/>
      </w:pPr>
      <w:r>
        <w:t xml:space="preserve">Системы, содержащие в себе диод данных можно разделить на </w:t>
      </w:r>
      <w:r w:rsidR="00CD77D8">
        <w:t>несколько</w:t>
      </w:r>
      <w:r>
        <w:t xml:space="preserve"> тип</w:t>
      </w:r>
      <w:r w:rsidR="00CD77D8">
        <w:t>ов</w:t>
      </w:r>
      <w:r>
        <w:t>:</w:t>
      </w:r>
    </w:p>
    <w:p w14:paraId="0DCB1E50" w14:textId="00028514" w:rsidR="006307DF" w:rsidRDefault="006307DF" w:rsidP="0022569C">
      <w:pPr>
        <w:pStyle w:val="DBASE"/>
      </w:pPr>
      <w:r>
        <w:t>– Для защиты от утечек данных</w:t>
      </w:r>
    </w:p>
    <w:p w14:paraId="60FDBA80" w14:textId="42E07F2E" w:rsidR="006307DF" w:rsidRDefault="006307DF" w:rsidP="0022569C">
      <w:pPr>
        <w:pStyle w:val="DBASE"/>
      </w:pPr>
      <w:r>
        <w:softHyphen/>
        <w:t> Для защиты конфигурации оборудования</w:t>
      </w:r>
    </w:p>
    <w:p w14:paraId="397BDD34" w14:textId="78B71DEF" w:rsidR="00CD77D8" w:rsidRDefault="00CD77D8" w:rsidP="0022569C">
      <w:pPr>
        <w:pStyle w:val="DBASE"/>
      </w:pPr>
      <w:r>
        <w:t>– Для систем репликации</w:t>
      </w:r>
    </w:p>
    <w:p w14:paraId="1AD74DC2" w14:textId="1FDFDC7C" w:rsidR="006307DF" w:rsidRDefault="006307DF" w:rsidP="0022569C">
      <w:pPr>
        <w:pStyle w:val="DBASE"/>
      </w:pPr>
      <w:r>
        <w:t xml:space="preserve">В первом случае данные могут только поступать в защищенную сеть, не позволяя произвести утечку. Во втором случае, данные с датчиков или системы трекинга </w:t>
      </w:r>
      <w:r w:rsidR="00CD77D8">
        <w:t>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5CC012B0" w14:textId="3687178F" w:rsidR="0022569C" w:rsidRDefault="00CD77D8" w:rsidP="0022569C">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4ABC87D" w14:textId="7EBADF22" w:rsidR="00CD77D8" w:rsidRDefault="00CD77D8" w:rsidP="00CD77D8">
      <w:pPr>
        <w:pStyle w:val="DBASE"/>
      </w:pPr>
      <w:r>
        <w:lastRenderedPageBreak/>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xml:space="preserve">,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w:t>
      </w:r>
      <w:proofErr w:type="gramStart"/>
      <w:r>
        <w:t>катастрофам</w:t>
      </w:r>
      <w:r w:rsidR="00B24F75" w:rsidRPr="007A7B27">
        <w:rPr>
          <w:vertAlign w:val="superscript"/>
        </w:rPr>
        <w:t>[</w:t>
      </w:r>
      <w:proofErr w:type="gramEnd"/>
      <w:r w:rsidR="00B24F75" w:rsidRPr="007A7B27">
        <w:rPr>
          <w:vertAlign w:val="superscript"/>
        </w:rPr>
        <w:t>5]</w:t>
      </w:r>
      <w:r>
        <w:t>.</w:t>
      </w:r>
    </w:p>
    <w:p w14:paraId="51072766" w14:textId="77777777" w:rsidR="00CD77D8" w:rsidRPr="000A583D" w:rsidRDefault="00CD77D8" w:rsidP="00CD77D8">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7E2A6CC8" w14:textId="3E43755C" w:rsidR="0015414B" w:rsidRDefault="0015414B" w:rsidP="00CD77D8">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71BEDA89" w14:textId="597648B0" w:rsidR="0015414B" w:rsidRDefault="0015414B" w:rsidP="0015414B">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3CFA3319" w14:textId="6803625C" w:rsidR="0015414B" w:rsidRDefault="0015414B" w:rsidP="0015414B">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3A83F89" w14:textId="403B2852" w:rsidR="00DB06D1" w:rsidRPr="00DB06D1" w:rsidRDefault="0015414B" w:rsidP="0015414B">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proofErr w:type="gramStart"/>
      <w:r>
        <w:t>InfoDiode</w:t>
      </w:r>
      <w:proofErr w:type="spellEnd"/>
      <w:r w:rsidR="00B24F75" w:rsidRPr="007A7B27">
        <w:rPr>
          <w:vertAlign w:val="superscript"/>
        </w:rPr>
        <w:t>[</w:t>
      </w:r>
      <w:proofErr w:type="gramEnd"/>
      <w:r w:rsidR="00B24F75" w:rsidRPr="007A7B27">
        <w:rPr>
          <w:vertAlign w:val="superscript"/>
        </w:rPr>
        <w:t>6]</w:t>
      </w:r>
      <w:r>
        <w:t xml:space="preserve">. Они предназначены для организации обмена данными со </w:t>
      </w:r>
      <w:r>
        <w:lastRenderedPageBreak/>
        <w:t>критически значимыми сегментами. Все системы сертифицированы ФСТЭК России по ТУ и уровню доверия 4.</w:t>
      </w:r>
      <w:r w:rsidR="00DB06D1" w:rsidRPr="00DB06D1">
        <w:t xml:space="preserve"> </w:t>
      </w:r>
    </w:p>
    <w:p w14:paraId="16364754" w14:textId="5085E953" w:rsidR="0015414B" w:rsidRDefault="0015414B" w:rsidP="0015414B">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03E1889B" w14:textId="77777777" w:rsidR="00DB06D1" w:rsidRDefault="00DB06D1" w:rsidP="00DB06D1">
      <w:pPr>
        <w:pStyle w:val="DBASE"/>
      </w:pPr>
      <w:r>
        <w:t xml:space="preserve">Преимущества решений AMT </w:t>
      </w:r>
      <w:proofErr w:type="spellStart"/>
      <w:r>
        <w:t>InfoDiode</w:t>
      </w:r>
      <w:proofErr w:type="spellEnd"/>
      <w:r>
        <w:t>:</w:t>
      </w:r>
    </w:p>
    <w:p w14:paraId="4D3E0247" w14:textId="77777777" w:rsidR="00DB06D1" w:rsidRDefault="00DB06D1" w:rsidP="00DB06D1">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7DF8ACEB" w14:textId="77777777" w:rsidR="00DB06D1" w:rsidRDefault="00DB06D1" w:rsidP="00DB06D1">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5AB62B55" w14:textId="77777777" w:rsidR="00DB06D1" w:rsidRDefault="00DB06D1" w:rsidP="00DB06D1">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5F970556" w14:textId="54B57AF4" w:rsidR="00DB06D1" w:rsidRDefault="00DB06D1" w:rsidP="00DB06D1">
      <w:pPr>
        <w:pStyle w:val="DBASE"/>
      </w:pPr>
      <w:r>
        <w:t>– Помехоустойчивое кодирование, резервное копирование настроек.</w:t>
      </w:r>
    </w:p>
    <w:p w14:paraId="6AAA7EE7" w14:textId="5DB28E94" w:rsidR="00DB06D1" w:rsidRDefault="00DB06D1" w:rsidP="00DB06D1">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2C9A0ED" w14:textId="1CDF7B6A" w:rsidR="00DB06D1" w:rsidRDefault="00DB06D1" w:rsidP="00DB06D1">
      <w:pPr>
        <w:pStyle w:val="DBASE"/>
      </w:pPr>
      <w:r>
        <w:t>Комплект изделия «Рубикон-ОШ»</w:t>
      </w:r>
      <w:r w:rsidR="00B24F75">
        <w:rPr>
          <w:vertAlign w:val="superscript"/>
          <w:lang w:val="en-US"/>
        </w:rPr>
        <w:t> </w:t>
      </w:r>
      <w:r w:rsidR="00B24F75" w:rsidRPr="000311B5">
        <w:rPr>
          <w:vertAlign w:val="superscript"/>
        </w:rPr>
        <w:t>[7]</w:t>
      </w:r>
      <w:r>
        <w:t xml:space="preserve">,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6CAAB95A" w14:textId="261C1364" w:rsidR="00316B78" w:rsidRPr="00316B78" w:rsidRDefault="00DB06D1" w:rsidP="00DB06D1">
      <w:pPr>
        <w:pStyle w:val="DBASE"/>
      </w:pPr>
      <w:r>
        <w:t xml:space="preserve">– передача сетевых пакетов через однонаправленную связь посредством маршрутизации </w:t>
      </w:r>
      <w:r w:rsidR="00316B78">
        <w:rPr>
          <w:lang w:val="en-US"/>
        </w:rPr>
        <w:t>IP</w:t>
      </w:r>
      <w:r w:rsidR="00316B78" w:rsidRPr="00316B78">
        <w:t>.</w:t>
      </w:r>
    </w:p>
    <w:p w14:paraId="64787EE1" w14:textId="77777777" w:rsidR="00316B78" w:rsidRDefault="00316B78" w:rsidP="00DB06D1">
      <w:pPr>
        <w:pStyle w:val="DBASE"/>
      </w:pPr>
      <w:r>
        <w:t>– </w:t>
      </w:r>
      <w:r w:rsidR="00DB06D1">
        <w:t>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1ACD27A" w14:textId="37EAE55F" w:rsidR="00316B78" w:rsidRDefault="00316B78" w:rsidP="00DB06D1">
      <w:pPr>
        <w:pStyle w:val="DBASE"/>
      </w:pPr>
      <w:r>
        <w:t>– может выполнять функции маршрутизатора (коммутатора уровня L3)</w:t>
      </w:r>
    </w:p>
    <w:p w14:paraId="496E3179" w14:textId="32B925B2" w:rsidR="00316B78" w:rsidRDefault="00316B78" w:rsidP="00DB06D1">
      <w:pPr>
        <w:pStyle w:val="DBASE"/>
      </w:pPr>
      <w:r>
        <w:lastRenderedPageBreak/>
        <w:t>– объединять физические интерфейсы в сетевой мост (коммутатор уровня L2)</w:t>
      </w:r>
    </w:p>
    <w:p w14:paraId="103FEA81" w14:textId="41BB4F79" w:rsidR="00316B78" w:rsidRPr="00316B78" w:rsidRDefault="00316B78" w:rsidP="00316B78">
      <w:pPr>
        <w:pStyle w:val="DBASE"/>
      </w:pPr>
      <w:r>
        <w:t>– работать как межсетевой экран и система обнаружения и предотвращения вторжений</w:t>
      </w:r>
    </w:p>
    <w:p w14:paraId="724ABA7B" w14:textId="77777777" w:rsidR="00316B78" w:rsidRDefault="00DB06D1" w:rsidP="00DB06D1">
      <w:pPr>
        <w:pStyle w:val="DBASE"/>
      </w:pPr>
      <w:r>
        <w:t>Преимущества однонаправленного шлюза «Рубикон»:</w:t>
      </w:r>
    </w:p>
    <w:p w14:paraId="613E7B0F" w14:textId="77777777" w:rsidR="00316B78" w:rsidRDefault="00316B78" w:rsidP="00DB06D1">
      <w:pPr>
        <w:pStyle w:val="DBASE"/>
      </w:pPr>
      <w:r>
        <w:t>– </w:t>
      </w:r>
      <w:r w:rsidR="00DB06D1">
        <w:t>Производительность межсетевого экрана до 8,5 Гбит/с.</w:t>
      </w:r>
    </w:p>
    <w:p w14:paraId="4D37DA8F" w14:textId="77777777" w:rsidR="00316B78" w:rsidRDefault="00316B78" w:rsidP="00DB06D1">
      <w:pPr>
        <w:pStyle w:val="DBASE"/>
      </w:pPr>
      <w:r>
        <w:t>– </w:t>
      </w:r>
      <w:r w:rsidR="00DB06D1">
        <w:t>Производительность системы обнаружения вторжений до 2,5 Гбит/с.</w:t>
      </w:r>
    </w:p>
    <w:p w14:paraId="505EC2F2" w14:textId="77777777" w:rsidR="00316B78" w:rsidRDefault="00316B78" w:rsidP="00DB06D1">
      <w:pPr>
        <w:pStyle w:val="DBASE"/>
      </w:pPr>
      <w:r>
        <w:t>– </w:t>
      </w:r>
      <w:r w:rsidR="00DB06D1">
        <w:t xml:space="preserve">Наличие накопителя информации объёмом 1 ТБ. </w:t>
      </w:r>
    </w:p>
    <w:p w14:paraId="24EF666D" w14:textId="77777777" w:rsidR="00316B78" w:rsidRDefault="00316B78" w:rsidP="00DB06D1">
      <w:pPr>
        <w:pStyle w:val="DBASE"/>
      </w:pPr>
      <w:r>
        <w:t>– </w:t>
      </w:r>
      <w:r w:rsidR="00DB06D1">
        <w:t>Широкий выбор сетевых интерфейсов</w:t>
      </w:r>
      <w:r>
        <w:t xml:space="preserve"> (</w:t>
      </w:r>
      <w:r w:rsidR="00DB06D1">
        <w:t>6 медных портов RJ-45, 2 оптических порта 10G SFP+</w:t>
      </w:r>
      <w:r>
        <w:t>З</w:t>
      </w:r>
    </w:p>
    <w:p w14:paraId="06C8D538" w14:textId="48E21375" w:rsidR="00DB06D1" w:rsidRDefault="00316B78" w:rsidP="00DB06D1">
      <w:pPr>
        <w:pStyle w:val="DBASE"/>
      </w:pPr>
      <w:r>
        <w:t>– </w:t>
      </w:r>
      <w:r w:rsidR="00DB06D1">
        <w:t>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241151BD" w14:textId="0C051F6B" w:rsidR="00316B78" w:rsidRPr="00316B78" w:rsidRDefault="00316B78" w:rsidP="00DB06D1">
      <w:pPr>
        <w:pStyle w:val="DBASE"/>
      </w:pPr>
      <w:r>
        <w:t>Рассмотрим зарубежные решения в области диодов данных.</w:t>
      </w:r>
    </w:p>
    <w:p w14:paraId="4786111A" w14:textId="0E2A96B5" w:rsidR="00316B78" w:rsidRDefault="00316B78" w:rsidP="00316B78">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proofErr w:type="gramStart"/>
      <w:r>
        <w:t>Defense</w:t>
      </w:r>
      <w:proofErr w:type="spellEnd"/>
      <w:r w:rsidR="00B24F75" w:rsidRPr="000311B5">
        <w:rPr>
          <w:vertAlign w:val="superscript"/>
        </w:rPr>
        <w:t>[</w:t>
      </w:r>
      <w:proofErr w:type="gramEnd"/>
      <w:r w:rsidR="00B24F75" w:rsidRPr="000311B5">
        <w:rPr>
          <w:vertAlign w:val="superscript"/>
        </w:rPr>
        <w:t>8]</w:t>
      </w:r>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3B927D16" w14:textId="32CB176C" w:rsidR="00316B78" w:rsidRDefault="00316B78" w:rsidP="00316B78">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052B419B" w14:textId="77777777" w:rsidR="00F60E55" w:rsidRDefault="00F60E55" w:rsidP="00F60E55"/>
    <w:p w14:paraId="066C9099" w14:textId="3CF459F1" w:rsidR="00C9450A" w:rsidRPr="00F60E55" w:rsidRDefault="00C9450A" w:rsidP="00F60E55">
      <w:pPr>
        <w:pStyle w:val="DTITLE2"/>
      </w:pPr>
      <w:r>
        <w:t>1.4 Вывод</w:t>
      </w:r>
    </w:p>
    <w:p w14:paraId="2C2A054B" w14:textId="6319D055" w:rsidR="00C9450A" w:rsidRDefault="00C9450A" w:rsidP="00C9450A">
      <w:pPr>
        <w:pStyle w:val="DBASE"/>
      </w:pPr>
    </w:p>
    <w:p w14:paraId="0E8AB3F5" w14:textId="258B8B9B" w:rsidR="00C9450A" w:rsidRDefault="00C9450A" w:rsidP="00C9450A">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3CA663CA" w14:textId="363E3000" w:rsidR="005A22E6" w:rsidRDefault="00C9450A" w:rsidP="00C9450A">
      <w:pPr>
        <w:pStyle w:val="DBASE"/>
      </w:pPr>
      <w:r>
        <w:t xml:space="preserve">Также приведены основные принципы построения систем однонаправленной придачи данных и обозначены ограничения и технические сложности </w:t>
      </w:r>
      <w:r w:rsidR="0057504B">
        <w:t>в процессе разработки подобной системы.</w:t>
      </w:r>
    </w:p>
    <w:p w14:paraId="0AC449FE" w14:textId="088E35C1" w:rsidR="005A22E6" w:rsidRPr="005A22E6" w:rsidRDefault="005A22E6" w:rsidP="00C9450A">
      <w:pPr>
        <w:pStyle w:val="DBASE"/>
      </w:pPr>
      <w:r>
        <w:lastRenderedPageBreak/>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sectPr w:rsidR="005A22E6" w:rsidRPr="005A22E6" w:rsidSect="005B64C6">
      <w:footerReference w:type="default" r:id="rId10"/>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017B" w14:textId="77777777" w:rsidR="000921F1" w:rsidRDefault="000921F1" w:rsidP="005B64C6">
      <w:pPr>
        <w:spacing w:after="0" w:line="240" w:lineRule="auto"/>
      </w:pPr>
      <w:r>
        <w:separator/>
      </w:r>
    </w:p>
  </w:endnote>
  <w:endnote w:type="continuationSeparator" w:id="0">
    <w:p w14:paraId="33FAF56A" w14:textId="77777777" w:rsidR="000921F1" w:rsidRDefault="000921F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CBFF" w14:textId="77777777" w:rsidR="000921F1" w:rsidRDefault="000921F1" w:rsidP="005B64C6">
      <w:pPr>
        <w:spacing w:after="0" w:line="240" w:lineRule="auto"/>
      </w:pPr>
      <w:r>
        <w:separator/>
      </w:r>
    </w:p>
  </w:footnote>
  <w:footnote w:type="continuationSeparator" w:id="0">
    <w:p w14:paraId="5D86F1C7" w14:textId="77777777" w:rsidR="000921F1" w:rsidRDefault="000921F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921F1"/>
    <w:rsid w:val="000958BD"/>
    <w:rsid w:val="000A265A"/>
    <w:rsid w:val="000A583D"/>
    <w:rsid w:val="000D4C34"/>
    <w:rsid w:val="00114EDA"/>
    <w:rsid w:val="00136BE6"/>
    <w:rsid w:val="0015414B"/>
    <w:rsid w:val="001C6BA6"/>
    <w:rsid w:val="001D04AE"/>
    <w:rsid w:val="00205396"/>
    <w:rsid w:val="0022569C"/>
    <w:rsid w:val="002F1E05"/>
    <w:rsid w:val="00316B78"/>
    <w:rsid w:val="00384706"/>
    <w:rsid w:val="00390AA2"/>
    <w:rsid w:val="004010CA"/>
    <w:rsid w:val="00433BCD"/>
    <w:rsid w:val="00444EE5"/>
    <w:rsid w:val="00461B23"/>
    <w:rsid w:val="004B0B14"/>
    <w:rsid w:val="004C77DB"/>
    <w:rsid w:val="0057504B"/>
    <w:rsid w:val="00592293"/>
    <w:rsid w:val="005A22E6"/>
    <w:rsid w:val="005B64C6"/>
    <w:rsid w:val="005C43EF"/>
    <w:rsid w:val="006307DF"/>
    <w:rsid w:val="006354C7"/>
    <w:rsid w:val="006561CA"/>
    <w:rsid w:val="006A2378"/>
    <w:rsid w:val="006C720D"/>
    <w:rsid w:val="00766E17"/>
    <w:rsid w:val="00771FA4"/>
    <w:rsid w:val="007B3CF8"/>
    <w:rsid w:val="008008F2"/>
    <w:rsid w:val="008476E3"/>
    <w:rsid w:val="008828B9"/>
    <w:rsid w:val="008D0CF1"/>
    <w:rsid w:val="008E0DA4"/>
    <w:rsid w:val="008E5617"/>
    <w:rsid w:val="009C4B15"/>
    <w:rsid w:val="009C7461"/>
    <w:rsid w:val="00A31276"/>
    <w:rsid w:val="00A377DA"/>
    <w:rsid w:val="00A74276"/>
    <w:rsid w:val="00AC4F1D"/>
    <w:rsid w:val="00AC500B"/>
    <w:rsid w:val="00B1243C"/>
    <w:rsid w:val="00B24F75"/>
    <w:rsid w:val="00B33E08"/>
    <w:rsid w:val="00C36171"/>
    <w:rsid w:val="00C9450A"/>
    <w:rsid w:val="00CD77D8"/>
    <w:rsid w:val="00CE2CB0"/>
    <w:rsid w:val="00CF18EA"/>
    <w:rsid w:val="00D1754A"/>
    <w:rsid w:val="00D70CE4"/>
    <w:rsid w:val="00DA2A0E"/>
    <w:rsid w:val="00DB06D1"/>
    <w:rsid w:val="00DD1A18"/>
    <w:rsid w:val="00DE224D"/>
    <w:rsid w:val="00E0243F"/>
    <w:rsid w:val="00E02C80"/>
    <w:rsid w:val="00EB20FE"/>
    <w:rsid w:val="00EB5593"/>
    <w:rsid w:val="00EE5101"/>
    <w:rsid w:val="00EF62C8"/>
    <w:rsid w:val="00F2403D"/>
    <w:rsid w:val="00F60E55"/>
    <w:rsid w:val="00F63077"/>
    <w:rsid w:val="00F8034A"/>
    <w:rsid w:val="00F91878"/>
    <w:rsid w:val="00FC4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22569C"/>
    <w:pPr>
      <w:ind w:left="964" w:hanging="255"/>
      <w:jc w:val="left"/>
      <w:outlineLvl w:val="0"/>
    </w:pPr>
    <w:rPr>
      <w:b/>
      <w:sz w:val="32"/>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qFormat/>
    <w:rsid w:val="00CE2CB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2022-04-17T19:51:00Z</dcterms:created>
  <dcterms:modified xsi:type="dcterms:W3CDTF">2022-05-29T20:18:00Z</dcterms:modified>
</cp:coreProperties>
</file>