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Revisão do Item 2.2 – Arquitetura da aplicação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072" w:type="dxa"/>
        <w:tblLayout w:type="fixed"/>
      </w:tblPr>
      <w:tblGrid>
        <w:gridCol w:w="2268"/>
        <w:gridCol w:w="6804"/>
      </w:tblGrid>
      <w:tr>
        <w:trPr>
          <w:tblHeader w:val="true"/>
        </w:trPr>
        <w:tc>
          <w:tcPr>
            <w:tcW w:type="dxa" w:w="2268"/>
          </w:tcPr>
          <w:p>
            <w:pPr>
              <w:pStyle w:val="Compact"/>
              <w:spacing w:line="240" w:lineRule="auto"/>
              <w:jc w:val="left"/>
            </w:pPr>
            <w:r>
              <w:rPr>
                <w:b/>
                <w:sz w:val="20"/>
              </w:rPr>
              <w:t xml:space="preserve">Campo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/>
              <w:jc w:val="left"/>
            </w:pPr>
            <w:r>
              <w:rPr>
                <w:b/>
                <w:sz w:val="20"/>
              </w:rPr>
              <w:t xml:space="preserve">Conteúdo</w:t>
            </w:r>
          </w:p>
        </w:tc>
      </w:tr>
      <w:tr>
        <w:tc>
          <w:tcPr>
            <w:tcW w:type="dxa" w:w="2268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Documento revisado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APS – Projeto de software Web para autenticação de usuários (Domínios de Software 2026/2), versão de 27/10/2026</w:t>
            </w:r>
          </w:p>
        </w:tc>
      </w:tr>
      <w:tr>
        <w:tc>
          <w:tcPr>
            <w:tcW w:type="dxa" w:w="2268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Autoria do item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Ana Luísa Pereira dos Santos</w:t>
            </w:r>
          </w:p>
        </w:tc>
      </w:tr>
      <w:tr>
        <w:tc>
          <w:tcPr>
            <w:tcW w:type="dxa" w:w="2268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Revisão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Davi Augusto Ferreira de Carvalho</w:t>
            </w:r>
          </w:p>
        </w:tc>
      </w:tr>
      <w:tr>
        <w:tc>
          <w:tcPr>
            <w:tcW w:type="dxa" w:w="2268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Data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27/10/2026</w:t>
            </w:r>
          </w:p>
        </w:tc>
      </w:tr>
      <w:tr>
        <w:tc>
          <w:tcPr>
            <w:tcW w:type="dxa" w:w="2268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Apoio de IA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Revisão elaborada com apoio do Claude (Anthropic). Se for usada, deve ser citada nas referências e registrada no Apêndice VI (Regra 8).</w:t>
            </w:r>
          </w:p>
        </w:tc>
      </w:tr>
    </w:tbl>
    <w:p>
      <w:pPr>
        <w:pStyle w:val="BodyText"/>
      </w:pPr>
      <w:r>
        <w:t xml:space="preserve">O Item 2.2 cumpre o roteiro do guia: define o estilo (monólito em camadas sobre cliente-servidor), mostra os componentes nos nós da Figura 1, liga cada camada aos requisitos do Item 2.1 e justifica as decisões. A Figura 7, as Tabelas 6 e 7 e o texto usam os mesmos nomes dos Itens 1.3 e 2.1. Os pontos que derrubam nota são três: o texto diz que todas as camadas formam um único programa Spring Boot, mas a apresentação é servida pelo Nginx e executa no navegador; uma citação da Microsoft afirma mais do que a fonte diz; e a lista de referências tem marcações</w:t>
      </w:r>
      <w:r>
        <w:t xml:space="preserve"> </w:t>
      </w:r>
      <w:r>
        <w:t xml:space="preserve">“</w:t>
      </w:r>
      <w:r>
        <w:t xml:space="preserve">[CONFERIR]</w:t>
      </w:r>
      <w:r>
        <w:t xml:space="preserve">”</w:t>
      </w:r>
      <w:r>
        <w:t xml:space="preserve"> </w:t>
      </w:r>
      <w:r>
        <w:t xml:space="preserve">e entradas duplicadas. Os apontamentos estão em ordem de prioridade.</w:t>
      </w:r>
    </w:p>
    <w:p>
      <w:pPr>
        <w:pStyle w:val="Heading2"/>
      </w:pPr>
      <w:r>
        <w:t xml:space="preserve">1. Conteúdo: corrigir antes da entrega</w:t>
      </w:r>
    </w:p>
    <w:p>
      <w:pPr>
        <w:pStyle w:val="FirstParagraph"/>
      </w:pPr>
      <w:r>
        <w:rPr>
          <w:bCs/>
          <w:b/>
        </w:rPr>
        <w:t xml:space="preserve">1a) A apresentação não faz parte do programa Spring Boot.</w:t>
      </w:r>
      <w:r>
        <w:t xml:space="preserve"> </w:t>
      </w:r>
      <w:r>
        <w:t xml:space="preserve">O texto diz que</w:t>
      </w:r>
      <w:r>
        <w:t xml:space="preserve"> </w:t>
      </w:r>
      <w:r>
        <w:t xml:space="preserve">“</w:t>
      </w:r>
      <w:r>
        <w:t xml:space="preserve">todas as camadas do servidor fazem parte de um único programa, o Spring Boot</w:t>
      </w:r>
      <w:r>
        <w:t xml:space="preserve">”</w:t>
      </w:r>
      <w:r>
        <w:t xml:space="preserve">, e a síntese fala em</w:t>
      </w:r>
      <w:r>
        <w:t xml:space="preserve"> </w:t>
      </w:r>
      <w:r>
        <w:t xml:space="preserve">“</w:t>
      </w:r>
      <w:r>
        <w:t xml:space="preserve">um único programa Spring Boot organizado em quatro camadas: a apresentação roda no navegador</w:t>
      </w:r>
      <w:r>
        <w:t xml:space="preserve">”</w:t>
      </w:r>
      <w:r>
        <w:t xml:space="preserve">. Mas a página de login é servida pelo Nginx a partir do disco (Item 1.3) e executa no navegador, como a própria Tabela 6 diz. Só as três camadas do servidor formam o programa. Além disso, Spring Boot é o</w:t>
      </w:r>
      <w:r>
        <w:t xml:space="preserve"> </w:t>
      </w:r>
      <w:r>
        <w:rPr>
          <w:iCs/>
          <w:i/>
        </w:rPr>
        <w:t xml:space="preserve">framework</w:t>
      </w:r>
      <w:r>
        <w:t xml:space="preserve">, não o programa.</w:t>
      </w:r>
    </w:p>
    <w:p>
      <w:pPr>
        <w:pStyle w:val="BodyText"/>
      </w:pPr>
      <w:r>
        <w:t xml:space="preserve">Sugestão para a síntese:</w:t>
      </w:r>
      <w:r>
        <w:t xml:space="preserve"> </w:t>
      </w:r>
      <w:r>
        <w:t xml:space="preserve">“</w:t>
      </w:r>
      <w:r>
        <w:t xml:space="preserve">Em síntese, o software é um monólito em camadas. A apresentação é servida pelo Nginx e executa no navegador. O controle, o serviço de autenticação e a persistência formam um único programa Java, construído com Spring Boot, que executa no servidor de aplicação, atrás do Nginx, com os dados no PostgreSQL.</w:t>
      </w:r>
      <w:r>
        <w:t xml:space="preserve">”</w:t>
      </w:r>
      <w:r>
        <w:t xml:space="preserve"> </w:t>
      </w:r>
      <w:r>
        <w:t xml:space="preserve">No segundo parágrafo de</w:t>
      </w:r>
      <w:r>
        <w:t xml:space="preserve"> </w:t>
      </w:r>
      <w:r>
        <w:t xml:space="preserve">“</w:t>
      </w:r>
      <w:r>
        <w:t xml:space="preserve">Estilo arquitetural</w:t>
      </w:r>
      <w:r>
        <w:t xml:space="preserve">”</w:t>
      </w:r>
      <w:r>
        <w:t xml:space="preserve">, trocar</w:t>
      </w:r>
      <w:r>
        <w:t xml:space="preserve"> </w:t>
      </w:r>
      <w:r>
        <w:t xml:space="preserve">“</w:t>
      </w:r>
      <w:r>
        <w:t xml:space="preserve">um único programa, o Spring Boot</w:t>
      </w:r>
      <w:r>
        <w:t xml:space="preserve">”</w:t>
      </w:r>
      <w:r>
        <w:t xml:space="preserve"> </w:t>
      </w:r>
      <w:r>
        <w:t xml:space="preserve">por</w:t>
      </w:r>
      <w:r>
        <w:t xml:space="preserve"> </w:t>
      </w:r>
      <w:r>
        <w:t xml:space="preserve">“</w:t>
      </w:r>
      <w:r>
        <w:t xml:space="preserve">um único programa Java construído com Spring Boot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1b) A citação da Microsoft afirma mais do que a fonte.</w:t>
      </w:r>
      <w:r>
        <w:t xml:space="preserve"> </w:t>
      </w:r>
      <w:r>
        <w:t xml:space="preserve">O texto diz que cada camada chamar apenas a imediatamente abaixo é</w:t>
      </w:r>
      <w:r>
        <w:t xml:space="preserve"> </w:t>
      </w:r>
      <w:r>
        <w:t xml:space="preserve">“</w:t>
      </w:r>
      <w:r>
        <w:t xml:space="preserve">comum nessa arquitetura (MICROSOFT, 2023)</w:t>
      </w:r>
      <w:r>
        <w:t xml:space="preserve">”</w:t>
      </w:r>
      <w:r>
        <w:t xml:space="preserve">. A página diz que, numa arquitetura em camadas,</w:t>
      </w:r>
      <w:r>
        <w:t xml:space="preserve"> </w:t>
      </w:r>
      <w:r>
        <w:t xml:space="preserve">“</w:t>
      </w:r>
      <w:r>
        <w:t xml:space="preserve">as aplicações podem impor restrições sobre quais camadas se comunicam</w:t>
      </w:r>
      <w:r>
        <w:t xml:space="preserve">”</w:t>
      </w:r>
      <w:r>
        <w:t xml:space="preserve">, e descreve o fluxo interface → regras de negócio → acesso a dados da arquitetura N-camadas tradicional. Ela não diz</w:t>
      </w:r>
      <w:r>
        <w:t xml:space="preserve"> </w:t>
      </w:r>
      <w:r>
        <w:t xml:space="preserve">“</w:t>
      </w:r>
      <w:r>
        <w:t xml:space="preserve">imediatamente abaixo</w:t>
      </w:r>
      <w:r>
        <w:t xml:space="preserve">”</w:t>
      </w:r>
      <w:r>
        <w:t xml:space="preserve"> </w:t>
      </w:r>
      <w:r>
        <w:t xml:space="preserve">nem que isso é comum. Sugestão:</w:t>
      </w:r>
      <w:r>
        <w:t xml:space="preserve"> </w:t>
      </w:r>
      <w:r>
        <w:t xml:space="preserve">“</w:t>
      </w:r>
      <w:r>
        <w:t xml:space="preserve">Adota-se como regra que cada camada chame apenas a camada imediatamente abaixo. A arquitetura em camadas permite impor esse tipo de restrição (MICROSOFT, 2023), que mantém as responsabilidades separadas e o desenho simples.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1c) O exemplo do login pula o Tomcat e o DispatcherServlet.</w:t>
      </w:r>
      <w:r>
        <w:t xml:space="preserve"> </w:t>
      </w:r>
      <w:r>
        <w:t xml:space="preserve">“</w:t>
      </w:r>
      <w:r>
        <w:t xml:space="preserve">O pedido chega ao Nginx, que o repassa ao ControladorAutenticacao (ver Figura 5)</w:t>
      </w:r>
      <w:r>
        <w:t xml:space="preserve">”</w:t>
      </w:r>
      <w:r>
        <w:t xml:space="preserve">: a Figura 5 mostra que o pedido passa pelo conector do Tomcat e pelo DispatcherServlet antes de chegar ao código da aplicação. Sugestão:</w:t>
      </w:r>
      <w:r>
        <w:t xml:space="preserve"> </w:t>
      </w:r>
      <w:r>
        <w:t xml:space="preserve">“</w:t>
      </w:r>
      <w:r>
        <w:t xml:space="preserve">…que o repassa ao servidor de aplicação; o Tomcat e o DispatcherServlet o entregam ao ControladorAutenticacao (ver Item 1.3, Figura 5).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1d) Seta do TratadorExcecoes na Figura 7 com sentido invertido.</w:t>
      </w:r>
      <w:r>
        <w:t xml:space="preserve"> </w:t>
      </w:r>
      <w:r>
        <w:t xml:space="preserve">A seta tracejada sai do tratador e aponta para o controlador, o que sugere que o tratador chama o controlador. Na prática, a exceção sai do controlador ou do serviço, e o Spring a entrega ao tratador. Sugestão no PlantUML: trocar</w:t>
      </w:r>
      <w:r>
        <w:t xml:space="preserve"> </w:t>
      </w:r>
      <w:r>
        <w:rPr>
          <w:rStyle w:val="VerbatimChar"/>
        </w:rPr>
        <w:t xml:space="preserve">TRT .down.&gt; CTL : converte as exceções\nem respostas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CTL ..&gt; TRT : exceções lançadas</w:t>
      </w:r>
      <w:r>
        <w:t xml:space="preserve"> </w:t>
      </w:r>
      <w:r>
        <w:t xml:space="preserve">(e manter o rótulo</w:t>
      </w:r>
      <w:r>
        <w:t xml:space="preserve"> </w:t>
      </w:r>
      <w:r>
        <w:t xml:space="preserve">“</w:t>
      </w:r>
      <w:r>
        <w:t xml:space="preserve">converte as exceções em respostas</w:t>
      </w:r>
      <w:r>
        <w:t xml:space="preserve">”</w:t>
      </w:r>
      <w:r>
        <w:t xml:space="preserve"> </w:t>
      </w:r>
      <w:r>
        <w:t xml:space="preserve">no próprio componente, se quiser).</w:t>
      </w:r>
    </w:p>
    <w:p>
      <w:pPr>
        <w:pStyle w:val="BodyText"/>
      </w:pPr>
      <w:r>
        <w:rPr>
          <w:bCs/>
          <w:b/>
        </w:rPr>
        <w:t xml:space="preserve">1e) RNF01 atribuído à camada de apresentação.</w:t>
      </w:r>
      <w:r>
        <w:t xml:space="preserve"> </w:t>
      </w:r>
      <w:r>
        <w:t xml:space="preserve">Na Tabela 6, a apresentação atende o RNF01 (tráfego só por HTTPS). Quem garante isso é o Nginx, com o TLS, o redirecionamento da porta 80 e o HSTS (Item 1.3), como a própria Tabela 7 registra. Sugestão: tirar o RNF01 da linha da apresentação, ou explicar que a página envia o POST para um endereço relativo, que mantém o https.</w:t>
      </w:r>
    </w:p>
    <w:p>
      <w:pPr>
        <w:pStyle w:val="BodyText"/>
      </w:pPr>
      <w:r>
        <w:rPr>
          <w:bCs/>
          <w:b/>
        </w:rPr>
        <w:t xml:space="preserve">1f) Resposta da falha de autenticação sem o código.</w:t>
      </w:r>
      <w:r>
        <w:t xml:space="preserve"> </w:t>
      </w:r>
      <w:r>
        <w:t xml:space="preserve">Em</w:t>
      </w:r>
      <w:r>
        <w:t xml:space="preserve"> </w:t>
      </w:r>
      <w:r>
        <w:t xml:space="preserve">“</w:t>
      </w:r>
      <w:r>
        <w:t xml:space="preserve">Tratamento de erros</w:t>
      </w:r>
      <w:r>
        <w:t xml:space="preserve">”</w:t>
      </w:r>
      <w:r>
        <w:t xml:space="preserve">, o texto dá o código do formato inválido (400) e da falha inesperada (500), mas não o da falha de autenticação. Sugestão:</w:t>
      </w:r>
      <w:r>
        <w:t xml:space="preserve"> </w:t>
      </w:r>
      <w:r>
        <w:t xml:space="preserve">“</w:t>
      </w:r>
      <w:r>
        <w:t xml:space="preserve">a falha de autenticação recebe sempre a mesma resposta 401</w:t>
      </w:r>
      <w:r>
        <w:t xml:space="preserve">”</w:t>
      </w:r>
      <w:r>
        <w:t xml:space="preserve">. Vale também dizer que o tratador recebe as exceções que o Spring gera ao converter e validar o JSON, antes de chegar ao controlador; é isso que produz o 400.</w:t>
      </w:r>
    </w:p>
    <w:p>
      <w:pPr>
        <w:pStyle w:val="BodyText"/>
      </w:pPr>
      <w:r>
        <w:rPr>
          <w:bCs/>
          <w:b/>
        </w:rPr>
        <w:t xml:space="preserve">1g) A Figura 7 também é o diagrama de implantação pedido pelo guia.</w:t>
      </w:r>
      <w:r>
        <w:t xml:space="preserve"> </w:t>
      </w:r>
      <w:r>
        <w:t xml:space="preserve">O guia pede um diagrama de componentes com interfaces e um de implantação que mapeie cada componente para um nó do Item 1.1. A Figura 7 faz as duas coisas, mas o título e o texto só falam em componentes. Sugestão: título</w:t>
      </w:r>
      <w:r>
        <w:t xml:space="preserve"> </w:t>
      </w:r>
      <w:r>
        <w:t xml:space="preserve">“</w:t>
      </w:r>
      <w:r>
        <w:t xml:space="preserve">Diagrama de componentes e implantação da aplicação de autenticação</w:t>
      </w:r>
      <w:r>
        <w:t xml:space="preserve">”</w:t>
      </w:r>
      <w:r>
        <w:t xml:space="preserve"> </w:t>
      </w:r>
      <w:r>
        <w:t xml:space="preserve">e a frase</w:t>
      </w:r>
      <w:r>
        <w:t xml:space="preserve"> </w:t>
      </w:r>
      <w:r>
        <w:t xml:space="preserve">“</w:t>
      </w:r>
      <w:r>
        <w:t xml:space="preserve">A Figura 7 combina a visão de componentes com a de implantação: cada componente aparece dentro do nó da Figura 1 em que executa (ver Item 1.1).</w:t>
      </w:r>
      <w:r>
        <w:t xml:space="preserve">”</w:t>
      </w:r>
      <w:r>
        <w:t xml:space="preserve"> </w:t>
      </w:r>
      <w:r>
        <w:t xml:space="preserve">Opcional: escrever nas setas a operação de cada interface (por exemplo, a chamada de autenticação e a busca por e-mail), com os mesmos nomes que o Item 2.3 usar.</w:t>
      </w:r>
    </w:p>
    <w:p>
      <w:pPr>
        <w:pStyle w:val="Heading2"/>
      </w:pPr>
      <w:r>
        <w:t xml:space="preserve">2. Referências (afeta Conformidade, Regra 6)</w:t>
      </w:r>
    </w:p>
    <w:p>
      <w:pPr>
        <w:pStyle w:val="FirstParagraph"/>
      </w:pPr>
      <w:r>
        <w:t xml:space="preserve">As quatro fontes citadas existem e, com a ressalva do item 1b, sustentam o que o texto diz. Os sufixos SPRING (s.d.i, s.d.j) continuam a sequência do Item 1.3 (s.d.a a s.d.h), e o ANTHROPIC (2026e) não colide com os outros itens.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072" w:type="dxa"/>
        <w:tblLayout w:type="fixed"/>
      </w:tblPr>
      <w:tblGrid>
        <w:gridCol w:w="1871"/>
        <w:gridCol w:w="3231"/>
        <w:gridCol w:w="3969"/>
      </w:tblGrid>
      <w:tr>
        <w:trPr>
          <w:tblHeader w:val="true"/>
        </w:trPr>
        <w:tc>
          <w:tcPr>
            <w:tcW w:type="dxa" w:w="1871"/>
          </w:tcPr>
          <w:p>
            <w:pPr>
              <w:pStyle w:val="Compact"/>
              <w:spacing w:line="240" w:lineRule="auto"/>
              <w:jc w:val="left"/>
            </w:pPr>
            <w:r>
              <w:rPr>
                <w:b/>
                <w:sz w:val="20"/>
              </w:rPr>
              <w:t xml:space="preserve">Referência</w:t>
            </w:r>
          </w:p>
        </w:tc>
        <w:tc>
          <w:tcPr>
            <w:tcW w:type="dxa" w:w="3231"/>
          </w:tcPr>
          <w:p>
            <w:pPr>
              <w:pStyle w:val="Compact"/>
              <w:spacing w:line="240" w:lineRule="auto"/>
              <w:jc w:val="left"/>
            </w:pPr>
            <w:r>
              <w:rPr>
                <w:b/>
                <w:sz w:val="20"/>
              </w:rPr>
              <w:t xml:space="preserve">Situação</w:t>
            </w:r>
          </w:p>
        </w:tc>
        <w:tc>
          <w:tcPr>
            <w:tcW w:type="dxa" w:w="3969"/>
          </w:tcPr>
          <w:p>
            <w:pPr>
              <w:pStyle w:val="Compact"/>
              <w:spacing w:line="240" w:lineRule="auto"/>
              <w:jc w:val="left"/>
            </w:pPr>
            <w:r>
              <w:rPr>
                <w:b/>
                <w:sz w:val="20"/>
              </w:rPr>
              <w:t xml:space="preserve">O que fazer</w:t>
            </w:r>
          </w:p>
        </w:tc>
      </w:tr>
      <w:tr>
        <w:tc>
          <w:tcPr>
            <w:tcW w:type="dxa" w:w="187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SOMMERVILLE (2018)</w:t>
            </w:r>
          </w:p>
        </w:tc>
        <w:tc>
          <w:tcPr>
            <w:tcW w:type="dxa" w:w="323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Aparece duas vezes na lista, em formatos diferentes. Uma entrada traz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[CONFERIR ano da edição brasileira]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e a outra, a nota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(já está na lista; acrescentar a página na citação)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3969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Deixar uma só entrada: SOMMERVILLE, I. Engenharia de software. 10. ed. São Paulo: Pearson Education do Brasil, [ano]. A livraria Martins Fontes lista a 10ª edição (ISBN 978-85-430-2497-4) como de 2019, mas muitas listas citam 2018. Conferir o ano na ficha catalográfica do livro e usar o mesmo nas citações dos Itens 2.1 e 2.2</w:t>
            </w:r>
          </w:p>
        </w:tc>
      </w:tr>
      <w:tr>
        <w:tc>
          <w:tcPr>
            <w:tcW w:type="dxa" w:w="187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SOMMERVILLE (2018, cap. 6)</w:t>
            </w:r>
          </w:p>
        </w:tc>
        <w:tc>
          <w:tcPr>
            <w:tcW w:type="dxa" w:w="323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A citação indica o capítulo, não a página</w:t>
            </w:r>
          </w:p>
        </w:tc>
        <w:tc>
          <w:tcPr>
            <w:tcW w:type="dxa" w:w="3969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Aceitável em citação indireta. Se o grupo tiver o livro, trocar por página (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p. xx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), como a nota da lista sugere</w:t>
            </w:r>
          </w:p>
        </w:tc>
      </w:tr>
      <w:tr>
        <w:tc>
          <w:tcPr>
            <w:tcW w:type="dxa" w:w="187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MICROSOFT (2023)</w:t>
            </w:r>
          </w:p>
        </w:tc>
        <w:tc>
          <w:tcPr>
            <w:tcW w:type="dxa" w:w="323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A página mostra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Last updated on 2023-03-07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; a data confere</w:t>
            </w:r>
          </w:p>
        </w:tc>
        <w:tc>
          <w:tcPr>
            <w:tcW w:type="dxa" w:w="3969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Corrigir a frase do item 1b</w:t>
            </w:r>
          </w:p>
        </w:tc>
      </w:tr>
      <w:tr>
        <w:tc>
          <w:tcPr>
            <w:tcW w:type="dxa" w:w="187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SPRING (s.d.i)</w:t>
            </w:r>
          </w:p>
        </w:tc>
        <w:tc>
          <w:tcPr>
            <w:tcW w:type="dxa" w:w="323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A página confirma que um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@ControllerAdvice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se aplica a todos os controladores</w:t>
            </w:r>
          </w:p>
        </w:tc>
        <w:tc>
          <w:tcPr>
            <w:tcW w:type="dxa" w:w="3969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Nada a corrigir</w:t>
            </w:r>
          </w:p>
        </w:tc>
      </w:tr>
      <w:tr>
        <w:tc>
          <w:tcPr>
            <w:tcW w:type="dxa" w:w="187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SPRING (s.d.j)</w:t>
            </w:r>
          </w:p>
        </w:tc>
        <w:tc>
          <w:tcPr>
            <w:tcW w:type="dxa" w:w="323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Página das classes centrais do JDBC (JdbcTemplate)</w:t>
            </w:r>
          </w:p>
        </w:tc>
        <w:tc>
          <w:tcPr>
            <w:tcW w:type="dxa" w:w="3969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Nada a corrigir</w:t>
            </w:r>
          </w:p>
        </w:tc>
      </w:tr>
      <w:tr>
        <w:tc>
          <w:tcPr>
            <w:tcW w:type="dxa" w:w="187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ANTHROPIC (2026e)</w:t>
            </w:r>
          </w:p>
        </w:tc>
        <w:tc>
          <w:tcPr>
            <w:tcW w:type="dxa" w:w="323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A entrada termina com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[conferir número da seção]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3969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Indicar a seção do Apêndice VI (provavelmente VI.6) no quadro do item e na lista</w:t>
            </w:r>
          </w:p>
        </w:tc>
      </w:tr>
    </w:tbl>
    <w:p>
      <w:pPr>
        <w:pStyle w:val="BodyText"/>
      </w:pPr>
      <w:r>
        <w:t xml:space="preserve">A lista final ainda tem marcações de outros itens:</w:t>
      </w:r>
      <w:r>
        <w:t xml:space="preserve"> </w:t>
      </w:r>
      <w:r>
        <w:t xml:space="preserve">“</w:t>
      </w:r>
      <w:r>
        <w:t xml:space="preserve">[CONFERIR número da seção]</w:t>
      </w:r>
      <w:r>
        <w:t xml:space="preserve">”</w:t>
      </w:r>
      <w:r>
        <w:t xml:space="preserve"> </w:t>
      </w:r>
      <w:r>
        <w:t xml:space="preserve">em ANTHROPIC (2026d) e</w:t>
      </w:r>
      <w:r>
        <w:t xml:space="preserve"> </w:t>
      </w:r>
      <w:r>
        <w:t xml:space="preserve">“</w:t>
      </w:r>
      <w:r>
        <w:t xml:space="preserve">[CONFERIR URL]</w:t>
      </w:r>
      <w:r>
        <w:t xml:space="preserve">”</w:t>
      </w:r>
      <w:r>
        <w:t xml:space="preserve"> </w:t>
      </w:r>
      <w:r>
        <w:t xml:space="preserve">na ISO/IEC/IEEE 12207:2026, ambas do Item 2.1. Nenhuma marcação desse tipo pode ir para a entrega.</w:t>
      </w:r>
    </w:p>
    <w:p>
      <w:pPr>
        <w:pStyle w:val="Heading2"/>
      </w:pPr>
      <w:r>
        <w:t xml:space="preserve">3. Figura 7, tabelas e formatação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Figura 7 pequena demais.</w:t>
      </w:r>
      <w:r>
        <w:t xml:space="preserve"> </w:t>
      </w:r>
      <w:r>
        <w:t xml:space="preserve">O diagrama ocupa cerca de metade da largura da página, e os rótulos ficam com letra de uns 7 pt. Ampliar a imagem até a largura do texto ou gerar de novo com fonte maior.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Código da Figura 7 no apêndice.</w:t>
      </w:r>
      <w:r>
        <w:t xml:space="preserve"> </w:t>
      </w:r>
      <w:r>
        <w:t xml:space="preserve">Falta o nome em</w:t>
      </w:r>
      <w:r>
        <w:t xml:space="preserve"> </w:t>
      </w:r>
      <w:r>
        <w:rPr>
          <w:rStyle w:val="VerbatimChar"/>
        </w:rPr>
        <w:t xml:space="preserve">@startuml</w:t>
      </w:r>
      <w:r>
        <w:t xml:space="preserve"> </w:t>
      </w:r>
      <w:r>
        <w:t xml:space="preserve">(as outras figuras têm, como</w:t>
      </w:r>
      <w:r>
        <w:t xml:space="preserve"> </w:t>
      </w:r>
      <w:r>
        <w:rPr>
          <w:rStyle w:val="VerbatimChar"/>
        </w:rPr>
        <w:t xml:space="preserve">@startuml figura6_caso_de_uso</w:t>
      </w:r>
      <w:r>
        <w:t xml:space="preserve">), e o código está sem o recuo das demais. Sugestão:</w:t>
      </w:r>
      <w:r>
        <w:t xml:space="preserve"> </w:t>
      </w:r>
      <w:r>
        <w:rPr>
          <w:rStyle w:val="VerbatimChar"/>
        </w:rPr>
        <w:t xml:space="preserve">@startuml figura7_componentes</w:t>
      </w:r>
      <w:r>
        <w:t xml:space="preserve">. Se a seta do item 1d mudar, gerar a imagem de novo.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Página 30 em branco</w:t>
      </w:r>
      <w:r>
        <w:t xml:space="preserve"> </w:t>
      </w:r>
      <w:r>
        <w:t xml:space="preserve">depois do item, antes das Referências. Remover a quebra de página extra.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Termos estrangeiros e código.</w:t>
      </w:r>
      <w:r>
        <w:t xml:space="preserve"> </w:t>
      </w:r>
      <w:r>
        <w:t xml:space="preserve">Prática do documento:</w:t>
      </w:r>
      <w:r>
        <w:t xml:space="preserve"> </w:t>
      </w:r>
      <w:r>
        <w:rPr>
          <w:iCs/>
          <w:i/>
        </w:rPr>
        <w:t xml:space="preserve">endpoint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framework</w:t>
      </w:r>
      <w:r>
        <w:t xml:space="preserve"> </w:t>
      </w:r>
      <w:r>
        <w:t xml:space="preserve">em itálico;</w:t>
      </w:r>
      <w:r>
        <w:t xml:space="preserve"> </w:t>
      </w:r>
      <w:r>
        <w:rPr>
          <w:rStyle w:val="VerbatimChar"/>
        </w:rPr>
        <w:t xml:space="preserve">@ControllerAdvice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JdbcTemplate</w:t>
      </w:r>
      <w:r>
        <w:t xml:space="preserve"> </w:t>
      </w:r>
      <w:r>
        <w:t xml:space="preserve">em fonte monoespaçada, como no Item 1.3.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Tabela 7, coluna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Base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Opcional:</w:t>
      </w:r>
      <w:r>
        <w:t xml:space="preserve"> </w:t>
      </w:r>
      <w:r>
        <w:t xml:space="preserve">“</w:t>
      </w:r>
      <w:r>
        <w:t xml:space="preserve">Fundamentação</w:t>
      </w:r>
      <w:r>
        <w:t xml:space="preserve">”</w:t>
      </w:r>
      <w:r>
        <w:t xml:space="preserve"> </w:t>
      </w:r>
      <w:r>
        <w:t xml:space="preserve">deixa mais claro que a coluna traz fontes e requisitos.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Nós da Figura 7.</w:t>
      </w:r>
      <w:r>
        <w:t xml:space="preserve"> </w:t>
      </w:r>
      <w:r>
        <w:t xml:space="preserve">O texto diz que os nós são</w:t>
      </w:r>
      <w:r>
        <w:t xml:space="preserve"> </w:t>
      </w:r>
      <w:r>
        <w:t xml:space="preserve">“</w:t>
      </w:r>
      <w:r>
        <w:t xml:space="preserve">os mesmos da Figura 1</w:t>
      </w:r>
      <w:r>
        <w:t xml:space="preserve">”</w:t>
      </w:r>
      <w:r>
        <w:t xml:space="preserve">, mas a Figura 1 também tem o servidor DNS. Opcional:</w:t>
      </w:r>
      <w:r>
        <w:t xml:space="preserve"> </w:t>
      </w:r>
      <w:r>
        <w:t xml:space="preserve">“</w:t>
      </w:r>
      <w:r>
        <w:t xml:space="preserve">os mesmos da Figura 1, exceto o DNS, que não executa componentes do software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Sumário.</w:t>
      </w:r>
      <w:r>
        <w:t xml:space="preserve"> </w:t>
      </w:r>
      <w:r>
        <w:t xml:space="preserve">O Item 2.2, a Figura 7 e as Tabelas 6 e 7 não aparecem no Sumário (pendência geral do documento).</w:t>
      </w:r>
    </w:p>
    <w:p>
      <w:pPr>
        <w:pStyle w:val="Heading2"/>
      </w:pPr>
      <w:r>
        <w:t xml:space="preserve">4. Revisão ortográfica e de redação</w:t>
      </w:r>
    </w:p>
    <w:p>
      <w:pPr>
        <w:pStyle w:val="FirstParagraph"/>
      </w:pPr>
      <w:r>
        <w:t xml:space="preserve">Não há erros de grafia nem de acentuação no item. Os ajustes abaixo são de concordância, pontuação e registro: o resto do documento usa linguagem impessoal e formal, e alguns trechos do 2.2 fogem disso.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072" w:type="dxa"/>
        <w:tblLayout w:type="fixed"/>
      </w:tblPr>
      <w:tblGrid>
        <w:gridCol w:w="3175"/>
        <w:gridCol w:w="3175"/>
        <w:gridCol w:w="2721"/>
      </w:tblGrid>
      <w:tr>
        <w:trPr>
          <w:tblHeader w:val="true"/>
        </w:trPr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b/>
                <w:sz w:val="20"/>
              </w:rPr>
              <w:t xml:space="preserve">Trecho atual</w:t>
            </w:r>
          </w:p>
        </w:tc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b/>
                <w:sz w:val="20"/>
              </w:rPr>
              <w:t xml:space="preserve">Sugestão</w:t>
            </w:r>
          </w:p>
        </w:tc>
        <w:tc>
          <w:tcPr>
            <w:tcW w:type="dxa" w:w="2721"/>
          </w:tcPr>
          <w:p>
            <w:pPr>
              <w:pStyle w:val="Compact"/>
              <w:spacing w:line="240" w:lineRule="auto"/>
              <w:jc w:val="left"/>
            </w:pPr>
            <w:r>
              <w:rPr>
                <w:b/>
                <w:sz w:val="20"/>
              </w:rPr>
              <w:t xml:space="preserve">Motivo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Esses passos correspondem ao RF01.1 a RF01.4.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Esses passos correspondem aos subitens RF01.1 a RF01.4.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272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Concordância: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ao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não combina com um intervalo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Juntando as duas ideias, o estilo deste projeto é o monólito em camadas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Combinando os dois estilos, o projeto adota o monólito em camadas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272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Registro informal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Por isso a apresentação é uma camada mesmo executando no navegador.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Por isso, a apresentação é uma camada, mesmo sendo executada no navegador.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272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Vírgula após o conectivo e antes da concessiva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Adotamos como convenção que cada camada chama apenas a camada imediatamente abaixo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Adota-se como regra que cada camada chame apenas a camada imediatamente abaixo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272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Pessoa verbal (o resto do texto é impessoal) e subjuntivo depois de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que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(ver também o item 1b)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Se a comparação der certo, o serviço devolve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Se a senha conferir, o serviço devolve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272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Registro informal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o formato inválido vira 400 […] vira 500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o formato inválido resulta em 400 […] resulta em 500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272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Registro informal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uma classe anotada com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@ControllerAdvice</w:t>
            </w:r>
            <w:r>
              <w:rPr>
                <w:sz w:val="20"/>
              </w:rPr>
              <w:t xml:space="preserve">, que vale para todos os controladores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uma classe anotada com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@ControllerAdvice</w:t>
            </w:r>
            <w:r>
              <w:rPr>
                <w:sz w:val="20"/>
              </w:rPr>
              <w:t xml:space="preserve">, que se aplica a todos os controladores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272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Registro informal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a apresentação roda no navegador, e o controle […] rodam no servidor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executa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executam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(ver a reescrita da síntese no item 1a)</w:t>
            </w:r>
          </w:p>
        </w:tc>
        <w:tc>
          <w:tcPr>
            <w:tcW w:type="dxa" w:w="272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Rodar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é coloquial; a frase também tem dois sinais de dois-pontos seguidos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sem outros serviços que peçam programas separados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(Tabela 7)</w:t>
            </w:r>
          </w:p>
        </w:tc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sem outros serviços que exijam programas separados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272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Registro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e o trecho interno não sai do servidor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(Tabela 7)</w:t>
            </w:r>
          </w:p>
        </w:tc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e o trecho interno não sai da máquina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272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Servidor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é ambíguo aqui: pode ser a máquina ou o servidor de aplicação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cada camada tem uma responsabilidade só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(texto e Tabela 7)</w:t>
            </w:r>
          </w:p>
        </w:tc>
        <w:tc>
          <w:tcPr>
            <w:tcW w:type="dxa" w:w="3175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cada camada tem uma única responsabilidade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272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Opcional; mais formal</w:t>
            </w:r>
          </w:p>
        </w:tc>
      </w:tr>
    </w:tbl>
    <w:p>
      <w:pPr>
        <w:pStyle w:val="Heading2"/>
      </w:pPr>
      <w:r>
        <w:t xml:space="preserve">5. O que já está correto</w:t>
      </w:r>
    </w:p>
    <w:p>
      <w:pPr>
        <w:numPr>
          <w:ilvl w:val="0"/>
          <w:numId w:val="1002"/>
        </w:numPr>
        <w:pStyle w:val="Compact"/>
      </w:pPr>
      <w:r>
        <w:t xml:space="preserve">O estilo, as quatro camadas e as decisões seguem o roteiro do guia, incluindo as três justificativas que ele sugere: API em JSON, verificação da senha no servidor e TLS encerrado no Nginx.</w:t>
      </w:r>
    </w:p>
    <w:p>
      <w:pPr>
        <w:numPr>
          <w:ilvl w:val="0"/>
          <w:numId w:val="1002"/>
        </w:numPr>
        <w:pStyle w:val="Compact"/>
      </w:pPr>
      <w:r>
        <w:t xml:space="preserve">Os nomes dos componentes batem com o glossário do guia e com os Itens 1.3 e 2.1: ControladorAutenticacao, TratadorExcecoes, ServicoAutenticacao, VerificadorSenha e RepositorioUsuario.</w:t>
      </w:r>
    </w:p>
    <w:p>
      <w:pPr>
        <w:numPr>
          <w:ilvl w:val="0"/>
          <w:numId w:val="1002"/>
        </w:numPr>
        <w:pStyle w:val="Compact"/>
      </w:pPr>
      <w:r>
        <w:t xml:space="preserve">A Tabela 6 liga cada camada aos requisitos do Item 2.1, e as respostas 400, 401 e 500 batem com o caso de uso (FA1 a FA3 e FE1).</w:t>
      </w:r>
    </w:p>
    <w:p>
      <w:pPr>
        <w:numPr>
          <w:ilvl w:val="0"/>
          <w:numId w:val="1002"/>
        </w:numPr>
        <w:pStyle w:val="Compact"/>
      </w:pPr>
      <w:r>
        <w:t xml:space="preserve">O tratador</w:t>
      </w:r>
      <w:r>
        <w:t xml:space="preserve"> </w:t>
      </w:r>
      <w:r>
        <w:rPr>
          <w:rStyle w:val="VerbatimChar"/>
        </w:rPr>
        <w:t xml:space="preserve">@ControllerAdvice</w:t>
      </w:r>
      <w:r>
        <w:t xml:space="preserve">, o acesso por JdbcTemplate com consulta parametrizada e o SGBD em outra máquina são coerentes com o Item 1.3 e com a Figura 1.</w:t>
      </w:r>
    </w:p>
    <w:p>
      <w:pPr>
        <w:numPr>
          <w:ilvl w:val="0"/>
          <w:numId w:val="1002"/>
        </w:numPr>
        <w:pStyle w:val="Compact"/>
      </w:pPr>
      <w:r>
        <w:t xml:space="preserve">Nada fora do escopo aparece: não há sessão, cadastro nem emissão de token.</w:t>
      </w:r>
    </w:p>
    <w:p>
      <w:pPr>
        <w:pStyle w:val="Heading2"/>
      </w:pPr>
      <w:r>
        <w:t xml:space="preserve">Registro</w:t>
      </w:r>
    </w:p>
    <w:p>
      <w:pPr>
        <w:pStyle w:val="FirstParagraph"/>
      </w:pPr>
      <w:r>
        <w:t xml:space="preserve">Os apontamentos desta revisão e as correções feitas pela autora devem ser registrados no Apêndice V (Registro de revisões).</w:t>
      </w:r>
    </w:p>
    <w:sectPr>
      <w:pgSz w:h="16838" w:w="11906"/>
      <w:pgMar w:bottom="1134" w:left="1701" w:right="1134" w:top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Arial" w:hAnsi="Arial" w:cs="Arial" w:eastAsia="Arial"/>
      <w:color w:val="000000"/>
      <w:sz w:val="24"/>
    </w:rPr>
  </w:style>
  <w:style w:styleId="BodyText" w:type="paragraph">
    <w:name w:val="Body Text"/>
    <w:basedOn w:val="Normal"/>
    <w:link w:val="BodyTextChar"/>
    <w:pPr>
      <w:spacing w:after="120" w:before="180" w:line="360" w:lineRule="auto"/>
      <w:jc w:val="both"/>
    </w:pPr>
    <w:qFormat/>
    <w:rPr>
      <w:rFonts w:ascii="Arial" w:hAnsi="Arial" w:cs="Arial" w:eastAsia="Arial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line="360" w:lineRule="auto"/>
      <w:jc w:val="both"/>
    </w:pPr>
    <w:rPr>
      <w:rFonts w:ascii="Arial" w:hAnsi="Arial" w:cs="Arial" w:eastAsia="Arial"/>
      <w:color w:val="000000"/>
      <w:sz w:val="24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Arial" w:hAnsi="Arial" w:cs="Arial" w:eastAsia="Arial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jc w:val="center"/>
    </w:pPr>
    <w:rPr>
      <w:rFonts w:ascii="Arial" w:hAnsi="Arial" w:cs="Arial" w:eastAsia="Arial"/>
      <w:b/>
      <w:bCs/>
      <w:i w:val="0"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Arial" w:hAnsi="Arial" w:cs="Arial" w:eastAsia="Arial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Arial" w:hAnsi="Arial" w:cs="Arial" w:eastAsia="Arial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Arial" w:hAnsi="Arial" w:cs="Arial" w:eastAsia="Arial"/>
      <w:b/>
      <w:bCs/>
      <w:i w:val="0"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 w:eastAsia="Courier New"/>
      <w:color w:val="000000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2026-10-27T13:06:52Z</dcterms:created>
  <dcterms:modified xsi:type="dcterms:W3CDTF">2026-10-27T13:06:52Z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