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Item 1.3 – Lado servidor: servidor web, servidor de aplicação e banco de dados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Campo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Conteúdo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Autoria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Davi Augusto Ferreira de Carvalho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Revisão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Isadora Yasmim da Silva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Referências usadas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APACHE SOFTWARE FOUNDATION (s.d.); ECLIPSE FOUNDATION (2024); FIELDING et al. (2022a); MDN (2026h); NGINX (s.d.a, s.d.b, s.d.c); OWASP (s.d.); POSTGRESQL (s.d.a, s.d.b, s.d.c, s.d.d, s.d.e); SPRING (s.d.a, s.d.b, s.d.c, s.d.d, s.d.e, s.d.f, s.d.g, s.d.h); ANTHROPIC (2026c), uso de IA registrado no Apêndice VI, Seção VI.4.</w:t>
            </w:r>
          </w:p>
        </w:tc>
      </w:tr>
      <w:tr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Itens relacionados</w:t>
            </w:r>
          </w:p>
        </w:tc>
        <w:tc>
          <w:tcPr>
            <w:tcW w:type="dxa" w:w="6803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Item 1.1 (Figuras 1 e 2); Item 1.2 (TLS encerrado no Nginx e códigos de status); Item 2.2 (implantação dos componentes); Item 2.3 (tabela usuario, validação dos campos, verificação da senha e tratador de exceções)</w:t>
            </w:r>
          </w:p>
        </w:tc>
      </w:tr>
    </w:tbl>
    <w:p>
      <w:pPr>
        <w:pStyle w:val="BodyText"/>
      </w:pPr>
      <w:r>
        <w:t xml:space="preserve">O Item 1.2 mostrou que a requisição de autenticação chega ao Nginx pela porta 443, onde o TLS é encerrado e a requisição é decifrada. A partir desse ponto, três softwares atuam em sequência: o servidor web (Nginx), o servidor de aplicação (Spring Boot com Tomcat) e o SGBD (PostgreSQL). Para cada um, descreve-se como é iniciado, quem o invoca, o que processa e o que produz. A Figura 4 mostra o atendimento de um recurso estático, a Figura 5 mostra o processamento da autenticação, e a Tabela 3 resume os três componentes.</w:t>
      </w:r>
    </w:p>
    <w:p>
      <w:pPr>
        <w:pStyle w:val="Heading2"/>
      </w:pPr>
      <w:r>
        <w:t xml:space="preserve">Servidor web (Nginx)</w:t>
      </w:r>
    </w:p>
    <w:p>
      <w:pPr>
        <w:pStyle w:val="FirstParagraph"/>
      </w:pPr>
      <w:r>
        <w:t xml:space="preserve">O Nginx é iniciado pelo sistema operacional como um serviço. Um processo mestre lê e avalia o arquivo de configuração e mantém os processos de trabalho (</w:t>
      </w:r>
      <w:r>
        <w:rPr>
          <w:iCs/>
          <w:i/>
        </w:rPr>
        <w:t xml:space="preserve">worker processes</w:t>
      </w:r>
      <w:r>
        <w:t xml:space="preserve">), que são os que de fato processam as requisições (NGINX, s.d.a). Neste ambiente, o Nginx escuta duas portas. Na porta 80, ele apenas redireciona para o endereço https, de modo que a página de login seja sempre carregada pelo canal cifrado e o formulário envie a senha por https. O cabeçalho Strict-Transport-Security (HSTS) complementa o redirecionamento: ele faz o navegador converter as próximas tentativas de acesso por http em https, sem passar pela porta 80 (MDN, 2026h). Na porta 443, o Nginx possui o certificado do domínio e encerra o TLS, aliviando o servidor de aplicação do custo da criptografia (NGINX, s.d.c).</w:t>
      </w:r>
    </w:p>
    <w:p>
      <w:pPr>
        <w:pStyle w:val="BodyText"/>
      </w:pPr>
      <w:r>
        <w:t xml:space="preserve">A cada requisição, o Nginx é invocado pelo navegador, por meio da conexão TCP e TLS descrita no Item 1.2. Ele escolhe o bloco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correspondente ao domínio e compara o caminho da URL com os blocos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configurados, selecionando o de prefixo mais longo (NGINX, s.d.a). O resultado depende do tipo de recurso solicitado: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Recurso estático.</w:t>
      </w:r>
      <w:r>
        <w:t xml:space="preserve"> </w:t>
      </w:r>
      <w:r>
        <w:t xml:space="preserve">Para o GET da página de login (ver Item 1.1), o Nginx junta o caminho da URL ao diretório indicado pela diretiva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e devolve o arquivo HTML, CSS ou JavaScript diretamente do disco. Se o arquivo não existir, responde 404 (NGINX, s.d.a).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Recurso dinâmico.</w:t>
      </w:r>
      <w:r>
        <w:t xml:space="preserve"> </w:t>
      </w:r>
      <w:r>
        <w:t xml:space="preserve">Para o POST /api/autenticacao, o Nginx atua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reverso: a diretiva</w:t>
      </w:r>
      <w:r>
        <w:t xml:space="preserve"> </w:t>
      </w:r>
      <w:r>
        <w:rPr>
          <w:rStyle w:val="VerbatimChar"/>
        </w:rPr>
        <w:t xml:space="preserve">proxy_pass</w:t>
      </w:r>
      <w:r>
        <w:t xml:space="preserve"> </w:t>
      </w:r>
      <w:r>
        <w:t xml:space="preserve">repassa a requisição ao servidor de aplicação, recebe a resposta e a devolve ao navegador (NGINX, s.d.a). Por padrão, ele substitui o cabeçalho Host pelo endereço do servidor de destino; por isso, a configuração o redefine com o domínio original (NGINX, s.d.b).</w:t>
      </w:r>
    </w:p>
    <w:p>
      <w:pPr>
        <w:pStyle w:val="FirstParagraph"/>
      </w:pPr>
      <w:r>
        <w:t xml:space="preserve">Como o Nginx abre uma nova conexão com o servidor de aplicação, este vê como origem o endereço local, e não o do navegador. E, como o TLS termina no Nginx, vê também o esquema http. Por isso, o Nginx acrescenta os cabeçalhos X-Forwarded-For e X-Forwarded-Proto, com o IP do cliente e o esquema original, e os sobrescreve em vez de repassar valores vindos de fora, que poderiam ser forjados. O Spring Boot só usa esses cabeçalhos quando configurado com a propriedade</w:t>
      </w:r>
      <w:r>
        <w:t xml:space="preserve"> </w:t>
      </w:r>
      <w:r>
        <w:rPr>
          <w:rStyle w:val="VerbatimChar"/>
        </w:rPr>
        <w:t xml:space="preserve">server.forward-headers-strategy</w:t>
      </w:r>
      <w:r>
        <w:t xml:space="preserve"> </w:t>
      </w:r>
      <w:r>
        <w:t xml:space="preserve">(SPRING, s.d.f), mostrada mais adiante.</w:t>
      </w:r>
    </w:p>
    <w:p>
      <w:pPr>
        <w:pStyle w:val="BodyText"/>
      </w:pPr>
      <w:r>
        <w:rPr>
          <w:bCs/>
          <w:b/>
        </w:rPr>
        <w:t xml:space="preserve">Exemplo comentado.</w:t>
      </w:r>
      <w:r>
        <w:t xml:space="preserve"> </w:t>
      </w:r>
      <w:r>
        <w:t xml:space="preserve">O trecho abaixo mostra a configuração do Nginx para este ambiente. O domínio e os caminhos são fictícios.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aplicacao.example;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aplicacao.example;</w:t>
      </w:r>
      <w:r>
        <w:br/>
      </w:r>
      <w:r>
        <w:rPr>
          <w:rStyle w:val="VerbatimChar"/>
        </w:rPr>
        <w:t xml:space="preserve">    ssl_certificate     /etc/nginx/tls/aplicacao.crt;</w:t>
      </w:r>
      <w:r>
        <w:br/>
      </w:r>
      <w:r>
        <w:rPr>
          <w:rStyle w:val="VerbatimChar"/>
        </w:rPr>
        <w:t xml:space="preserve">    ssl_certificate_key /etc/nginx/tls/aplicacao.key;</w:t>
      </w:r>
      <w:r>
        <w:br/>
      </w:r>
      <w:r>
        <w:rPr>
          <w:rStyle w:val="VerbatimChar"/>
        </w:rPr>
        <w:t xml:space="preserve">    ssl_protocols       TLSv1.3;</w:t>
      </w:r>
      <w:r>
        <w:br/>
      </w:r>
      <w:r>
        <w:rPr>
          <w:rStyle w:val="VerbatimChar"/>
        </w:rPr>
        <w:t xml:space="preserve">    add_header Strict-Transport-Security "max-age=31536000" always;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/var/www/aplicacao;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http://127.0.0.1:8080;</w:t>
      </w:r>
      <w:r>
        <w:br/>
      </w:r>
      <w:r>
        <w:rPr>
          <w:rStyle w:val="VerbatimChar"/>
        </w:rPr>
        <w:t xml:space="preserve">        proxy_set_header Host              $host;</w:t>
      </w:r>
      <w:r>
        <w:br/>
      </w:r>
      <w:r>
        <w:rPr>
          <w:rStyle w:val="VerbatimChar"/>
        </w:rPr>
        <w:t xml:space="preserve">        proxy_set_header X-Forwarded-For   $remote_addr;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 primeiro bloco redireciona a porta 80 para https. O segundo aponta o certificado usado no handshake TLS (ver Item 1.2), envia o cabeçalho HSTS, serve a página de login pelo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e repassa a API pelo</w:t>
      </w:r>
      <w:r>
        <w:t xml:space="preserve"> </w:t>
      </w:r>
      <w:r>
        <w:rPr>
          <w:rStyle w:val="VerbatimChar"/>
        </w:rPr>
        <w:t xml:space="preserve">location /api/</w:t>
      </w:r>
      <w:r>
        <w:t xml:space="preserve">, mantendo o caminho original /api/autenticacao (NGINX, s.d.b).</w:t>
      </w:r>
    </w:p>
    <w:p>
      <w:pPr>
        <w:pStyle w:val="BodyText"/>
      </w:pPr>
      <w:r>
        <w:t xml:space="preserve">Além dos códigos da API definidos no Item 1.2 (200, 400, 401 e 500), o Nginx gera códigos próprios da infraestrutura: 301 no redirecionamento, 404 para um arquivo estático inexistente e 502 (</w:t>
      </w:r>
      <w:r>
        <w:rPr>
          <w:iCs/>
          <w:i/>
        </w:rPr>
        <w:t xml:space="preserve">Bad Gateway</w:t>
      </w:r>
      <w:r>
        <w:t xml:space="preserve">) ou 504 (</w:t>
      </w:r>
      <w:r>
        <w:rPr>
          <w:iCs/>
          <w:i/>
        </w:rPr>
        <w:t xml:space="preserve">Gateway Timeout</w:t>
      </w:r>
      <w:r>
        <w:t xml:space="preserve">) quando o servidor de aplicação está parado ou não responde a tempo. Os dois últimos são definidos para servidores que atuam como</w:t>
      </w:r>
      <w:r>
        <w:t xml:space="preserve"> </w:t>
      </w:r>
      <w:r>
        <w:rPr>
          <w:iCs/>
          <w:i/>
        </w:rPr>
        <w:t xml:space="preserve">proxy</w:t>
      </w:r>
      <w:r>
        <w:t xml:space="preserve"> </w:t>
      </w:r>
      <w:r>
        <w:t xml:space="preserve">(FIELDING et al., 2022a).</w:t>
      </w:r>
    </w:p>
    <w:p>
      <w:pPr>
        <w:pStyle w:val="Heading2"/>
      </w:pPr>
      <w:r>
        <w:t xml:space="preserve">Servidor de aplicação (Spring Boot com Tomcat)</w:t>
      </w:r>
    </w:p>
    <w:p>
      <w:pPr>
        <w:pStyle w:val="FirstParagraph"/>
      </w:pPr>
      <w:r>
        <w:t xml:space="preserve">A aplicação é iniciada como um programa Java, e o Spring Boot sobe um Tomcat embutido, que escuta por padrão a porta 8080 (SPRING, s.d.a). No Tomcat, quem recebe as conexões é o conector HTTP, componente que escuta uma porta TCP e encaminha as requisições ao processamento interno. Por padrão, o conector escuta todos os endereços da máquina (APACHE SOFTWARE FOUNDATION, s.d.). Como seu único cliente é o Nginx, instalado na mesma máquina (ver Figura 1), a aplicação é configurada para escutar apenas o endereço local, e o trecho interno pode usar HTTP sem TLS:</w:t>
      </w:r>
    </w:p>
    <w:p>
      <w:pPr>
        <w:pStyle w:val="SourceCode"/>
      </w:pPr>
      <w:r>
        <w:rPr>
          <w:rStyle w:val="VerbatimChar"/>
        </w:rPr>
        <w:t xml:space="preserve">server.address=127.0.0.1</w:t>
      </w:r>
      <w:r>
        <w:br/>
      </w:r>
      <w:r>
        <w:rPr>
          <w:rStyle w:val="VerbatimChar"/>
        </w:rPr>
        <w:t xml:space="preserve">server.port=8080</w:t>
      </w:r>
      <w:r>
        <w:br/>
      </w:r>
      <w:r>
        <w:rPr>
          <w:rStyle w:val="VerbatimChar"/>
        </w:rPr>
        <w:t xml:space="preserve">server.forward-headers-strategy=native</w:t>
      </w:r>
    </w:p>
    <w:p>
      <w:pPr>
        <w:pStyle w:val="FirstParagraph"/>
      </w:pPr>
      <w:r>
        <w:t xml:space="preserve">A primeira linha restringe o conector ao endereço local, e a terceira faz o Tomcat usar os cabeçalhos X-Forwarded-For e X-Forwarded-Proto enviados pelo Nginx (SPRING, s.d.f).</w:t>
      </w:r>
    </w:p>
    <w:p>
      <w:pPr>
        <w:pStyle w:val="BodyText"/>
      </w:pPr>
      <w:r>
        <w:t xml:space="preserve">A cada requisição, o servidor de aplicação é invocado pelo Nginx, que abre uma conexão HTTP com a porta 8080 e envia a requisição repassada. O processamento segue quatro etapas: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Conector e thread.</w:t>
      </w:r>
      <w:r>
        <w:t xml:space="preserve"> </w:t>
      </w:r>
      <w:r>
        <w:t xml:space="preserve">O conector aceita a conexão e atribui à requisição uma thread de um conjunto de threads, que a acompanha até o fim do processamento (APACHE SOFTWARE FOUNDATION, s.d.).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Servlet.</w:t>
      </w:r>
      <w:r>
        <w:t xml:space="preserve"> </w:t>
      </w:r>
      <w:r>
        <w:t xml:space="preserve">Servlet é um componente web Java, gerenciado por um contêiner, que gera conteúdo dinâmico; o contêiner, como o Tomcat, decodifica as requisições e formata as respostas (ECLIPSE FOUNDATION, 2024). O Tomcat converte a mensagem HTTP nos objetos</w:t>
      </w:r>
      <w:r>
        <w:t xml:space="preserve"> </w:t>
      </w:r>
      <w:r>
        <w:rPr>
          <w:rStyle w:val="VerbatimChar"/>
        </w:rPr>
        <w:t xml:space="preserve">HttpServletRequest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HttpServletResponse</w:t>
      </w:r>
      <w:r>
        <w:t xml:space="preserve"> </w:t>
      </w:r>
      <w:r>
        <w:t xml:space="preserve">e os entrega ao DispatcherServlet, o controlador frontal (</w:t>
      </w:r>
      <w:r>
        <w:rPr>
          <w:iCs/>
          <w:i/>
        </w:rPr>
        <w:t xml:space="preserve">front controller</w:t>
      </w:r>
      <w:r>
        <w:t xml:space="preserve">) do Spring, que delega o trabalho a componentes configuráveis (SPRING, s.d.b).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Mapeamento e conversão.</w:t>
      </w:r>
      <w:r>
        <w:t xml:space="preserve"> </w:t>
      </w:r>
      <w:r>
        <w:t xml:space="preserve">O HandlerMapping associa POST /api/autenticacao ao método do código da aplicação, e o HandlerAdapter o invoca (SPRING, s.d.c). Antes de invocar o método, um HttpMessageConverter converte o corpo JSON em objeto Java (SPRING, s.d.d). JSON malformado resulta em 400 (SPRING, s.d.g); campos ausentes ou vazios são rejeitados com 400 pela validação (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), definida no Item 2.3 (SPRING, s.d.d).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Execução.</w:t>
      </w:r>
      <w:r>
        <w:t xml:space="preserve"> </w:t>
      </w:r>
      <w:r>
        <w:t xml:space="preserve">O código da aplicação busca o usuário pelo e-mail no SGBD, compara a senha com o hash armazenado e decide o resultado (ver Item 2.3).</w:t>
      </w:r>
    </w:p>
    <w:p>
      <w:pPr>
        <w:pStyle w:val="FirstParagraph"/>
      </w:pPr>
      <w:r>
        <w:t xml:space="preserve">O resultado é uma resposta HTTP com código de status e corpo JSON: o objeto devolvido pelo método é convertido em JSON, e o Tomcat escreve a resposta na conexão aberta pelo Nginx. Exceções não tratadas pelo código, como uma falha no SGBD, são capturadas por um tratador de exceções da aplicação (classe anotada com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), acionado pelo HandlerExceptionResolver (SPRING, s.d.g). Esse tratador monta a resposta 500 no formato do contrato (ver Item 2.3). Sem ele, o Spring Boot devolveria seu próprio corpo de erro, pela rota /error, fora do contrato (SPRING, s.d.h).</w:t>
      </w:r>
    </w:p>
    <w:p>
      <w:pPr>
        <w:pStyle w:val="Heading2"/>
      </w:pPr>
      <w:r>
        <w:t xml:space="preserve">SGBD (PostgreSQL)</w:t>
      </w:r>
    </w:p>
    <w:p>
      <w:pPr>
        <w:pStyle w:val="FirstParagraph"/>
      </w:pPr>
      <w:r>
        <w:t xml:space="preserve">O PostgreSQL também é iniciado como um serviço do sistema operacional. Um processo supervisor, o</w:t>
      </w:r>
      <w:r>
        <w:t xml:space="preserve"> </w:t>
      </w:r>
      <w:r>
        <w:rPr>
          <w:iCs/>
          <w:i/>
        </w:rPr>
        <w:t xml:space="preserve">postmaster</w:t>
      </w:r>
      <w:r>
        <w:t xml:space="preserve">, escuta a porta TCP configurada, por padrão a 5432 (POSTGRESQL, s.d.a). O servidor segue o modelo de um processo por conexão: a cada pedido de conexão, o postmaster cria um processo de servidor dedicado (</w:t>
      </w:r>
      <w:r>
        <w:rPr>
          <w:iCs/>
          <w:i/>
        </w:rPr>
        <w:t xml:space="preserve">backend</w:t>
      </w:r>
      <w:r>
        <w:t xml:space="preserve">), que atende aquele cliente até a conexão ser encerrada (POSTGRESQL, s.d.c).</w:t>
      </w:r>
    </w:p>
    <w:p>
      <w:pPr>
        <w:pStyle w:val="BodyText"/>
      </w:pPr>
      <w:r>
        <w:t xml:space="preserve">O SGBD é invocado pelo servidor de aplicação por meio do driver JDBC (</w:t>
      </w:r>
      <w:r>
        <w:rPr>
          <w:iCs/>
          <w:i/>
        </w:rPr>
        <w:t xml:space="preserve">Java Database Connectivity</w:t>
      </w:r>
      <w:r>
        <w:t xml:space="preserve">), que implementa o protocolo de comunicação do PostgreSQL (POSTGRESQL, s.d.c). As conexões vêm de um</w:t>
      </w:r>
      <w:r>
        <w:t xml:space="preserve"> </w:t>
      </w:r>
      <w:r>
        <w:rPr>
          <w:iCs/>
          <w:i/>
        </w:rPr>
        <w:t xml:space="preserve">pool</w:t>
      </w:r>
      <w:r>
        <w:t xml:space="preserve">, por padrão o HikariCP, que as mantém abertas e as reutiliza entre requisições, evitando criar um processo de backend a cada login (SPRING, s.d.e).</w:t>
      </w:r>
    </w:p>
    <w:p>
      <w:pPr>
        <w:pStyle w:val="BodyText"/>
      </w:pPr>
      <w:r>
        <w:t xml:space="preserve">Com a conexão emprestada, a aplicação envia a consulta que busca o usuário pelo e-mail:</w:t>
      </w:r>
    </w:p>
    <w:p>
      <w:pPr>
        <w:pStyle w:val="SourceCode"/>
      </w:pPr>
      <w:r>
        <w:rPr>
          <w:rStyle w:val="VerbatimChar"/>
        </w:rPr>
        <w:t xml:space="preserve">SELECT id, email, nome, hash_senha FROM usuario WHERE email = ?</w:t>
      </w:r>
    </w:p>
    <w:p>
      <w:pPr>
        <w:pStyle w:val="FirstParagraph"/>
      </w:pPr>
      <w:r>
        <w:t xml:space="preserve">O símbolo ? é um parâmetro. Com uma consulta parametrizada (PreparedStatement), o e-mail digitado é enviado separado do texto SQL e tratado como dado, e não como parte do comando. Isso impede que um valor malicioso no campo de e-mail altere a consulta, ataque conhecido como injeção de SQL (OWASP, s.d.). A tabela usuario é definida no Item 2.3.</w:t>
      </w:r>
    </w:p>
    <w:p>
      <w:pPr>
        <w:pStyle w:val="BodyText"/>
      </w:pPr>
      <w:r>
        <w:t xml:space="preserve">No processo de backend, a consulta passa por quatro etapas: o analisador verifica a sintaxe e gera uma árvore de consulta; o sistema de reescrita aplica as regras armazenadas no catálogo; o planejador estima o custo dos caminhos possíveis, como usar o índice da coluna email, e escolhe o mais barato; e o executor percorre o plano, lê as tabelas e devolve as linhas resultantes (POSTGRESQL, s.d.b).</w:t>
      </w:r>
    </w:p>
    <w:p>
      <w:pPr>
        <w:pStyle w:val="BodyText"/>
      </w:pPr>
      <w:r>
        <w:t xml:space="preserve">O resultado produzido pelo SGBD é um de três: uma linha com os dados do usuário, quando o e-mail existe; nenhuma linha, quando não existe; ou um erro, identificado por um código de cinco caracteres no padrão SQLSTATE, cujos dois primeiros indicam a classe do erro (POSTGRESQL, s.d.d). No driver JDBC, as linhas chegam como um ResultSet, e o erro, como uma exceção (SQLException). Em seguida, a conexão volta ao pool para ser reutilizada pela próxima requisição.</w:t>
      </w:r>
    </w:p>
    <w:p>
      <w:pPr>
        <w:pStyle w:val="BodyText"/>
      </w:pPr>
      <w:r>
        <w:t xml:space="preserve">O acesso ao SGBD também é restrito. Como mostra a Figura 1, o PostgreSQL fica fora do servidor da aplicação, em outra máquina da rede interna. O parâmetro</w:t>
      </w:r>
      <w:r>
        <w:t xml:space="preserve"> </w:t>
      </w:r>
      <w:r>
        <w:rPr>
          <w:rStyle w:val="VerbatimChar"/>
        </w:rPr>
        <w:t xml:space="preserve">listen_addresses</w:t>
      </w:r>
      <w:r>
        <w:t xml:space="preserve"> </w:t>
      </w:r>
      <w:r>
        <w:t xml:space="preserve">define em quais endereços ele aceita conexões; o padrão, localhost, só aceita a própria máquina, então ele é configurado com o endereço da rede interna (POSTGRESQL, s.d.a). O arquivo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define quais máquinas, bancos e usuários podem se conectar e com qual método de autenticação; conexões que não correspondem a nenhuma regra são recusadas (POSTGRESQL, s.d.e). Neste ambiente, a regra aceita apenas o servidor da aplicação, com o usuário de banco da aplicação, que tem só os privilégios necessários, como a leitura da tabela usuario.</w:t>
      </w:r>
    </w:p>
    <w:p>
      <w:pPr>
        <w:pStyle w:val="Heading2"/>
      </w:pPr>
      <w:r>
        <w:t xml:space="preserve">Caminho de volta</w:t>
      </w:r>
    </w:p>
    <w:p>
      <w:pPr>
        <w:pStyle w:val="FirstParagraph"/>
      </w:pPr>
      <w:r>
        <w:t xml:space="preserve">A resposta percorre o caminho inverso: do SGBD à aplicação, que decide o resultado, e dela ao Tomcat e ao Nginx, que a envia ao navegador pelo canal TLS (ver Item 1.2). A Figura 4 mostra o redirecionamento da porta 80 e o atendimento de um recurso estático, que não passa pelo servidor de aplicação. A Figura 5 mostra o processamento completo da autenticação, incluindo os caminhos do 400 e do 500.</w:t>
      </w:r>
    </w:p>
    <w:p>
      <w:pPr>
        <w:pStyle w:val="Legenda"/>
      </w:pPr>
      <w:r>
        <w:rPr>
          <w:bCs/>
          <w:b/>
        </w:rPr>
        <w:t xml:space="preserve">Figura 4 – Diagrama de sequência do atendimento de um recurso estático pelo Nginx</w:t>
      </w:r>
    </w:p>
    <w:p>
      <w:pPr>
        <w:pStyle w:val="BodyText"/>
        <w:keepNext/>
        <w:jc w:val="center"/>
      </w:pPr>
      <w:r>
        <w:drawing>
          <wp:inline>
            <wp:extent cx="3959999" cy="396405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a4_recurso_estati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396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elaborada pelos autores, com apoio de IA (ANTHROPIC, 2026c).</w:t>
      </w:r>
    </w:p>
    <w:p>
      <w:pPr>
        <w:pStyle w:val="Legenda"/>
      </w:pPr>
      <w:r>
        <w:rPr>
          <w:bCs/>
          <w:b/>
        </w:rPr>
        <w:t xml:space="preserve">Figura 5 – Diagrama de sequência do processamento da autenticação no lado servidor</w:t>
      </w:r>
    </w:p>
    <w:p>
      <w:pPr>
        <w:pStyle w:val="BodyText"/>
        <w:keepNext/>
        <w:jc w:val="center"/>
      </w:pPr>
      <w:r>
        <w:drawing>
          <wp:inline>
            <wp:extent cx="5753100" cy="436249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a5_recurso_dinamico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6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 xml:space="preserve">Fonte: elaborada pelos autores, com apoio de IA (ANTHROPIC, 2026c).</w:t>
      </w:r>
    </w:p>
    <w:p>
      <w:pPr>
        <w:pStyle w:val="BodyText"/>
      </w:pPr>
      <w:r>
        <w:t xml:space="preserve">A Tabela 3 resume, para cada software do lado servidor, quem o invoca e como, o que ele processa e o que produz.</w:t>
      </w:r>
    </w:p>
    <w:p>
      <w:pPr>
        <w:pStyle w:val="Legenda"/>
      </w:pPr>
      <w:r>
        <w:rPr>
          <w:bCs/>
          <w:b/>
        </w:rPr>
        <w:t xml:space="preserve">Tabela 3 – Lado servidor: invocação, processamento e resultado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1701"/>
        <w:gridCol w:w="2551"/>
        <w:gridCol w:w="2551"/>
        <w:gridCol w:w="2268"/>
      </w:tblGrid>
      <w:tr>
        <w:trPr>
          <w:tblHeader w:val="true"/>
        </w:trPr>
        <w:tc>
          <w:tcPr>
            <w:tcW w:type="dxa" w:w="170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Componente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Quem o invoca e como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O que ele processa</w:t>
            </w:r>
          </w:p>
        </w:tc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O que ele produz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Servidor web (Nginx)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Iniciado pelo sistema operacional como serviço; a cada requisição, pelo navegador, via TCP na porta 80 (só redirecionamento) e TCP com TLS na porta 443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requisição decifrada, comparada com os blocos location: caminhos estáticos são lidos do disco e /api/ é repassado com proxy_pass</w:t>
            </w:r>
          </w:p>
        </w:tc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Arquivo estático (200 ou 404); requisição repassada ao servidor de aplicação com os cabeçalhos X-Forwarded; resposta da aplicação devolvida ao navegador; 301 na porta 80; 502 ou 504 se a aplicação falhar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Servidor de aplicação (Spring Boot com Tomcat)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Iniciado como programa Java, que sobe o Tomcat em 127.0.0.1, porta 8080; a cada requisição, pelo Nginx, via HTTP interno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requisição HTTP, entregue por uma thread ao DispatcherServlet, que converte e valida o corpo JSON e invoca o método da aplicação</w:t>
            </w:r>
          </w:p>
        </w:tc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Consulta enviada ao SGBD; resposta HTTP com status 200, 400, 401 ou 500 e corpo JSON</w:t>
            </w:r>
          </w:p>
        </w:tc>
      </w:tr>
      <w:tr>
        <w:tc>
          <w:tcPr>
            <w:tcW w:type="dxa" w:w="170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SGBD (PostgreSQL)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Iniciado como serviço, com o postmaster escutando a porta 5432 na rede interna; a cada consulta, pelo servidor de aplicação, via driver JDBC e pool de conexões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consulta SQL parametrizada, que passa por análise, reescrita, planejamento e execução no processo de backend</w:t>
            </w:r>
          </w:p>
        </w:tc>
        <w:tc>
          <w:tcPr>
            <w:tcW w:type="dxa" w:w="2268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Uma linha com os dados do usuário, nenhuma linha ou um erro com código SQLSTATE</w:t>
            </w:r>
          </w:p>
        </w:tc>
      </w:tr>
    </w:tbl>
    <w:p>
      <w:pPr>
        <w:pStyle w:val="Fonte"/>
      </w:pPr>
      <w:r>
        <w:t xml:space="preserve">Fonte: elaborada pelos autores, com apoio de IA (ANTHROPIC, 2026c).</w:t>
      </w:r>
    </w:p>
    <w:p>
      <w:pPr>
        <w:pStyle w:val="BodyText"/>
      </w:pPr>
      <w:r>
        <w:t xml:space="preserve">Em síntese, o Nginx protege a borda, serve os arquivos estáticos e repassa a API; o Spring Boot com Tomcat executa o código da aplicação; e o PostgreSQL guarda e devolve os dados do usuário. Cada um só aceita conexões de quem está imediatamente antes dele no fluxo: o Tomcat escuta apenas o endereço local, e o PostgreSQL aceita apenas o servidor da aplicação. A organização do código da aplicação em camadas é tratada no Item 2.2.</w:t>
      </w:r>
    </w:p>
    <w:p>
      <w:pPr>
        <w:pStyle w:val="Heading2"/>
      </w:pPr>
      <w:r>
        <w:t xml:space="preserve">Referências do Item 1.3</w:t>
      </w:r>
    </w:p>
    <w:p>
      <w:pPr>
        <w:pStyle w:val="FirstParagraph"/>
      </w:pPr>
      <w:r>
        <w:t xml:space="preserve">Todas as fontes citadas no Item 1.3, em ordem alfabética e com o mesmo formato das entradas do grupo. A página do Tomcat 11 corresponde ao Spring Boot 4 (Servlet 6.1); se o grupo usar o Spring Boot 3, troque pela página do Tomcat 10.1.</w:t>
      </w:r>
    </w:p>
    <w:p>
      <w:pPr>
        <w:pStyle w:val="BodyText"/>
        <w:spacing w:line="240" w:lineRule="auto" w:after="240"/>
        <w:jc w:val="left"/>
      </w:pPr>
      <w:r>
        <w:t xml:space="preserve">ANTHROPIC. Claude. 2026c. Disponível em: https://claude.ai. Acesso em: 26 out. 2026. Prompt: Apêndice VI, Seção VI.4.</w:t>
      </w:r>
    </w:p>
    <w:p>
      <w:pPr>
        <w:pStyle w:val="BodyText"/>
        <w:spacing w:line="240" w:lineRule="auto" w:after="240"/>
        <w:jc w:val="left"/>
      </w:pPr>
      <w:r>
        <w:t xml:space="preserve">APACHE SOFTWARE FOUNDATION. Apache Tomcat 11 Configuration Reference: The HTTP Connector. s.d. Disponível em: https://tomcat.apache.org/tomcat-11.0-doc/config/http.html. Acesso em: 26 out. 2026.</w:t>
      </w:r>
    </w:p>
    <w:p>
      <w:pPr>
        <w:pStyle w:val="BodyText"/>
        <w:spacing w:line="240" w:lineRule="auto" w:after="240"/>
        <w:jc w:val="left"/>
      </w:pPr>
      <w:r>
        <w:t xml:space="preserve">ECLIPSE FOUNDATION. Jakarta Servlet Specification: version 6.1. 2024. Disponível em: https://jakarta.ee/specifications/servlet/6.1/jakarta-servlet-spec-6.1. Acesso em: 26 out. 2026.</w:t>
      </w:r>
    </w:p>
    <w:p>
      <w:pPr>
        <w:pStyle w:val="BodyText"/>
        <w:spacing w:line="240" w:lineRule="auto" w:after="240"/>
        <w:jc w:val="left"/>
      </w:pPr>
      <w:r>
        <w:t xml:space="preserve">FIELDING, R.; NOTTINGHAM, M.; RESCHKE, J. (ed.). RFC 9110: HTTP Semantics. IETF, jun. 2022a. Disponível em: https://www.rfc-editor.org/rfc/rfc9110.html.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Strict-Transport-Security. MDN Web Docs, 2026h. Disponível em: https://developer.mozilla.org/pt-BR/docs/Web/HTTP/Reference/Headers/Strict-Transport-Security. Acesso em: 26 out. 2026.</w:t>
      </w:r>
    </w:p>
    <w:p>
      <w:pPr>
        <w:pStyle w:val="BodyText"/>
        <w:spacing w:line="240" w:lineRule="auto" w:after="240"/>
        <w:jc w:val="left"/>
      </w:pPr>
      <w:r>
        <w:t xml:space="preserve">NGINX. Beginner’s Guide. nginx.org, s.d.a. Disponível em: https://nginx.org/docs/beginners_guide.html. Acesso em: 25 out. 2026.</w:t>
      </w:r>
    </w:p>
    <w:p>
      <w:pPr>
        <w:pStyle w:val="BodyText"/>
        <w:spacing w:line="240" w:lineRule="auto" w:after="240"/>
        <w:jc w:val="left"/>
      </w:pPr>
      <w:r>
        <w:t xml:space="preserve">NGINX. NGINX Reverse Proxy. NGINX Documentation, s.d.b. Disponível em: https://docs.nginx.com/nginx/admin-guide/web-server/reverse-proxy/. Acesso em: 25 out. 2026.</w:t>
      </w:r>
    </w:p>
    <w:p>
      <w:pPr>
        <w:pStyle w:val="BodyText"/>
        <w:spacing w:line="240" w:lineRule="auto" w:after="240"/>
        <w:jc w:val="left"/>
      </w:pPr>
      <w:r>
        <w:t xml:space="preserve">NGINX. NGINX SSL Termination. NGINX Documentation, s.d.c. Disponível em: https://docs.nginx.com/nginx/admin-guide/security-controls/terminating-ssl-http/. Acesso em: 25 out. 2026.</w:t>
      </w:r>
    </w:p>
    <w:p>
      <w:pPr>
        <w:pStyle w:val="BodyText"/>
        <w:spacing w:line="240" w:lineRule="auto" w:after="240"/>
        <w:jc w:val="left"/>
      </w:pPr>
      <w:r>
        <w:t xml:space="preserve">OWASP. SQL Injection Prevention Cheat Sheet. OWASP Cheat Sheet Series, s.d. Disponível em: https://cheatsheetseries.owasp.org/cheatsheets/SQL_Injection_Prevention_Cheat_Sheet.html.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Connections and Authentication. s.d.a. Disponível em: https://www.postgresql.org/docs/current/runtime-config-connection.html. Acesso em: 24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The Path of a Query. s.d.b. Disponível em: https://www.postgresql.org/docs/current/query-path.html.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How Connections Are Established. s.d.c. Disponível em: https://www.postgresql.org/docs/current/connect-estab.html.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PostgreSQL Error Codes. s.d.d. Disponível em: https://www.postgresql.org/docs/current/errcodes-appendix.html.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The pg_hba.conf File. s.d.e. Disponível em: https://www.postgresql.org/docs/current/auth-pg-hba-conf.html. Acesso em: 26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Embedded Web Servers. s.d.a. Disponível em: https://docs.spring.io/spring-boot/how-to/webserver.html. Acesso em: 24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DispatcherServlet. s.d.b. Disponível em: https://docs.spring.io/spring-framework/reference/web/webmvc/mvc-servlet.html.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Special Bean Types. s.d.c. Disponível em: https://docs.spring.io/spring-framework/reference/web/webmvc/mvc-servlet/special-bean-types.html.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</w:t>
      </w:r>
      <w:r>
        <w:t xml:space="preserve"> </w:t>
      </w:r>
      <w:r>
        <w:t xml:space="preserve">@RequestBody</w:t>
      </w:r>
      <w:r>
        <w:t xml:space="preserve">. s.d.d. Disponível em: https://docs.spring.io/spring-framework/reference/web/webmvc/mvc-controller/ann-methods/requestbody.html.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SQL Databases. s.d.e. Disponível em: https://docs.spring.io/spring-boot/reference/data/sql.html.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Security Reference: HTTP (Proxy Server Configuration). s.d.f. Disponível em: https://docs.spring.io/spring-security/reference/features/exploits/http.html.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Exceptions. s.d.g. Disponível em: https://docs.spring.io/spring-framework/reference/web/webmvc/mvc-servlet/exceptionhandlers.html. Acesso em: 26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Servlet Web Applications. s.d.h. Disponível em: https://docs.spring.io/spring-boot/reference/web/servlet.html. Acesso em: 26 out. 2026.</w:t>
      </w:r>
    </w:p>
    <w:p>
      <w:pPr>
        <w:pStyle w:val="Heading3"/>
      </w:pPr>
      <w:r>
        <w:t xml:space="preserve">Para o Apêndice VI, Seção VI.4</w:t>
      </w:r>
    </w:p>
    <w:p>
      <w:pPr>
        <w:pStyle w:val="FirstParagraph"/>
      </w:pPr>
      <w:r>
        <w:t xml:space="preserve">Ferramenta: Claude (Anthropic), https://claude.ai, acessos em 25 e 26 out. 2026. Arquivos anexados: rascunho do documento com os Itens 1.1 e 1.2 (PDF), Guia da APS (PDF), versão do documento com o Item 1.3 (PDF) e revisão do Item 1.3 (PDF). Prompts, na ordem: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Estou realizando um trabalho acadêmico em trio, nosso grupo está seguindo um plano com a divisão de tarefas do que cada um devê fazer. Estamos agora na parte de 1.3, que quem deve fazer sou eu, analise o plano e as outras partes feitas pelos meus colegas para fazer a parte 1.3, se perceber algo incomum nas outras partes tambem me avise. nao esqueça de mandar as referencias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Estou achando o texto um pouco maior que os anteriores? Está normal por conta do conteudo ou recomanda resumir ele?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Pode cortar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Ficou assim no documento, e ficou assim a revisão, analise e diz se condiz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Pode aplicar a correção e fazer as sugestoes</w:t>
      </w:r>
      <w:r>
        <w:t xml:space="preserve">”</w:t>
      </w:r>
    </w:p>
    <w:p>
      <w:pPr>
        <w:pStyle w:val="FirstParagraph"/>
      </w:pPr>
      <w:r>
        <w:t xml:space="preserve">Uso: rascunho do texto, da Tabela 3 e das Figuras 4 e 5 do Item 1.3 e das correções da revisão, revisados pelo autor.</w:t>
      </w:r>
    </w:p>
    <w:p>
      <w:pPr>
        <w:pStyle w:val="Heading3"/>
      </w:pPr>
      <w:r>
        <w:t xml:space="preserve">Para o apêndice de códigos PlantUML: Figuras 4 e 5</w:t>
      </w:r>
    </w:p>
    <w:p>
      <w:pPr>
        <w:pStyle w:val="FirstParagraph"/>
      </w:pPr>
      <w:r>
        <w:t xml:space="preserve">Os dois códigos usam o mesmo cabeçalho das Figuras 1 e 2 (Arial, dpi 150, fundo branco). Eles substituem o código antigo da Figura 4.</w:t>
      </w:r>
    </w:p>
    <w:p>
      <w:pPr>
        <w:pStyle w:val="BodyText"/>
      </w:pPr>
      <w:r>
        <w:rPr>
          <w:bCs/>
          <w:b/>
        </w:rPr>
        <w:t xml:space="preserve">Figura 4 – código PlantUML do Diagrama de sequência do atendimento de um recurso estático pelo Nginx</w:t>
      </w:r>
    </w:p>
    <w:p>
      <w:pPr>
        <w:pStyle w:val="SourceCode"/>
      </w:pPr>
      <w:r>
        <w:rPr>
          <w:rStyle w:val="VerbatimChar"/>
        </w:rPr>
        <w:t xml:space="preserve">@startuml figura4_recurso_estatico</w:t>
      </w:r>
      <w:r>
        <w:br/>
      </w:r>
      <w:r>
        <w:rPr>
          <w:rStyle w:val="VerbatimChar"/>
        </w:rPr>
        <w:t xml:space="preserve">skinparam backgroundColor white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dpi 150</w:t>
      </w:r>
      <w:r>
        <w:br/>
      </w:r>
      <w:r>
        <w:rPr>
          <w:rStyle w:val="VerbatimChar"/>
        </w:rPr>
        <w:t xml:space="preserve">skinparam defaultFontName Arial</w:t>
      </w:r>
      <w:r>
        <w:br/>
      </w:r>
      <w:r>
        <w:rPr>
          <w:rStyle w:val="VerbatimChar"/>
        </w:rPr>
        <w:t xml:space="preserve">skinparam sequenceMessageAlign center</w:t>
      </w:r>
      <w:r>
        <w:br/>
      </w:r>
      <w:r>
        <w:rPr>
          <w:rStyle w:val="VerbatimChar"/>
        </w:rPr>
        <w:t xml:space="preserve">participant "Navegador" as NAV</w:t>
      </w:r>
      <w:r>
        <w:br/>
      </w:r>
      <w:r>
        <w:rPr>
          <w:rStyle w:val="VerbatimChar"/>
        </w:rPr>
        <w:t xml:space="preserve">participant "Servidor web\n(Nginx)" as NGINX</w:t>
      </w:r>
      <w:r>
        <w:br/>
      </w:r>
      <w:r>
        <w:rPr>
          <w:rStyle w:val="VerbatimChar"/>
        </w:rPr>
        <w:t xml:space="preserve">database "Disco do servidor\n(/var/www/aplicacao)" as DISCO</w:t>
      </w:r>
      <w:r>
        <w:br/>
      </w:r>
      <w:r>
        <w:br/>
      </w:r>
      <w:r>
        <w:rPr>
          <w:rStyle w:val="VerbatimChar"/>
        </w:rPr>
        <w:t xml:space="preserve">== Porta 80: redirecionamento ==</w:t>
      </w:r>
      <w:r>
        <w:br/>
      </w:r>
      <w:r>
        <w:rPr>
          <w:rStyle w:val="VerbatimChar"/>
        </w:rPr>
        <w:t xml:space="preserve">NAV -&gt; NGINX : GET http://aplicacao.example/ (TCP, porta 80)</w:t>
      </w:r>
      <w:r>
        <w:br/>
      </w:r>
      <w:r>
        <w:rPr>
          <w:rStyle w:val="VerbatimChar"/>
        </w:rPr>
        <w:t xml:space="preserve">NGINX --&gt; NAV : 301 Moved Permanently\nLocation: https://aplicacao.example/</w:t>
      </w:r>
      <w:r>
        <w:br/>
      </w:r>
      <w:r>
        <w:br/>
      </w:r>
      <w:r>
        <w:rPr>
          <w:rStyle w:val="VerbatimChar"/>
        </w:rPr>
        <w:t xml:space="preserve">== Porta 443: recurso estático (dentro do canal TLS) ==</w:t>
      </w:r>
      <w:r>
        <w:br/>
      </w:r>
      <w:r>
        <w:rPr>
          <w:rStyle w:val="VerbatimChar"/>
        </w:rPr>
        <w:t xml:space="preserve">NAV -&gt; NGINX : GET / (TCP com TLS, porta 443)</w:t>
      </w:r>
      <w:r>
        <w:br/>
      </w:r>
      <w:r>
        <w:rPr>
          <w:rStyle w:val="VerbatimChar"/>
        </w:rPr>
        <w:t xml:space="preserve">note right of NGINX</w:t>
      </w:r>
      <w:r>
        <w:br/>
      </w:r>
      <w:r>
        <w:rPr>
          <w:rStyle w:val="VerbatimChar"/>
        </w:rPr>
        <w:t xml:space="preserve">escolhe o bloco location /</w:t>
      </w:r>
      <w:r>
        <w:br/>
      </w:r>
      <w:r>
        <w:rPr>
          <w:rStyle w:val="VerbatimChar"/>
        </w:rPr>
        <w:t xml:space="preserve">e junta o caminho ao root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NGINX -&gt; DISCO : lê o arquivo</w:t>
      </w:r>
      <w:r>
        <w:br/>
      </w:r>
      <w:r>
        <w:rPr>
          <w:rStyle w:val="VerbatimChar"/>
        </w:rPr>
        <w:t xml:space="preserve">alt arquivo existe</w:t>
      </w:r>
      <w:r>
        <w:br/>
      </w:r>
      <w:r>
        <w:rPr>
          <w:rStyle w:val="VerbatimChar"/>
        </w:rPr>
        <w:t xml:space="preserve">  DISCO --&gt; NGINX : conteúdo do arquivo</w:t>
      </w:r>
      <w:r>
        <w:br/>
      </w:r>
      <w:r>
        <w:rPr>
          <w:rStyle w:val="VerbatimChar"/>
        </w:rPr>
        <w:t xml:space="preserve">  NGINX --&gt; NAV : 200 OK + HTML, CSS ou JavaScript\n+ Strict-Transport-Security</w:t>
      </w:r>
      <w:r>
        <w:br/>
      </w:r>
      <w:r>
        <w:rPr>
          <w:rStyle w:val="VerbatimChar"/>
        </w:rPr>
        <w:t xml:space="preserve">else arquivo não existe</w:t>
      </w:r>
      <w:r>
        <w:br/>
      </w:r>
      <w:r>
        <w:rPr>
          <w:rStyle w:val="VerbatimChar"/>
        </w:rPr>
        <w:t xml:space="preserve">  NGINX --&gt; NAV : 404 Not Found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@enduml</w:t>
      </w:r>
    </w:p>
    <w:p>
      <w:pPr>
        <w:pStyle w:val="FirstParagraph"/>
      </w:pPr>
      <w:r>
        <w:rPr>
          <w:bCs/>
          <w:b/>
        </w:rPr>
        <w:t xml:space="preserve">Figura 5 – código PlantUML do Diagrama de sequência do processamento da autenticação no lado servidor</w:t>
      </w:r>
    </w:p>
    <w:p>
      <w:pPr>
        <w:pStyle w:val="SourceCode"/>
      </w:pPr>
      <w:r>
        <w:rPr>
          <w:rStyle w:val="VerbatimChar"/>
        </w:rPr>
        <w:t xml:space="preserve">@startuml figura5_recurso_dinamico</w:t>
      </w:r>
      <w:r>
        <w:br/>
      </w:r>
      <w:r>
        <w:rPr>
          <w:rStyle w:val="VerbatimChar"/>
        </w:rPr>
        <w:t xml:space="preserve">skinparam backgroundColor white</w:t>
      </w:r>
      <w:r>
        <w:br/>
      </w:r>
      <w:r>
        <w:rPr>
          <w:rStyle w:val="VerbatimChar"/>
        </w:rPr>
        <w:t xml:space="preserve">skinparam shadowing false</w:t>
      </w:r>
      <w:r>
        <w:br/>
      </w:r>
      <w:r>
        <w:rPr>
          <w:rStyle w:val="VerbatimChar"/>
        </w:rPr>
        <w:t xml:space="preserve">skinparam dpi 150</w:t>
      </w:r>
      <w:r>
        <w:br/>
      </w:r>
      <w:r>
        <w:rPr>
          <w:rStyle w:val="VerbatimChar"/>
        </w:rPr>
        <w:t xml:space="preserve">skinparam defaultFontName Arial</w:t>
      </w:r>
      <w:r>
        <w:br/>
      </w:r>
      <w:r>
        <w:rPr>
          <w:rStyle w:val="VerbatimChar"/>
        </w:rPr>
        <w:t xml:space="preserve">skinparam sequenceMessageAlign center</w:t>
      </w:r>
      <w:r>
        <w:br/>
      </w:r>
      <w:r>
        <w:rPr>
          <w:rStyle w:val="VerbatimChar"/>
        </w:rPr>
        <w:t xml:space="preserve">participant "Navegador" as NAV</w:t>
      </w:r>
      <w:r>
        <w:br/>
      </w:r>
      <w:r>
        <w:rPr>
          <w:rStyle w:val="VerbatimChar"/>
        </w:rPr>
        <w:t xml:space="preserve">participant "Servidor web\n(Nginx)" as NGINX</w:t>
      </w:r>
      <w:r>
        <w:br/>
      </w:r>
      <w:r>
        <w:rPr>
          <w:rStyle w:val="VerbatimChar"/>
        </w:rPr>
        <w:t xml:space="preserve">box "Servidor de aplicação" #FFFFFF</w:t>
      </w:r>
      <w:r>
        <w:br/>
      </w:r>
      <w:r>
        <w:rPr>
          <w:rStyle w:val="VerbatimChar"/>
        </w:rPr>
        <w:t xml:space="preserve">participant "Tomcat\n(conector)" as CON</w:t>
      </w:r>
      <w:r>
        <w:br/>
      </w:r>
      <w:r>
        <w:rPr>
          <w:rStyle w:val="VerbatimChar"/>
        </w:rPr>
        <w:t xml:space="preserve">participant "Dispatcher\nServlet" as DS</w:t>
      </w:r>
      <w:r>
        <w:br/>
      </w:r>
      <w:r>
        <w:rPr>
          <w:rStyle w:val="VerbatimChar"/>
        </w:rPr>
        <w:t xml:space="preserve">participant "Código da\naplicação" as APP</w:t>
      </w:r>
      <w:r>
        <w:br/>
      </w:r>
      <w:r>
        <w:rPr>
          <w:rStyle w:val="VerbatimChar"/>
        </w:rPr>
        <w:t xml:space="preserve">end box</w:t>
      </w:r>
      <w:r>
        <w:br/>
      </w:r>
      <w:r>
        <w:rPr>
          <w:rStyle w:val="VerbatimChar"/>
        </w:rPr>
        <w:t xml:space="preserve">database "SGBD\n(PostgreSQL)" as BD</w:t>
      </w:r>
      <w:r>
        <w:br/>
      </w:r>
      <w:r>
        <w:br/>
      </w:r>
      <w:r>
        <w:rPr>
          <w:rStyle w:val="VerbatimChar"/>
        </w:rPr>
        <w:t xml:space="preserve">NAV -&gt; NGINX : POST /api/autenticacao\n{"email", "senha"}</w:t>
      </w:r>
      <w:r>
        <w:br/>
      </w:r>
      <w:r>
        <w:rPr>
          <w:rStyle w:val="VerbatimChar"/>
        </w:rPr>
        <w:t xml:space="preserve">NGINX -&gt; CON : repassa (HTTP, 127.0.0.1:8080)\n+ X-Forwarded-For e -Proto</w:t>
      </w:r>
      <w:r>
        <w:br/>
      </w:r>
      <w:r>
        <w:rPr>
          <w:rStyle w:val="VerbatimChar"/>
        </w:rPr>
        <w:t xml:space="preserve">CON -&gt; DS : thread entrega\nrequest e response</w:t>
      </w:r>
      <w:r>
        <w:br/>
      </w:r>
      <w:r>
        <w:rPr>
          <w:rStyle w:val="VerbatimChar"/>
        </w:rPr>
        <w:t xml:space="preserve">DS -&gt; DS : converte o JSON\ne valida os campos</w:t>
      </w:r>
      <w:r>
        <w:br/>
      </w:r>
      <w:r>
        <w:rPr>
          <w:rStyle w:val="VerbatimChar"/>
        </w:rPr>
        <w:t xml:space="preserve">alt JSON malformado ou campos inválidos</w:t>
      </w:r>
      <w:r>
        <w:br/>
      </w:r>
      <w:r>
        <w:rPr>
          <w:rStyle w:val="VerbatimChar"/>
        </w:rPr>
        <w:t xml:space="preserve">  DS --&gt; CON : 400 + JSON de erro</w:t>
      </w:r>
      <w:r>
        <w:br/>
      </w:r>
      <w:r>
        <w:rPr>
          <w:rStyle w:val="VerbatimChar"/>
        </w:rPr>
        <w:t xml:space="preserve">else dados válidos</w:t>
      </w:r>
      <w:r>
        <w:br/>
      </w:r>
      <w:r>
        <w:rPr>
          <w:rStyle w:val="VerbatimChar"/>
        </w:rPr>
        <w:t xml:space="preserve">  DS -&gt; APP : invoca o método\nde autenticação</w:t>
      </w:r>
      <w:r>
        <w:br/>
      </w:r>
      <w:r>
        <w:rPr>
          <w:rStyle w:val="VerbatimChar"/>
        </w:rPr>
        <w:t xml:space="preserve">  APP -&gt; BD : SELECT ... WHERE email = ?\n(JDBC, pool, porta 5432)</w:t>
      </w:r>
      <w:r>
        <w:br/>
      </w:r>
      <w:r>
        <w:rPr>
          <w:rStyle w:val="VerbatimChar"/>
        </w:rPr>
        <w:t xml:space="preserve">  note right of BD</w:t>
      </w:r>
      <w:r>
        <w:br/>
      </w:r>
      <w:r>
        <w:rPr>
          <w:rStyle w:val="VerbatimChar"/>
        </w:rPr>
        <w:t xml:space="preserve">  backend: análise, reescrita,</w:t>
      </w:r>
      <w:r>
        <w:br/>
      </w:r>
      <w:r>
        <w:rPr>
          <w:rStyle w:val="VerbatimChar"/>
        </w:rPr>
        <w:t xml:space="preserve">  planejamento e execução</w:t>
      </w:r>
      <w:r>
        <w:br/>
      </w:r>
      <w:r>
        <w:rPr>
          <w:rStyle w:val="VerbatimChar"/>
        </w:rPr>
        <w:t xml:space="preserve">  end note</w:t>
      </w:r>
      <w:r>
        <w:br/>
      </w:r>
      <w:r>
        <w:rPr>
          <w:rStyle w:val="VerbatimChar"/>
        </w:rPr>
        <w:t xml:space="preserve">  alt consulta executada</w:t>
      </w:r>
      <w:r>
        <w:br/>
      </w:r>
      <w:r>
        <w:rPr>
          <w:rStyle w:val="VerbatimChar"/>
        </w:rPr>
        <w:t xml:space="preserve">    BD --&gt; APP : 1 linha ou 0 linhas</w:t>
      </w:r>
      <w:r>
        <w:br/>
      </w:r>
      <w:r>
        <w:rPr>
          <w:rStyle w:val="VerbatimChar"/>
        </w:rPr>
        <w:t xml:space="preserve">    APP --&gt; DS : 200 (dados do usuário)\nou 401 (mensagem genérica)</w:t>
      </w:r>
      <w:r>
        <w:br/>
      </w:r>
      <w:r>
        <w:rPr>
          <w:rStyle w:val="VerbatimChar"/>
        </w:rPr>
        <w:t xml:space="preserve">  else falha no SGBD</w:t>
      </w:r>
      <w:r>
        <w:br/>
      </w:r>
      <w:r>
        <w:rPr>
          <w:rStyle w:val="VerbatimChar"/>
        </w:rPr>
        <w:t xml:space="preserve">    BD --&gt; APP : erro com código SQLSTATE</w:t>
      </w:r>
      <w:r>
        <w:br/>
      </w:r>
      <w:r>
        <w:rPr>
          <w:rStyle w:val="VerbatimChar"/>
        </w:rPr>
        <w:t xml:space="preserve">    APP --&gt; DS : exceção tratada pelo\n@ControllerAdvice: 500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DS --&gt; CON : resposta convertida em JSON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CON --&gt; NGINX : resposta HTTP</w:t>
      </w:r>
      <w:r>
        <w:br/>
      </w:r>
      <w:r>
        <w:rPr>
          <w:rStyle w:val="VerbatimChar"/>
        </w:rPr>
        <w:t xml:space="preserve">NGINX --&gt; NAV : resposta no canal TLS</w:t>
      </w:r>
      <w:r>
        <w:br/>
      </w:r>
      <w:r>
        <w:rPr>
          <w:rStyle w:val="VerbatimChar"/>
        </w:rPr>
        <w:t xml:space="preserve">note over NAV, NGINX</w:t>
      </w:r>
      <w:r>
        <w:br/>
      </w:r>
      <w:r>
        <w:rPr>
          <w:rStyle w:val="VerbatimChar"/>
        </w:rPr>
        <w:t xml:space="preserve">se o Tomcat estiver parado ou não</w:t>
      </w:r>
      <w:r>
        <w:br/>
      </w:r>
      <w:r>
        <w:rPr>
          <w:rStyle w:val="VerbatimChar"/>
        </w:rPr>
        <w:t xml:space="preserve">responder a tempo: 502 ou 504</w:t>
      </w:r>
      <w:r>
        <w:br/>
      </w:r>
      <w:r>
        <w:rPr>
          <w:rStyle w:val="VerbatimChar"/>
        </w:rPr>
        <w:t xml:space="preserve">end note</w:t>
      </w:r>
      <w:r>
        <w:br/>
      </w:r>
      <w:r>
        <w:rPr>
          <w:rStyle w:val="VerbatimChar"/>
        </w:rPr>
        <w:t xml:space="preserve">@enduml</w:t>
      </w:r>
    </w:p>
    <w:p>
      <w:pPr>
        <w:pStyle w:val="Heading2"/>
      </w:pPr>
      <w:r>
        <w:t xml:space="preserve">Registro para o Apêndice V: revisão do Item 1.3</w:t>
      </w:r>
    </w:p>
    <w:p>
      <w:pPr>
        <w:pStyle w:val="FirstParagraph"/>
      </w:pPr>
      <w:r>
        <w:t xml:space="preserve">Revisão de Isadora Yasmim da Silva em 26/10/2026; correções do autor em 26/10/2026.</w:t>
      </w:r>
      <w:r>
        <w:t xml:space="preserve"> </w:t>
      </w:r>
      <w:r>
        <w:t xml:space="preserve">“</w:t>
      </w:r>
      <w:r>
        <w:t xml:space="preserve">Não procede</w:t>
      </w:r>
      <w:r>
        <w:t xml:space="preserve">”</w:t>
      </w:r>
      <w:r>
        <w:t xml:space="preserve"> </w:t>
      </w:r>
      <w:r>
        <w:t xml:space="preserve">indica um apontamento que não corresponde ao texto revisado.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9072" w:type="dxa"/>
        <w:tblLayout w:type="fixed"/>
      </w:tblPr>
      <w:tblGrid>
        <w:gridCol w:w="623"/>
        <w:gridCol w:w="2551"/>
        <w:gridCol w:w="1644"/>
        <w:gridCol w:w="4252"/>
      </w:tblGrid>
      <w:tr>
        <w:trPr>
          <w:tblHeader w:val="true"/>
        </w:trP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Nº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Apontamento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Situação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b/>
                <w:sz w:val="20"/>
              </w:rPr>
              <w:t xml:space="preserve">Correção feita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1a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Símbolos $ do código do Nginx convertidos em fórmula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Bloco recolado como texto em fonte monoespaçada, com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return 301 https://$host$request_uri;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1b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Chega ao Nginx já decifrada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Onde o TLS é encerrado e a requisição é decifrada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1c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O 301 não garante que a senha trafegue cifrada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Frase reescrita; HSTS incluído no texto, no exemplo do Nginx e na Figura 4 (MDN, 2026h)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1d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Causa do IP local; cabeçalhos X-Forwarded sem configuração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IP local atribuído à nova conexão do proxy e esquema http ao TLS; incluída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server.forward-headers-strategy=native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(SPRING, s.d.f)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1e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Conector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só no endereço local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sem configuração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Indicado o padrão do Tomcat (todos os endereços) e incluída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server.address=127.0.0.1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1f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Resposta 500 atribuída ao HandlerExceptionResolver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Tratador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@ControllerAdvice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monta a 500 do contrato; sem ele, rota /error do Spring Boot (SPRING, s.d.g, s.d.h)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1g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Dados inválidos resultam em 400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JSON malformado resulta em 400; campos ausentes ou vazios são rejeitados pela validação do Item 2.3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1h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Restrição de acesso ao PostgreSQL não explicada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Parágrafo com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listen_addresses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pg_hba.conf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(POSTGRESQL, s.d.a, s.d.e) e usuário de banco com privilégios mínimos; SGBD em outra máquina, conforme a Figura 1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Referências citadas ausentes da lista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Todas as entradas do Item 1.3 listadas acima; novas: ECLIPSE FOUNDATION (2024), MDN (2026h), POSTGRESQL (s.d.e), SPRING (s.d.g, s.d.h)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ANTHROPIC (2026c) ausente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Não procede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entrada já existia; acrescentada a remissão à Seção VI.4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Unificar SPRING (s.d.f) com SPRING (s.d.a)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Mantido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A fonte é a referência do Spring Security, que trata de cabeçalhos forjados e da propriedade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server.forward-headers-strategy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Citar o pgJDBC para o driver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Mantido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POSTGRESQL (s.d.c) afirma que o driver JDBC é uma implementação independente do protocolo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Versão do Tomcat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Página do Tomcat 11, que acompanha o Spring Boot 4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Duplicatas, ordem da lista 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s.d.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Encaminhado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Ver Pendências. A RFC 9110 não está duplicada: a entrada existe sem o sufixo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Códigos 301, 404, 502 e 504 fora dos quatro do Item 1.2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Frase que separa os códigos da API dos códigos da infraestrutura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Figura sem o caminho do 400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Figura 5 mostra os caminhos do 400 e do 500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Fonte da figura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(ANTHROPIC, 2026 )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(ANTHROPIC, 2026c)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nas Figuras 4 e 5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Sumário sem o Item 1.3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Encaminhado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Ver Pendências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Cabeçalho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Protocolo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na Tabela 3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Componente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Portas 80 e 443 na linha do Nginx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TCP na porta 80 (só redirecionamento) e TCP com TLS na porta 443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Tabela 3 sem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Fonte: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 com estilo diferente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Linha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Fonte: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incluída; título centralizado e estilo da Tabela 2 aplicados ao colar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Figura ilegível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Dividida em Figuras 4 (recurso estático) e 5 (autenticação)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Título da figura separado da imagem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Não procede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Na versão revisada, título e figura estavam na mesma página; mantidos juntos ao colar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Código PlantUML sem os skinparam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Cabeçalho das Figuras 1 e 2 aplicado às Figuras 4 e 5 (a Figura 3 está em Pendências)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Falta o subtítulo do Nginx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Servidor web (Nginx)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antes do segundo parágrafo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Subtítulo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Caminho de volta, Figura 4 e Tabela 3</w:t>
            </w:r>
            <w:r>
              <w:rPr>
                <w:sz w:val="20"/>
              </w:rPr>
              <w:t xml:space="preserve">”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Caminho de volta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Servlet sem definição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Definição com ECLIPSE FOUNDATION (2024) e objetos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HttpServletRequest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HttpServletResponse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Antes disso</w:t>
            </w:r>
            <w:r>
              <w:rPr>
                <w:sz w:val="20"/>
              </w:rPr>
              <w:t xml:space="preserve">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ambíguo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“</w:t>
            </w:r>
            <w:r>
              <w:rPr>
                <w:sz w:val="20"/>
              </w:rPr>
              <w:t xml:space="preserve">Antes de invocar o método</w:t>
            </w:r>
            <w:r>
              <w:rPr>
                <w:sz w:val="20"/>
              </w:rPr>
              <w:t xml:space="preserve">”</w:t>
            </w:r>
          </w:p>
        </w:tc>
      </w:tr>
      <w:tr>
        <w:tc>
          <w:tcPr>
            <w:tcW w:type="dxa" w:w="62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551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Formatação de termos técnicos</w:t>
            </w:r>
          </w:p>
        </w:tc>
        <w:tc>
          <w:tcPr>
            <w:tcW w:type="dxa" w:w="1644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Corrigido</w:t>
            </w:r>
          </w:p>
        </w:tc>
        <w:tc>
          <w:tcPr>
            <w:tcW w:type="dxa" w:w="4252"/>
          </w:tcPr>
          <w:p>
            <w:pPr>
              <w:pStyle w:val="Compact"/>
              <w:spacing w:line="240" w:lineRule="auto"/>
              <w:jc w:val="left"/>
            </w:pPr>
            <w:r>
              <w:rPr>
                <w:sz w:val="20"/>
              </w:rPr>
              <w:t xml:space="preserve">Diretivas e propriedades em monoespaçado; termos em inglês em itálico</w:t>
            </w:r>
          </w:p>
        </w:tc>
      </w:tr>
    </w:tbl>
    <w:p>
      <w:pPr>
        <w:pStyle w:val="Heading2"/>
      </w:pPr>
      <w:r>
        <w:t xml:space="preserve">Pendências fora do Item 1.3</w:t>
      </w:r>
    </w:p>
    <w:p>
      <w:pPr>
        <w:pStyle w:val="FirstParagraph"/>
      </w:pPr>
      <w:r>
        <w:t xml:space="preserve">Esses ajustes estão nos outros itens ou na montagem do documento. Combine com quem consolida o arquivo final.</w:t>
      </w:r>
    </w:p>
    <w:p>
      <w:pPr>
        <w:pStyle w:val="BodyText"/>
      </w:pPr>
      <w:r>
        <w:rPr>
          <w:bCs/>
          <w:b/>
        </w:rPr>
        <w:t xml:space="preserve">Lista de referências e citações</w:t>
      </w:r>
    </w:p>
    <w:p>
      <w:pPr>
        <w:numPr>
          <w:ilvl w:val="0"/>
          <w:numId w:val="1004"/>
        </w:numPr>
        <w:pStyle w:val="Compact"/>
      </w:pPr>
      <w:r>
        <w:t xml:space="preserve">☐ Substituir a lista atual pela lista consolidada abaixo, que remove o bloco do Item 1.3 colado duas vezes e as entradas repetidas sem sufixo.</w:t>
      </w:r>
    </w:p>
    <w:p>
      <w:pPr>
        <w:numPr>
          <w:ilvl w:val="0"/>
          <w:numId w:val="1004"/>
        </w:numPr>
        <w:pStyle w:val="Compact"/>
      </w:pPr>
      <w:r>
        <w:t xml:space="preserve">☐ Item 1.1: trocar FIELDING et al. (2022) por 2022a, SPRING (s.d.) e POSTGRESQL (s.d.) por s.d.a, e ANTHROPIC (2026) por 2026a. Isso vale para o quadro do item, a legenda e a fonte das Figuras 1 e 2 e o Sumário. Tirar também o espaço em</w:t>
      </w:r>
      <w:r>
        <w:t xml:space="preserve"> </w:t>
      </w:r>
      <w:r>
        <w:t xml:space="preserve">“</w:t>
      </w:r>
      <w:r>
        <w:t xml:space="preserve">(ANTHROPIC, 2026 )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Item 1.2: as páginas</w:t>
      </w:r>
      <w:r>
        <w:t xml:space="preserve"> </w:t>
      </w:r>
      <w:r>
        <w:t xml:space="preserve">“</w:t>
      </w:r>
      <w:r>
        <w:t xml:space="preserve">HTTP messages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Transport Layer Security (TLS)</w:t>
      </w:r>
      <w:r>
        <w:t xml:space="preserve">”</w:t>
      </w:r>
      <w:r>
        <w:t xml:space="preserve"> </w:t>
      </w:r>
      <w:r>
        <w:t xml:space="preserve">usam os sufixos 2026b e 2026e, que já pertencem a páginas do Item 1.1. Na lista consolidada elas viraram MDN (2026f) e MDN (2026g). No texto do 1.2, trocar</w:t>
      </w:r>
      <w:r>
        <w:t xml:space="preserve"> </w:t>
      </w:r>
      <w:r>
        <w:t xml:space="preserve">“</w:t>
      </w:r>
      <w:r>
        <w:t xml:space="preserve">MDN (2026b, 2026e)</w:t>
      </w:r>
      <w:r>
        <w:t xml:space="preserve">”</w:t>
      </w:r>
      <w:r>
        <w:t xml:space="preserve"> </w:t>
      </w:r>
      <w:r>
        <w:t xml:space="preserve">do quadro por</w:t>
      </w:r>
      <w:r>
        <w:t xml:space="preserve"> </w:t>
      </w:r>
      <w:r>
        <w:t xml:space="preserve">“</w:t>
      </w:r>
      <w:r>
        <w:t xml:space="preserve">MDN (2026f, 2026g)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(MDN, 2026e)</w:t>
      </w:r>
      <w:r>
        <w:t xml:space="preserve">”</w:t>
      </w:r>
      <w:r>
        <w:t xml:space="preserve"> </w:t>
      </w:r>
      <w:r>
        <w:t xml:space="preserve">do parágrafo do certificado por 2026g, e</w:t>
      </w:r>
      <w:r>
        <w:t xml:space="preserve"> </w:t>
      </w:r>
      <w:r>
        <w:t xml:space="preserve">“</w:t>
      </w:r>
      <w:r>
        <w:t xml:space="preserve">MDN, 2026b</w:t>
      </w:r>
      <w:r>
        <w:t xml:space="preserve">”</w:t>
      </w:r>
      <w:r>
        <w:t xml:space="preserve"> </w:t>
      </w:r>
      <w:r>
        <w:t xml:space="preserve">das duas citações sobre mensagens HTTP por 2026f.</w:t>
      </w:r>
    </w:p>
    <w:p>
      <w:pPr>
        <w:numPr>
          <w:ilvl w:val="0"/>
          <w:numId w:val="1004"/>
        </w:numPr>
        <w:pStyle w:val="Compact"/>
      </w:pPr>
      <w:r>
        <w:t xml:space="preserve">☐ ANTHROPIC (2026b): indicar a seção do Apêndice VI. Na lista abaixo ficou VI.3, a confirmar.</w:t>
      </w:r>
    </w:p>
    <w:p>
      <w:pPr>
        <w:numPr>
          <w:ilvl w:val="0"/>
          <w:numId w:val="1004"/>
        </w:numPr>
        <w:pStyle w:val="Compact"/>
      </w:pPr>
      <w:r>
        <w:t xml:space="preserve">☐ Confirmar com a professora se</w:t>
      </w:r>
      <w:r>
        <w:t xml:space="preserve"> </w:t>
      </w:r>
      <w:r>
        <w:t xml:space="preserve">“</w:t>
      </w:r>
      <w:r>
        <w:t xml:space="preserve">s.d.</w:t>
      </w:r>
      <w:r>
        <w:t xml:space="preserve">”</w:t>
      </w:r>
      <w:r>
        <w:t xml:space="preserve"> </w:t>
      </w:r>
      <w:r>
        <w:t xml:space="preserve">será aceito. A NBR 6023:2018 pede data provável entre colchetes, como [2026?].</w:t>
      </w:r>
    </w:p>
    <w:p>
      <w:pPr>
        <w:pStyle w:val="FirstParagraph"/>
      </w:pPr>
      <w:r>
        <w:rPr>
          <w:bCs/>
          <w:b/>
        </w:rPr>
        <w:t xml:space="preserve">Estrutura</w:t>
      </w:r>
    </w:p>
    <w:p>
      <w:pPr>
        <w:numPr>
          <w:ilvl w:val="0"/>
          <w:numId w:val="1005"/>
        </w:numPr>
        <w:pStyle w:val="Compact"/>
      </w:pPr>
      <w:r>
        <w:t xml:space="preserve">☐ Sumário: incluir a Figura 2, a Tabela 1, o Item 1.3, as Figuras 4 e 5 e a Tabela 3, e atualizar os números de página.</w:t>
      </w:r>
    </w:p>
    <w:p>
      <w:pPr>
        <w:numPr>
          <w:ilvl w:val="0"/>
          <w:numId w:val="1005"/>
        </w:numPr>
        <w:pStyle w:val="Compact"/>
      </w:pPr>
      <w:r>
        <w:t xml:space="preserve">☐ Apêndice de códigos PlantUML: renomear para Apêndice VII, porque o plano reserva o Apêndice I para o plano de trabalho. Apagar o código antigo da Figura 4, que aparece duas vezes (a segunda cópia está no fim, sem recuo), e colar os códigos das Figuras 4 e 5 deste documento.</w:t>
      </w:r>
    </w:p>
    <w:p>
      <w:pPr>
        <w:numPr>
          <w:ilvl w:val="0"/>
          <w:numId w:val="1005"/>
        </w:numPr>
        <w:pStyle w:val="Compact"/>
      </w:pPr>
      <w:r>
        <w:t xml:space="preserve">☐ Figura 3 (Item 1.2): acrescentar ao código o mesmo cabeçalho</w:t>
      </w:r>
      <w:r>
        <w:t xml:space="preserve"> </w:t>
      </w:r>
      <w:r>
        <w:rPr>
          <w:rStyle w:val="VerbatimChar"/>
        </w:rPr>
        <w:t xml:space="preserve">skinparam</w:t>
      </w:r>
      <w:r>
        <w:t xml:space="preserve"> </w:t>
      </w:r>
      <w:r>
        <w:t xml:space="preserve">das Figuras 1 e 2 e gerar a imagem de novo.</w:t>
      </w:r>
    </w:p>
    <w:p>
      <w:pPr>
        <w:numPr>
          <w:ilvl w:val="0"/>
          <w:numId w:val="1005"/>
        </w:numPr>
        <w:pStyle w:val="Compact"/>
      </w:pPr>
      <w:r>
        <w:t xml:space="preserve">☐ Numeração: como o Item 1.3 agora tem duas figuras, as figuras dos Itens 2.x começam na Figura 6.</w:t>
      </w:r>
    </w:p>
    <w:p>
      <w:pPr>
        <w:numPr>
          <w:ilvl w:val="0"/>
          <w:numId w:val="1005"/>
        </w:numPr>
        <w:pStyle w:val="Compact"/>
      </w:pPr>
      <w:r>
        <w:t xml:space="preserve">☐ Ao colar no Google Docs: colar os códigos como bloco de código ou texto sem formatação, para os símbolos $ não virarem equação, e manter o título de cada figura na mesma página da imagem.</w:t>
      </w:r>
    </w:p>
    <w:p>
      <w:pPr>
        <w:pStyle w:val="FirstParagraph"/>
      </w:pPr>
      <w:r>
        <w:rPr>
          <w:bCs/>
          <w:b/>
        </w:rPr>
        <w:t xml:space="preserve">Itens que dependem do Item 1.3</w:t>
      </w:r>
    </w:p>
    <w:p>
      <w:pPr>
        <w:numPr>
          <w:ilvl w:val="0"/>
          <w:numId w:val="1006"/>
        </w:numPr>
        <w:pStyle w:val="Compact"/>
      </w:pPr>
      <w:r>
        <w:t xml:space="preserve">☐ Item 2.3: definir a validação dos campos (</w:t>
      </w:r>
      <w:r>
        <w:rPr>
          <w:rStyle w:val="VerbatimChar"/>
        </w:rPr>
        <w:t xml:space="preserve">@Valid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@Email</w:t>
      </w:r>
      <w:r>
        <w:t xml:space="preserve">), o tratador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com o corpo das respostas 400 e 500, e os privilégios do usuário de banco da aplicação.</w:t>
      </w:r>
    </w:p>
    <w:p>
      <w:pPr>
        <w:numPr>
          <w:ilvl w:val="0"/>
          <w:numId w:val="1006"/>
        </w:numPr>
        <w:pStyle w:val="Compact"/>
      </w:pPr>
      <w:r>
        <w:t xml:space="preserve">☐ Itens 1.2 e 2.3: decidir sobre o cabeçalho WWW-Authenticate na resposta 401, que a RFC 9110 exige.</w:t>
      </w:r>
    </w:p>
    <w:p>
      <w:pPr>
        <w:numPr>
          <w:ilvl w:val="0"/>
          <w:numId w:val="1006"/>
        </w:numPr>
        <w:pStyle w:val="Compact"/>
      </w:pPr>
      <w:r>
        <w:t xml:space="preserve">☐ Item 2.2: confirmar que o PostgreSQL fica em outra máquina, como na Figura 1. O Item 1.3 agora parte dessa premissa.</w:t>
      </w:r>
    </w:p>
    <w:p>
      <w:pPr>
        <w:pStyle w:val="Heading2"/>
      </w:pPr>
      <w:r>
        <w:t xml:space="preserve">Lista final de referências consolidada</w:t>
      </w:r>
    </w:p>
    <w:p>
      <w:pPr>
        <w:pStyle w:val="FirstParagraph"/>
      </w:pPr>
      <w:r>
        <w:t xml:space="preserve">Lista única do documento, em ordem alfabética, com os sufixos ajustados. Ela substitui a seção Referências atual.</w:t>
      </w:r>
    </w:p>
    <w:p>
      <w:pPr>
        <w:pStyle w:val="BodyText"/>
        <w:spacing w:line="240" w:lineRule="auto" w:after="240"/>
        <w:jc w:val="left"/>
      </w:pPr>
      <w:r>
        <w:t xml:space="preserve">ANTHROPIC. Claude. 2026a. Disponível em: https://claude.ai. Acesso em: 24 out. 2026. Prompt: Apêndice VI, Seção VI.2.</w:t>
      </w:r>
    </w:p>
    <w:p>
      <w:pPr>
        <w:pStyle w:val="BodyText"/>
        <w:spacing w:line="240" w:lineRule="auto" w:after="240"/>
        <w:jc w:val="left"/>
      </w:pPr>
      <w:r>
        <w:t xml:space="preserve">ANTHROPIC. Claude. 2026b. Disponível em: https://claude.ai. Acesso em: 25 out. 2026. Prompt: Apêndice VI, Seção VI.3.</w:t>
      </w:r>
    </w:p>
    <w:p>
      <w:pPr>
        <w:pStyle w:val="BodyText"/>
        <w:spacing w:line="240" w:lineRule="auto" w:after="240"/>
        <w:jc w:val="left"/>
      </w:pPr>
      <w:r>
        <w:t xml:space="preserve">ANTHROPIC. Claude. 2026c. Disponível em: https://claude.ai. Acesso em: 26 out. 2026. Prompt: Apêndice VI, Seção VI.4.</w:t>
      </w:r>
    </w:p>
    <w:p>
      <w:pPr>
        <w:pStyle w:val="BodyText"/>
        <w:spacing w:line="240" w:lineRule="auto" w:after="240"/>
        <w:jc w:val="left"/>
      </w:pPr>
      <w:r>
        <w:t xml:space="preserve">APACHE SOFTWARE FOUNDATION. Apache Tomcat 11 Configuration Reference: The HTTP Connector. s.d. Disponível em: https://tomcat.apache.org/tomcat-11.0-doc/config/http.html. Acesso em: 26 out. 2026.</w:t>
      </w:r>
    </w:p>
    <w:p>
      <w:pPr>
        <w:pStyle w:val="BodyText"/>
        <w:spacing w:line="240" w:lineRule="auto" w:after="240"/>
        <w:jc w:val="left"/>
      </w:pPr>
      <w:r>
        <w:t xml:space="preserve">BISHOP, M. (ed.). RFC 9114: HTTP/3. IETF, jun. 2022. Disponível em: https://www.rfc-editor.org/rfc/rfc9114.html. Acesso em: 26 out. 2026.</w:t>
      </w:r>
    </w:p>
    <w:p>
      <w:pPr>
        <w:pStyle w:val="BodyText"/>
        <w:spacing w:line="240" w:lineRule="auto" w:after="240"/>
        <w:jc w:val="left"/>
      </w:pPr>
      <w:r>
        <w:t xml:space="preserve">BRAY, T. (ed.). RFC 8259: The JavaScript Object Notation (JSON) Data Interchange Format. IETF, dez. 2017. Disponível em: https://www.rfc-editor.org/rfc/rfc8259.html. Acesso em: 25 out. 2026.</w:t>
      </w:r>
    </w:p>
    <w:p>
      <w:pPr>
        <w:pStyle w:val="BodyText"/>
        <w:spacing w:line="240" w:lineRule="auto" w:after="240"/>
        <w:jc w:val="left"/>
      </w:pPr>
      <w:r>
        <w:t xml:space="preserve">ECLIPSE FOUNDATION. Jakarta Servlet Specification: version 6.1. 2024. Disponível em: https://jakarta.ee/specifications/servlet/6.1/jakarta-servlet-spec-6.1. Acesso em: 26 out. 2026.</w:t>
      </w:r>
    </w:p>
    <w:p>
      <w:pPr>
        <w:pStyle w:val="BodyText"/>
        <w:spacing w:line="240" w:lineRule="auto" w:after="240"/>
        <w:jc w:val="left"/>
      </w:pPr>
      <w:r>
        <w:t xml:space="preserve">EDDY, W. (ed.). RFC 9293: Transmission Control Protocol (TCP). IETF, ago. 2022. Disponível em: https://www.rfc-editor.org/rfc/rfc9293.html. Acesso em: 25 out. 2026.</w:t>
      </w:r>
    </w:p>
    <w:p>
      <w:pPr>
        <w:pStyle w:val="BodyText"/>
        <w:spacing w:line="240" w:lineRule="auto" w:after="240"/>
        <w:jc w:val="left"/>
      </w:pPr>
      <w:r>
        <w:t xml:space="preserve">FIELDING, R.; NOTTINGHAM, M.; RESCHKE, J. (ed.). RFC 9110: HTTP Semantics. IETF, jun. 2022a. Disponível em: https://www.rfc-editor.org/rfc/rfc9110.html. Acesso em: 24 out. 2026.</w:t>
      </w:r>
    </w:p>
    <w:p>
      <w:pPr>
        <w:pStyle w:val="BodyText"/>
        <w:spacing w:line="240" w:lineRule="auto" w:after="240"/>
        <w:jc w:val="left"/>
      </w:pPr>
      <w:r>
        <w:t xml:space="preserve">FIELDING, R.; NOTTINGHAM, M.; RESCHKE, J. (ed.). RFC 9112: HTTP/1.1. IETF, jun. 2022b. Disponível em: https://www.rfc-editor.org/rfc/rfc9112.html. Acesso em: 25 out. 2026.</w:t>
      </w:r>
    </w:p>
    <w:p>
      <w:pPr>
        <w:pStyle w:val="BodyText"/>
        <w:spacing w:line="240" w:lineRule="auto" w:after="240"/>
        <w:jc w:val="left"/>
      </w:pPr>
      <w:r>
        <w:t xml:space="preserve">MDN CONTRIBUTORS. How the web works. MDN Web Docs, 2026a. Disponível em: https://developer.mozilla.org/en-US/docs/Learn/Getting_started_with_the_web/How_the_Web_works.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Populating the page: how browsers work. MDN Web Docs, 2026b. Disponível em: https://developer.mozilla.org/en-US/docs/Web/Performance/Guides/How_browsers_work.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Sending and retrieving form data. MDN Web Docs, 2026c. Disponível em: https://developer.mozilla.org/en-US/docs/Learn/Forms/Sending_and_retrieving_form_data.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Using HTTP cookies. MDN Web Docs, 2026d. Disponível em: https://developer.mozilla.org/en-US/docs/Web/HTTP/Guides/Cookies.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Using the Fetch API. MDN Web Docs, 2026e. Disponível em: https://developer.mozilla.org/en-US/docs/Web/API/Fetch_API/Using_Fetch. Acesso em: 24 out. 2026.</w:t>
      </w:r>
    </w:p>
    <w:p>
      <w:pPr>
        <w:pStyle w:val="BodyText"/>
        <w:spacing w:line="240" w:lineRule="auto" w:after="240"/>
        <w:jc w:val="left"/>
      </w:pPr>
      <w:r>
        <w:t xml:space="preserve">MDN CONTRIBUTORS. HTTP messages. MDN Web Docs, 2026f. Disponível em: https://developer.mozilla.org/en-US/docs/Web/HTTP/Guides/Messages. Acesso em: 25 out. 2026.</w:t>
      </w:r>
    </w:p>
    <w:p>
      <w:pPr>
        <w:pStyle w:val="BodyText"/>
        <w:spacing w:line="240" w:lineRule="auto" w:after="240"/>
        <w:jc w:val="left"/>
      </w:pPr>
      <w:r>
        <w:t xml:space="preserve">MDN CONTRIBUTORS. Transport Layer Security (TLS). MDN Web Docs, 2026g. Disponível em: https://developer.mozilla.org/en-US/docs/Web/Security/Defenses/Transport_Layer_Security. Acesso em: 25 out. 2026.</w:t>
      </w:r>
    </w:p>
    <w:p>
      <w:pPr>
        <w:pStyle w:val="BodyText"/>
        <w:spacing w:line="240" w:lineRule="auto" w:after="240"/>
        <w:jc w:val="left"/>
      </w:pPr>
      <w:r>
        <w:t xml:space="preserve">MDN CONTRIBUTORS. Strict-Transport-Security. MDN Web Docs, 2026h. Disponível em: https://developer.mozilla.org/pt-BR/docs/Web/HTTP/Reference/Headers/Strict-Transport-Security. Acesso em: 26 out. 2026.</w:t>
      </w:r>
    </w:p>
    <w:p>
      <w:pPr>
        <w:pStyle w:val="BodyText"/>
        <w:spacing w:line="240" w:lineRule="auto" w:after="240"/>
        <w:jc w:val="left"/>
      </w:pPr>
      <w:r>
        <w:t xml:space="preserve">MOCKAPETRIS, P. RFC 1034: Domain names – concepts and facilities. IETF, nov. 1987a. Disponível em: https://www.rfc-editor.org/rfc/rfc1034.html. Acesso em: 25 out. 2026.</w:t>
      </w:r>
    </w:p>
    <w:p>
      <w:pPr>
        <w:pStyle w:val="BodyText"/>
        <w:spacing w:line="240" w:lineRule="auto" w:after="240"/>
        <w:jc w:val="left"/>
      </w:pPr>
      <w:r>
        <w:t xml:space="preserve">MOCKAPETRIS, P. RFC 1035: Domain names – implementation and specification. IETF, nov. 1987b. Disponível em: https://www.rfc-editor.org/rfc/rfc1035.html. Acesso em: 25 out. 2026.</w:t>
      </w:r>
    </w:p>
    <w:p>
      <w:pPr>
        <w:pStyle w:val="BodyText"/>
        <w:spacing w:line="240" w:lineRule="auto" w:after="240"/>
        <w:jc w:val="left"/>
      </w:pPr>
      <w:r>
        <w:t xml:space="preserve">NGINX. Beginner’s Guide. nginx.org, s.d.a. Disponível em: https://nginx.org/docs/beginners_guide.html. Acesso em: 25 out. 2026.</w:t>
      </w:r>
    </w:p>
    <w:p>
      <w:pPr>
        <w:pStyle w:val="BodyText"/>
        <w:spacing w:line="240" w:lineRule="auto" w:after="240"/>
        <w:jc w:val="left"/>
      </w:pPr>
      <w:r>
        <w:t xml:space="preserve">NGINX. NGINX Reverse Proxy. NGINX Documentation, s.d.b. Disponível em: https://docs.nginx.com/nginx/admin-guide/web-server/reverse-proxy/. Acesso em: 25 out. 2026.</w:t>
      </w:r>
    </w:p>
    <w:p>
      <w:pPr>
        <w:pStyle w:val="BodyText"/>
        <w:spacing w:line="240" w:lineRule="auto" w:after="240"/>
        <w:jc w:val="left"/>
      </w:pPr>
      <w:r>
        <w:t xml:space="preserve">NGINX. NGINX SSL Termination. NGINX Documentation, s.d.c. Disponível em: https://docs.nginx.com/nginx/admin-guide/security-controls/terminating-ssl-http/. Acesso em: 25 out. 2026.</w:t>
      </w:r>
    </w:p>
    <w:p>
      <w:pPr>
        <w:pStyle w:val="BodyText"/>
        <w:spacing w:line="240" w:lineRule="auto" w:after="240"/>
        <w:jc w:val="left"/>
      </w:pPr>
      <w:r>
        <w:t xml:space="preserve">OWASP. SQL Injection Prevention Cheat Sheet. OWASP Cheat Sheet Series, s.d. Disponível em: https://cheatsheetseries.owasp.org/cheatsheets/SQL_Injection_Prevention_Cheat_Sheet.html.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Connections and Authentication. s.d.a. Disponível em: https://www.postgresql.org/docs/current/runtime-config-connection.html. Acesso em: 24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The Path of a Query. s.d.b. Disponível em: https://www.postgresql.org/docs/current/query-path.html.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How Connections Are Established. s.d.c. Disponível em: https://www.postgresql.org/docs/current/connect-estab.html.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PostgreSQL Error Codes. s.d.d. Disponível em: https://www.postgresql.org/docs/current/errcodes-appendix.html. Acesso em: 25 out. 2026.</w:t>
      </w:r>
    </w:p>
    <w:p>
      <w:pPr>
        <w:pStyle w:val="BodyText"/>
        <w:spacing w:line="240" w:lineRule="auto" w:after="240"/>
        <w:jc w:val="left"/>
      </w:pPr>
      <w:r>
        <w:t xml:space="preserve">POSTGRESQL GLOBAL DEVELOPMENT GROUP. PostgreSQL Documentation: The pg_hba.conf File. s.d.e. Disponível em: https://www.postgresql.org/docs/current/auth-pg-hba-conf.html. Acesso em: 26 out. 2026.</w:t>
      </w:r>
    </w:p>
    <w:p>
      <w:pPr>
        <w:pStyle w:val="BodyText"/>
        <w:spacing w:line="240" w:lineRule="auto" w:after="240"/>
        <w:jc w:val="left"/>
      </w:pPr>
      <w:r>
        <w:t xml:space="preserve">RESCORLA, E. RFC 9846: The Transport Layer Security (TLS) Protocol Version 1.3. IETF, jul. 2026. Disponível em: https://www.rfc-editor.org/rfc/rfc9846.html. Acesso em: 26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Embedded Web Servers. s.d.a. Disponível em: https://docs.spring.io/spring-boot/how-to/webserver.html. Acesso em: 24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DispatcherServlet. s.d.b. Disponível em: https://docs.spring.io/spring-framework/reference/web/webmvc/mvc-servlet.html.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Special Bean Types. s.d.c. Disponível em: https://docs.spring.io/spring-framework/reference/web/webmvc/mvc-servlet/special-bean-types.html.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</w:t>
      </w:r>
      <w:r>
        <w:t xml:space="preserve"> </w:t>
      </w:r>
      <w:r>
        <w:t xml:space="preserve">@RequestBody</w:t>
      </w:r>
      <w:r>
        <w:t xml:space="preserve">. s.d.d. Disponível em: https://docs.spring.io/spring-framework/reference/web/webmvc/mvc-controller/ann-methods/requestbody.html.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SQL Databases. s.d.e. Disponível em: https://docs.spring.io/spring-boot/reference/data/sql.html.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Security Reference: HTTP (Proxy Server Configuration). s.d.f. Disponível em: https://docs.spring.io/spring-security/reference/features/exploits/http.html. Acesso em: 25 out. 2026.</w:t>
      </w:r>
    </w:p>
    <w:p>
      <w:pPr>
        <w:pStyle w:val="BodyText"/>
        <w:spacing w:line="240" w:lineRule="auto" w:after="240"/>
        <w:jc w:val="left"/>
      </w:pPr>
      <w:r>
        <w:t xml:space="preserve">SPRING. Spring Framework Reference: Exceptions. s.d.g. Disponível em: https://docs.spring.io/spring-framework/reference/web/webmvc/mvc-servlet/exceptionhandlers.html. Acesso em: 26 out. 2026.</w:t>
      </w:r>
    </w:p>
    <w:p>
      <w:pPr>
        <w:pStyle w:val="BodyText"/>
        <w:spacing w:line="240" w:lineRule="auto" w:after="240"/>
        <w:jc w:val="left"/>
      </w:pPr>
      <w:r>
        <w:t xml:space="preserve">SPRING. Spring Boot Reference: Servlet Web Applications. s.d.h. Disponível em: https://docs.spring.io/spring-boot/reference/web/servlet.html. Acesso em: 26 out. 2026.</w:t>
      </w:r>
    </w:p>
    <w:sectPr>
      <w:pgSz w:h="16838" w:w="11906"/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Arial" w:hAnsi="Arial" w:cs="Arial" w:eastAsia="Arial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  <w:jc w:val="both"/>
    </w:pPr>
    <w:qFormat/>
    <w:rPr>
      <w:rFonts w:ascii="Arial" w:hAnsi="Arial" w:cs="Arial" w:eastAsia="Arial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Arial" w:hAnsi="Arial" w:cs="Arial" w:eastAsia="Arial"/>
      <w:color w:val="000000"/>
      <w:sz w:val="24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Arial" w:hAnsi="Arial" w:cs="Arial" w:eastAsia="Arial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Arial" w:hAnsi="Arial" w:cs="Arial" w:eastAsia="Arial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Arial" w:hAnsi="Arial" w:cs="Arial" w:eastAsia="Arial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Arial" w:hAnsi="Arial" w:cs="Arial" w:eastAsia="Arial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Arial" w:hAnsi="Arial" w:cs="Arial" w:eastAsia="Arial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color w:val="000000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Fonte">
    <w:name w:val="Fonte"/>
    <w:basedOn w:val="BodyText"/>
    <w:qFormat/>
    <w:pPr>
      <w:spacing w:line="240" w:lineRule="auto" w:after="120"/>
      <w:jc w:val="center"/>
    </w:pPr>
    <w:rPr>
      <w:rFonts w:ascii="Arial" w:hAnsi="Arial" w:cs="Arial" w:eastAsia="Arial"/>
      <w:color w:val="000000"/>
      <w:sz w:val="20"/>
    </w:rPr>
  </w:style>
  <w:style w:type="paragraph" w:customStyle="1" w:styleId="Legenda">
    <w:name w:val="Legenda"/>
    <w:basedOn w:val="BodyText"/>
    <w:qFormat/>
    <w:pPr>
      <w:keepNext/>
      <w:spacing w:line="240" w:lineRule="auto" w:after="120"/>
      <w:jc w:val="center"/>
    </w:pPr>
    <w:rPr>
      <w:rFonts w:ascii="Arial" w:hAnsi="Arial" w:cs="Arial" w:eastAsia="Arial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3" Type="http://schemas.openxmlformats.org/officeDocument/2006/relationships/image" Target="media/rId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2026-10-26T19:15:09Z</dcterms:created>
  <dcterms:modified xsi:type="dcterms:W3CDTF">2026-10-26T19:15:09Z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