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MINAS GERAIS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Engenharia de Sistemas — Trabalho de Conclusão de Curso II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Pensamento sistêmico aplicado à gestão de equipes em projetos de engenharia: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metodologia e resultados iniciais da calibração empírica e da transferência ordinal de risco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Isadora Maria Carvalho Lopes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André Batista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Belo Horizonte, setembro de 2026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 METODOLOGIA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  Classificação e abordagem da pesquisa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pesquisa fundamenta-se no método científico-tecnológico, caracterizando-se como pesquisa aplicada e experimental. Quanto à abordagem do problema, o estudo é quantitativo, pois as questões centrais do trabalho — se a complexidade de uma tarefa está associada à ocorrência de falhas, em que magnitude, e se essa associação é estável o bastante para ser transferida ordinalmente a outro domínio — são formuladas como hipóteses estatísticas sobre parâmetros populacionais e respondidas por estimação de efeitos, intervalos de confiança e testes de hipótese sobre bases de dados públicas.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Cabe uma delimitação metodológica desde já. O trabalho não busca construir o melhor classificador de módulos defeituosos, objetivo usual da literatura de predição de defeitos de software. Busca-se uma relação interpretável e ordinalmente transferível entre um nível de dificuldade técnica e um risco basal de retrabalho, a ser incorporada a um modelo de simulação de equipes de projeto. Essa diferença de objetivo é o que justifica privilegiar interpretabilidade e estabilidade sobre acurácia preditiva, e é o critério declarado que orienta todas as escolhas de modelagem descritas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procedimentos técnicos adotados baseiam-se na engenharia sistemática e em uma metodologia de desenvolvimento de sistemas organizada em ciclos de concepção, especificação, implementação e validação, aplicados de forma incremental a cada etapa do pipeline de dados.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1.2  Materiais, ferramentas e recursos de engenharia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 planejamento, a modelagem e a execução das atividades foram utilizados os seguintes recursos técnicos.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Ambientes de desenvolvimento e software: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1.125 como ambiente de desenvolvimento; Git 2.49 para controle de versão, com repositório remoto privado no GitHub garantindo sincronização entre as duas estações de trabalho utilizadas; ambiente virtual Python isolado por projeto, com dependências declaradas em arquivo de requisitos versionado.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Linguagens, frameworks e bibliotecas: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3.14 como linguagem de implementação. Bibliotecas: pandas 3.0.5 (manipulação tabular), NumPy 2.5.2 (álgebra numérica), SciPy 1.15 (distribuições e testes), statsmodels 0.15 (regressão logística, verossimilhança e inferência) e Matplotlib 3.10 (figuras). A etapa de auditoria dos arquivos brutos foi implementada exclusivamente com a biblioteca padrão, por decisão metodológica justificada na Seção 1.4.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 de hardware e instrumentação: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aplicável. O trabalho é integralmente computacional, baseado em análise secundária de bases públicas e em simulação.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Bases de dados e fontes de informação: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(i) NASA Metrics Data Program (MDP), nas versões limpas D′ e D″ disponibilizadas por Shepperd et al. (2013), utilizadas para a calibração da relação entre complexidade e defeito; (ii) NASA Promise Data Repository, versões brutas dos conjuntos CM1, JM1, KC1, KC2 e PC1, utilizadas como termo de comparação e para a auditoria de proveniência; (iii) PSPLIB, conjunto J60, com 480 instâncias de projeto, utilizado para a estrutura de execução — tarefas, precedências, durações e restrições de recursos; (iv) NASA Software Engineering Handbook, requisito SWE-220, e relatório NASA/TM-20205011566 (NESC), como fonte normativa dos limiares de complexidade ciclomática.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1.3  Processo de desenvolvimento do software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seguiu um ciclo de engenharia incremental, no qual cada etapa do pipeline é implementada como um script independente, verificada isoladamente e só então integrada à etapa seguinte. A estrutura adotada é 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e restrições: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imutabilidade dos dados brutos; rastreabilidade de cada observação até o arquivo e a linha de origem; toda transformação realizada por código e registrada em log; distinção explícita entre o que provém da literatura, o que é decisão metodológica deste trabalho e o que é exploração.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Projeto e arquitetura: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separação entre camada de dados brutos (somente leitura), camada de processamento (scripts numerados na ordem de execução) e camada de saídas (tabelas, figuras e logs), conforme a Figura 1.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seis scripts em Python, executáveis de forma independente e em sequência, cada um documentando internamente o problema que resolve, sua entrada, sua saída, sua lógica, a origem de cada decisão e o critério de verificação do próprio resultado.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Verificação e ensaios: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script encerra com um bloco de verificações automáticas que compara seu resultado com invariantes conhecidas — totais que devem se conservar, chaves que devem ser únicas, ausências que não podem existir, propriedades matemáticas que devem valer. Uma verificação que falha interrompe a execução com código de erro, de modo que uma etapa defeituosa não alimenta silenciosamente a seguinte.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1.4  Procedimentos experimentais e coleta de dados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dados foram extraídos de forma integralmente automatizada, por meio dos scripts descritos, a partir dos arquivos originais dos repositórios públicos. Nenhum arquivo bruto foi editado em momento algum: todas as transformações produzem arquivos derivados, e a integridade dos originais é verificável por resumo criptográfico SHA-256 calculado a cada execução. O repositório está configurado para preservar os bytes originais dos arquivos de dados, impedindo que o sistema de controle de versão converta terminadores de linha e altere fisicamente os arquivos entre as duas estações de trabalho — precaução sem a qual a verificação por resumo criptográfico deixaria de ser reproduzível.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de auditoria foi implementada sem bibliotecas de leitura de alto nível, com uso exclusivo da biblioteca padrão do Python. A justificativa é metodológica: leitores de dados de alto nível convertem tipos, tratam valores ausentes e descartam registros malformados de maneira silenciosa, o que destruiria precisamente a evidência que a auditoria pretende coletar. A partir da etapa de consolidação, com os dados já caracterizados, o uso de bibliotecas de análise passa a ser adequado.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condições controladas dos ensaios são as seguintes: a base de análise é fixa (17.377 observações de 12 projetos); a unidade de observação é o módulo de software; o desfecho é binário (módulo defeituoso ou não); o efeito do projeto de origem é sempre incluído nos modelos, de modo que nenhuma associação seja atribuída a uma métrica quando puder ser explicada pela procedência da observação; e todos os testes de robustez — sensibilidade aos pontos de corte e validação por exclusão sucessiva de projetos — são executados sobre a mesma base, sem reamostragem aleatória, o que torna os resultados determinísticos e reproduzíveis bit a bit.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1.5  Modelagem do sistema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objeto construído é um modelo híbrido que acopla Dinâmica de Sistemas e Modelagem Baseada em Agentes, especificado na fase conceitual deste trabalho. O ecossistema é povoado por duas classes de agentes. O Agente Gestor controla um vetor dinâmico de restrições, composto pela pressão de cronograma P(t), pela restrição orçamentária Ω e pela topologia do fluxo de trabalho W, em que cada nó guarda uma dificuldade técnica Dᵢ. O Agente Engenheiro é caracterizado por um vetor contínuo de atributos que evoluem ao longo da simulação: competência técnica C(t), bateria cognitiva B(t), disponibilidade a(t), taxa de resposta na rede R(t), confiança mútua τ(t) e limiar de saturação da atenção τ_sat.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que engatilha as transições de estado é o esforço cognitivo exigido pela tarefa, que cresce com a dificuldade técnica e com a pressão de cronograma, e é aliviado pela capacidade cognitiva disponível: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E(t) = Dᵢ · P(t) / B(t)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índice de dificuldade técnica da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pressão de cronograma imposta pelo gestor;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bateria cognitiva disponível do agente.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Quando existe hiato de competência e o agente recorre à rede, a transferência lateral de conhecimento produz incremento de competência ao custo de tempo, conforme a formulação de Crowder, Robinson e Hughes (2012):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ΔC = [ 15 + 3 ( C_k − C ) ] / 100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escalares 15 e 3 representam, respectivamente, o incremento base de assimilação por interação bem-sucedida e um fator de eficiência de transferência proporcional ao hiato técnico entre provedor e receptor. São premissas iniciais e serão submetidos a análise de sensibilidade na fase de implementação, e não tratados como constantes absolutas.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saturação individual e o atrito na rede traduzem-se em multiplicadores adimensionais no intervalo [0,1], obtidos por inferência difusa — fuzzificação dos estados contínuos de fadiga e atrito por funções de pertinência, avaliação por regras e defuzzificação —, procedimento validado para representar variáveis qualitativas em Dinâmica de Sistemas (Liu, Triantis e Sarangi, 2011). A produtividade efetiva resulta da modulação da produtividade nominal por esses multiplicadores: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PR_efetiva = PR_nominal · μ_cognitivo · μ_rede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(3)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válvula que alimenta o estoque de retrabalho oculto é regida pela equação de falhas, na qual o risco basal da tarefa soma-se a uma parcela que cresce à medida que a degradação cognitiva avança: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TGE = PR_efetiva · ( F_base + R_error · ( 1 − μ_cognitivo )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risco basal de falha associado à dificuldade da tarefa;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R_error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de erro adicional sob degradação cognitiva.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métrica terminal condensa a ociosidade da rede e a penalidade do satisficing num índice de eficiência total do esforço, razão entre o tempo de trabalho efetivo e o tempo total consumido: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E_total = Σ TWᵢ / Σ ( TWᵢ + TLᵢ + TUᵢ + TRᵢ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(5)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TWᵢ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trabalho efetivo na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TLᵢ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espera por suporte técnico;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TUᵢ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improdutivo por adiamento ou indisponibilidade da rede;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TRᵢ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retrabalho decorrente de falhas detectadas.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execução temporal dessas equações é governada por uma árvore de decisão de três portas, avaliada a cada passo. A Porta 1 detecta sobrecarga: quando o esforço exigido supera o limiar de saturação, o agente transita para processamento heurístico e, conforme o nível da restrição orçamentária, ou adia a tarefa ou a conclui com erro, injetando no estoque de retrabalho oculto uma parcela proporcional ao excesso sobre o limiar. A Porta 2 trata o hiato de competência, disparando requisição à rede e aplicando a equação (2) caso exista agente disponível e com confiança mútua suficiente. A Porta 3 corresponde à execução analítica nominal, acionada quando não há sobrecarga nem hiato de competência.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1.6  Instrumental de calibração empírica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equações anteriores descrevem o modelo; as seguintes descrevem os métodos empregados para estimar, a partir de dados observados, os parâmetros Dᵢ e F_base que nelas aparecem. As equações (6) a (9) constituem o instrumental estatístico; as (10) a (12), os parâmetros de delineamento das instâncias; e as (13) a (19), a construção do índice de dificuldade e a transferência de risco entre domínios.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associação entre métricas e ocorrência de defeito é modelada por regressão logística. Como o desfecho é binário, modela-se o logaritmo da chance, e não a probabilidade — esta é limitada ao intervalo [0,1], que uma função linear extrapolaria: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ln [ p / ( 1 − p ) ] = β₀ + β₁x₁ + β₂x₂ + … + βₚxₚ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(6)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probabilidade de o módulo ser defeituoso;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xᵢ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variáveis explicativas, incluindo o projeto de origem como fator;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βᵢ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coeficientes estimados por máxima verossimilhança.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interpretação dos coeficientes dá-se pela razão de chances, que exprime por quanto a chance de defeito é multiplicada a cada aumento unitário na variável, mantidas as demais constantes: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RC = exp(β)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entre modelos aninhados emprega o teste da razão de verossimilhança, cuja estatística segue aproximadamente uma distribuição qui-quadrado com graus de liberdade iguais ao número de parâmetros adicionais: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LR = 2 ( ℓ_completo − ℓ_reduzido )  ~  χ² ( gl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diagnóstico de multicolinearidade utiliza o fator de inflação da variância, obtido da regressão auxiliar de cada variável contra as demais: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VIFⱼ = 1 / ( 1 − R²ⱼ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parâmetros de delineamento das instâncias do PSPLIB, conforme Kolisch, Sprecher e Drexl (1995), são a complexidade de rede, o fator de recursos e a força de recursos: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NC = | A | / | V |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(10)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| A |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arcos de precedência;  | V | — número de atividades, incluindo as fictícias.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RF = ( 1/n ) · Σⱼ [ ( 1/K ) · Σₖ 1{ rⱼₖ &gt; 0 } 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n, 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atividades reais e de tipos de recurso;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rⱼₖ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demanda da atividade j pelo recurso k;  1{·} — função indicadora.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RSₖ = ( aₖ − rₖᵐⁱⁿ ) / ( rₖᵐᵃˣ − rₖᵐⁱⁿ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disponibilidade do recurso k;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rₖᵐⁱⁿ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maior demanda individual, menor disponibilidade que mantém o problema viável;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rₖᵐᵃˣ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pico de demanda no cronograma de inícios mais cedo.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criticidade de cada atividade é medida pela folga total, obtida das passagens para frente e para trás do método do caminho crítico: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folgaⱼ = LSⱼ − ESⱼ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(13)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ESⱼ, LSⱼ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início mais cedo e início mais tarde admissível sem atrasar o projeto.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de dificuldade técnica compõe três grandezas, normalizadas para [0,1] dentro de cada instância: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( durⱼ − dur_mín ) / ( dur_máx − dur_mín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(14)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rⱼ = ( 1/K ) · Σₖ ( rⱼₖ / aₖ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(15)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cⱼ = 1 − folga_normⱼ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(16)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sendo o índice a combinação ponderada dos três componentes: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w₁ dⱼ + w₂ rⱼ + w₃ cⱼ ,   com  w₁ + w₂ + w₃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(17)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pesos são tratados como suposição de partida, fixados em 1/3 cada, e submetidos a análise de sensibilidade conforme reportado na Seção 2.5.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transferência de risco entre domínios opera sobre razões, e não sobre níveis absolutos. Para cada nível ordinal ℓ, a razão de risco é estimada na base NASA em relação ao nível de referência ℓ₀: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RR( ℓ ) = F( ℓ ) / F( ℓ₀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 o risco basal atribuído a uma tarefa do PSPLIB no nível ℓ resulta do produto dessa razão por uma taxa basal do domínio de engenharia: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F_base( ℓ ) = F_âncora × RR( ℓ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(19)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F(ℓ)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frequência de defeito observada no nível ℓ da base NASA;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ℓ₀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nível de referência, correspondente à dificuldade mais baixa;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F_âncora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basal de retrabalho do domínio de engenharia; parâmetro do modelo, não estimado neste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1.7  Pontos de acoplamento entre a calibração e o modelo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formulações anteriores encontram-se em dois pontos precisos, e é esse encontro que define o escopo da presente entrega.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Primeiro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Dᵢ, construído pela equação (17) sobre as 28.800 tarefas do PSPLIB J60, é exatamente a grandeza que aparece no numerador da equação (1). Antes desta etapa, a dificuldade técnica das tarefas seria um parâmetro arbitrado; ela passa a ser derivada de grandezas medidas nas próprias instâncias.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Segundo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risco basal F_base, obtido pela equação (19) a partir da calibração sobre a base NASA, é o termo que aparece na equação de falhas (4), governando a válvula que alimenta o estoque de retrabalho oculto. Antes desta etapa, esse risco seria uma suposição; ele passa a ser um gradiente estimado empiricamente, com incerteza quantificada, ainda que ancorado a uma taxa basal a definir.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apresentados no capítulo seguinte referem-se integralmente a esses dois acoplamentos. Os demais componentes do modelo — a inferência difusa que produz μ_cognitivo e μ_rede, a árvore de decisão de três portas, os estoques e a integração temporal — permanecem na especificação formal estabelecida na fase conceitual e serão implementados na etapa subsequente, conforme o cronograma da Seção 2.7.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 RESULTADOS INICIAIS E DISCUSSÃO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  Arquitetura e implementação da solução inicial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primeira versão funcional do pipeline de dados foi concluída e validada. Os requisitos essenciais de rastreabilidade, imutabilidade e verificação automática foram atendidos. A Figura 1 apresenta a arquitetura implementada, organizada em três camadas: dados brutos imutáveis, scripts de processamento e saídas auditáveis.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1: Arquitetura do pipeline de dados implementado.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verificação independente de reprodutibilidade, o pipeline foi executado em dois ambientes computacionais distintos — sistemas operacionais e versões de biblioteca diferentes — produzindo resultados numericamente idênticos em todas as etapas.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2.2  Métricas de desempenho e resultados dos ensaios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ensaios iniciais avaliaram três dimensões: a integridade dos dados de entrada, a fidelidade da base de análise em relação ao procedimento publicado que a gerou, e a magnitude e a estabilidade das associações estatísticas de interesse. A Tabela 1 consolida os indicadores obtidos.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Indicadores de desempenho obtidos nos ensaios iniciais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50"/>
        <w:gridCol w:w="2550"/>
        <w:gridCol w:w="3170"/>
        <w:gridCol w:w="1600"/>
      </w:tblGrid>
      <w:tr>
        <w:trPr>
          <w:tblHeader/>
        </w:trPr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 analisado</w:t>
            </w:r>
          </w:p>
        </w:tc>
        <w:tc>
          <w:tcPr>
            <w:tcW w:type="dxa" w:w="3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/ métrica medida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Cobertura e integridade dos arquivos brutos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 arquivos, 49.942 observações; resumo SHA-256 por arquivo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Correspondência entre pares ARFF e CSV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 de 5 pares equivalentes; JM1 divergente (10.885 vs. 13.204 registros)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Anomalia identificada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Reprodução de D′ para D″ pelo algoritmo publicado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 de 12 conjuntos reproduzidos no conjunto de módulos preservados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Resíduo não explicado pelo pseudocódigo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 de 17.377 registros (0,26%), restritos à escolha do rótulo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Documentado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 – Consolidação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única com rastreabilidade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17.377 observações, 12 projetos, 20 métricas, 0 valores ausentes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Ganho explicativo da complexidade sobre o efeito de projeto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LR = 639,8; gl = 1; p ≈ 3,6 × 10⁻¹⁴¹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Efeito da complexidade ciclomática controlando o tamanho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 = 0,944; IC 95% [0,870; 1,024]; p = 0,17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Multicolinearidade entre métricas (VIF)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HALSTEAD_EFFORT = 23,1; HALSTEAD_DIFFICULTY = 15,2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Métricas excluídas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do risco por faixa de complexidade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 / 0,285 / 0,348 / 0,439; tendência z = 25,6; p ≈ 1,8 × 10⁻¹⁴⁴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aos pontos de corte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monotônica preservada em 5 de 5 esquemas testados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Validação por exclusão sucessiva de projetos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Monotonicidade em 12 de 12 reamostragens; amplitude máxima 0,087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Integridade estrutural das instâncias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 arquivos; 62 nós e 4 recursos renováveis em todos; 480/480 grafos acíclicos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Reconstrução do delineamento experimental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Fatorial 3 × 4 × 4 = 48 células completo e balanceado, 10 instâncias por célula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Ortogonalidade entre os componentes do índice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Spearman entre duração, intensidade e criticidade: −0,004; 0,003; 0,193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Adequação da medida de criticidade prevista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Contagem de sucessores × folga total: Spearman 0,116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Substituída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da ordenação aos pesos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Menor correlação de ordenação entre 6 esquemas: 0,847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Gradiente de risco NASA → J60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RR = 1,00 / 1,94 / 2,37 / 2,99; IC 95% por bootstrap de projetos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Viés da correspondência direta de rótulos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Inflação de 1,74× no risco médio, por artefato do tamanho dos estratos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Método descartado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Reprodutibilidade entre ambientes distintos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Resultados numericamente idênticos em duas execuções independentes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RC = razão de chances; LR = estatística do teste da razão de verossimilhança; VIF = fator de inflação da variância.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2.3  Discussão científica preliminar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solução comporta-se de maneira estável sob as condições de ensaio. Três resultados merecem discussão.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Qualidade e proveniência dos dados.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auditoria confirmou empiricamente as advertências de Shepperd et al. (2013) quanto à circulação de versões divergentes dos conjuntos NASA. Os cinco pares de arquivos do repositório Promise reproduzem exatamente as contagens tabuladas pelos autores, exceto o JM1: o arquivo em formato ARFF contém 10.885 registros, coincidindo com o catalogado, enquanto o arquivo CSV homônimo contém 13.204. Os dois arquivos compartilham praticamente o mesmo conjunto de observações distintas, diferindo na multiplicidade das repetições, o que indica que um deles já passou por remoção parcial de duplicatas antes de ser distribuído como bruto. A versão CSV foi, por isso, descartada.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Fidelidade da base de análise.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Optou-se por utilizar a versão D″ publicada, e não por reproduzir a limpeza a partir dos dados brutos, porque o algoritmo dos autores pressupõe atributos (MODULE_ID, ERROR_DENSITY e ERROR_COUNT) ausentes das versões do repositório Promise disponíveis: aplicá-lo a essas versões constituiria adaptação, não replicação. Essa decisão exigia, contudo, verificar que os arquivos D″ são o que declaram ser. Dispondo também da versão D′, aplicaram-se a ela os dois passos do algoritmo que distinguem uma versão da outra — remoção de casos idênticos e de casos inconsistentes. O conjunto de módulos preservados foi reproduzido exatamente nos 12 conjuntos. Registrou-se, entretanto, uma discrepância: sob a leitura literal do pseudocódigo, que determina remover ambos os membros de um par inconsistente, apenas 4 dos 12 conjuntos são reproduzidos; sob a interpretação de que se preserva um representante por vetor de atributos, os 12 são reproduzidos em contagem. O resíduo restante — 46 registros, ou 0,26% da base — restringe-se a qual rótulo foi mantido nos grupos conflitantes. Conclui-se que os arquivos distribuídos são consistentes com o procedimento publicado quanto aos módulos selecionados, mas não seguem literalmente o pseudocódigo quanto ao tratamento do rótulo. O achado é registrado como limitação conhecida e quantificada da base, e é ele próprio um exemplo do problema de documentação de pré-processamento que os autores denunciam.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Complexidade, tamanho e risco.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 maior consequência para o trabalho é negativo e foi obtido pelo teste que a metodologia previa. Isoladamente, a complexidade ciclomática apresenta associação forte com a ocorrência de defeito, mesmo controlando o projeto de origem (razão de chances 1,90 por unidade logarítmica; LR = 639,8). Contudo, ao se acrescentar o tamanho do módulo ao modelo, o efeito da complexidade desaparece: a razão de chances ajustada cai para 0,944, com intervalo de confiança de 95% entre 0,870 e 1,024 — contendo, portanto, o valor nulo — e p = 0,17. A relação inversa não se verifica: o tamanho sobrevive folgadamente ao controle pela complexidade (LR = 431,2; p ≈ 9 × 10⁻⁹⁶). A Figura 2 apresenta o mesmo teste aplicado a todas as métricas candidatas; nenhuma delas exibe efeito positivo independente do tamanho, e as que permanecem estatisticamente distinguíveis do nulo o fazem com sinal negativo, padrão característico de colinearidade e não de mecanismo causal.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2: Razões de chances das métricas candidatas antes e depois do controle pelo tamanho do módulo.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resultado não invalida o uso da complexidade como eixo ordinal, mas altera o que se pode afirmar a partir dele. A ordenação do risco pelas faixas de complexidade é forte e robusta, como mostram a Figura 3 e a Tabela 1: o risco cresce monotonicamente de 0,147 a 0,439 entre a faixa mais baixa e a mais alta, a tendência é altamente significativa, e a monotonicidade se preserva sob todos os cinco esquemas alternativos de corte testados e sob todas as doze reamostragens por exclusão de projeto. O que os dados não sustentam é a atribuição causal: a complexidade ciclomática opera, nesta base, como marcador ordinal de risco correlacionado ao tamanho, e não como fator de risco independente dele. Para o propósito deste trabalho — transferência ordinal de risco entre domínios — um marcador estável é suficiente; a afirmação de efeito independente, que não seria sustentável, é explicitamente abandonada.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3: Risco basal por faixa de complexidade ciclomática, em frequência bruta e em probabilidade ajustada pelo efeito do projeto de origem.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faixas adotadas — v(G) ≤ 10, de 11 a 15, de 16 a 20 e acima de 20 — constituem adaptação metodológica deste trabalho a partir das faixas interpretativas do NASA Software Engineering Handbook, cujo requisito SWE-220 estabelece o limiar de 15 para software crítico de segurança e exige revisão formal e justificativa documentada para qualquer excedente. As faixas da fonte original são cinco e sobrepõem-se nos extremos; a adaptação a quatro níveis não sobrepostos, alinhada ao limiar normativo, é registrada como decisão deste trabalho e não como classificação oficial.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4: Estabilidade da ordenação sob exclusão sucessiva de cada projeto.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Três limitações condicionam a leitura destes resultados. Primeira, e mais importante, os dados NASA descrevem módulos de software, ao passo que o objeto do trabalho são tarefas de projetos de engenharia; não se afirma equivalência métrica entre os domínios, e a transferência prevista é ordinal, não cardinal — a ser explicitamente qualificada na monografia. Segunda, a proveniência dos arquivos utilizados é de segunda mão: os arquivos do repositório Promise foram obtidos por meio de um espelho público que declara sua origem, e os arquivos D′ e D″ têm data anterior ao artigo que os descreve, o que recomenda confirmação junto à coleção oficial dos autores antes da redação final. Terceira, a métrica HALSTEAD_ERROR_EST foi deliberadamente excluída da seleção por circularidade: sendo definida como estimativa do número de erros derivada do volume do programa, seu uso para explicar a ocorrência de defeito equivaleria a prever defeito a partir de uma previsão de defeito; sua correlação de Spearman de 0,979 com HALSTEAD_EFFORT confirma que ela não carrega informação estrutural independente.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Consequência para a próxima etapa.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achado sobre complexidade e tamanho tem implicação direta sobre a construção do índice de dificuldade técnica no PSPLIB J60. O componente do índice análogo à magnitude da tarefa — duração normalizada e intensidade de recursos — encontra respaldo empírico na base NASA, ao passo que o componente análogo à complexidade estrutural, a criticidade na rede de precedências, não encontra respaldo independente. Recomenda-se, portanto, ponderar conservadoramente o componente estrutural e submetê-lo a análise de sensibilidade específica, em vez de tratá-lo como equivalente ao componente de magnitude. A decisão final sobre a ponderação será tomada após a caracterização do J60 e registrada no guia metodológico.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2.4  Caracterização da base PSPLIB J60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base do trabalho, que fornece a estrutura de execução de projeto — tarefas, precedências, durações e restrições de recursos —, foi auditada com o mesmo protocolo. As 480 instâncias do conjunto J60 foram lidas diretamente do formato original, sem intermediários, e verificadas quanto à integridade estrutural: todas declaram 62 atividades, sendo 60 reais e duas fictícias, e 4 recursos renováveis; os 480 grafos de precedência são acíclicos.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central, contudo, não é estrutural e sim de delineamento. As instâncias do PSPLIB são geradas por um projeto experimental fatorial sobre três parâmetros definidos por Kolisch, Sprecher e Drexl (1995): a complexidade de rede, dada pela razão entre arcos de precedência e atividades; o fator de recursos, que mede a fração média de tipos de recurso requisitados por atividade; e a força de recursos, que posiciona a disponibilidade entre o mínimo de viabilidade e o pico de demanda do cronograma de inícios mais cedo. Os três parâmetros foram recalculados a partir dos arquivos e seus níveis foram reconstruídos por agrupamento dos valores obtidos, sem que nenhum valor de referência fosse suposto. A Tabela 2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Níveis dos parâmetros de delineamento reconstruídos a partir das instâncias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00"/>
        <w:gridCol w:w="3670"/>
        <w:gridCol w:w="3000"/>
      </w:tblGrid>
      <w:tr>
        <w:trPr>
          <w:tblHeader/>
        </w:trPr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36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reconstruídos dos arquivos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nominais do delineamento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Complexidade de rede (NC)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1,5000 / 1,8065 / 2,1129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 / 1,8 / 2,1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 de recursos (RF)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 / 0,5042 / 0,7542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 / 0,50 / 0,75 / 1,00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Força de recursos (RS)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0,1975 / 0,5106 / 0,7038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 / 0,50 / 0,70 / 1,00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reconstrução recupera um delineamento fatorial completo e balanceado de 3 × 4 × 4 = 48 células, com exatamente uma combinação por célula e dez instâncias por combinação. Como os níveis foram derivados dos próprios arquivos, o resultado valida simultaneamente a rotina de leitura e as três formulações implementadas.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Registrou-se ainda uma característica relevante do conjunto: a complexidade de rede e o fator de recursos são exatamente constantes dentro de cada combinação, ao passo que a força de recursos não é, variando em até 0,12 dentro de uma mesma célula. A causa é estrutural e não constitui defeito: a disponibilidade de cada recurso é um número inteiro, de modo que o gerador não realiza exatamente o valor pretendido e arredonda. A consequência metodológica é que o nível nominal e o valor realizado são variáveis distintas — o primeiro é um fator do delineamento, o segundo uma medida contínua — e tratá-los como equivalentes converteria ruído de arredondamento em variação experimental. Nos modelos subsequentes, o nível nominal será utilizado como fator e o valor realizado, quando pertinente, como covariável.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2.5  Índice de dificuldade técnica das tarefas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as instâncias caracterizadas, construiu-se o índice de dificuldade técnica que atribui a cada tarefa um nível ordinal. O índice, definido pelas equações (14) a (17), combina três grandezas medidas nas próprias instâncias: a duração normalizada, a intensidade de uso de recursos — definida como a fração média da disponibilidade de cada recurso que a tarefa consome, adaptação por atividade do fator de recursos de Kolisch, Sprecher e Drexl (1995) — e a criticidade na rede de precedências. As normalizações são feitas dentro de cada instância, uma vez que o modelo compara tarefas de um mesmo projeto e não tarefas de projetos distintos.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de uma atribuição de fonte.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deste trabalho atribuía a construção do índice a De Reyck e Herroelen (1996). A verificação da fonte mostrou que a atribuição era imprópria: o índice de complexidade ali discutido deriva de Bein, Kamburowski e Stallmann (1992) e mede a distância da rede inteira à série-paralelidade, sendo uma propriedade do grafo e não da atividade. A referência foi mantida no trabalho, porém realocada para sustentar a caracterização da rede por instância, e o índice por tarefa passou a ser declarado como construção deste trabalho, com cada componente apoiado em fonte própria.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da medida de criticidade.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previa a contagem de sucessores como medida de criticidade. Comparada à folga total obtida do método do caminho crítico, sobre as mesmas 28.800 tarefas, a correlação de Spearman entre as duas é de apenas 0,116, e 3.488 tarefas apresentam folga acima da mediana e três ou mais sucessores — isto é, muitos sucessores e nenhuma urgência. A criticidade passou a ser medida pela folga total, que é a medida canônica no nível da atividade. A contagem de sucessores permanece calculada e gravada na base, disponível como variável alternativa para análise de sensibilidade.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componentes mostram-se quase ortogonais entre si, com correlações de Spearman de −0,004 entre duração e intensidade de recursos, 0,003 entre intensidade e criticidade, e 0,193 entre duração e criticidade. Cada um carrega, portanto, informação distinta, e o índice composto não é uma única grandeza sob três nomes — situação oposta à observada na base NASA, onde complexidade e tamanho apresentavam correlação de 0,752 e o composto colapsava sobre um único eixo. A Figura 5 apresenta o comportamento dos níveis resultantes.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5: Duração média e folga total média por nível de dificuldade.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duração média cresce e a folga média decresce monotonicamente ao longo dos quatro níveis, comportamento coerente com a interpretação do índice. Os pontos de corte são os quartis da distribuição, decisão declarada deste trabalho: ao contrário do domínio de software, que dispõe do limiar normativo do requisito SWE-220, não há para tarefas de projeto um limiar externo equivalente. A ordenação mostrou-se razoavelmente robusta à ponderação: entre seis esquemas alternativos de pesos, a menor correlação de ordenação observada foi de 0,847.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2.6  Transferência ordinal de risco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que liga as duas bases consiste em atribuir às tarefas do PSPLIB o risco calibrado sobre os módulos da NASA. A forma dessa atribuição não é indiferente, e a decisão adotada apoia-se em evidência numérica.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quatro níveis não têm o mesmo tamanho relativo nos dois domínios: na base NASA, 86,24% dos módulos situam-se no nível mais baixo, contra 25,00% das tarefas do J60, por construção dos quartis. Atribuir a cada nível do J60 o risco absoluto do nível homônimo da NASA produziria risco médio de 0,3046 nas tarefas, contra taxa observada de 0,1749 na NASA — uma inflação de 1,74 vezes gerada exclusivamente pela diferença de tamanho dos estratos, e não por qualquer propriedade das tarefas. Seria um artefato de construção apresentado como resultado.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Adotou-se, portanto, a transferência por razão de risco relativo, conforme as equações (18) e (19). O que os dados NASA sustentam não é o nível absoluto de risco de um módulo de software, que não tem razão para valer em tarefas de engenharia, e sim a forma do gradiente: quantas vezes mais arriscada é uma tarefa difícil em relação a uma fácil. Essa razão é adimensional e independe da taxa basal do domínio. A Tabela 3 e a Figura 6 apresentam as razões estimadas.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Razões de risco transferidas, com intervalos por reamostragem de projetos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00"/>
        <w:gridCol w:w="2200"/>
        <w:gridCol w:w="2000"/>
        <w:gridCol w:w="2370"/>
      </w:tblGrid>
      <w:tr>
        <w:trPr>
          <w:tblHeader/>
        </w:trPr>
        <w:tc>
          <w:tcPr>
            <w:tcW w:type="dxa" w:w="2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Nível de dificuldade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Risco basal NASA</w:t>
            </w:r>
          </w:p>
        </w:tc>
        <w:tc>
          <w:tcPr>
            <w:tcW w:type="dxa" w:w="2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Razão de risco</w:t>
            </w:r>
          </w:p>
        </w:tc>
        <w:tc>
          <w:tcPr>
            <w:tcW w:type="dxa" w:w="23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(bootstrap)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baixa (referência)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0,2845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1,935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[1,758; 2,599]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0,3479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2,367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[1,720; 3,229]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muito 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0,4388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2,985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[1,878; 4,156]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Bootstrap com 4.000 réplicas, reamostrando projetos.</w:t>
      </w:r>
    </w:p>
    <w:p>
      <w:pPr>
        <w:spacing w:after="40" w:before="200"/>
        <w:jc w:val="center"/>
      </w:pPr>
      <w:r>
        <w:drawing>
          <wp:inline distT="0" distB="0" distL="0" distR="0">
            <wp:extent cx="503872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6: Gradiente de risco transferido, com intervalo de confiança.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Unidade de reamostragem.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foram obtidos reamostrando projetos, e não observações individuais. As observações de um mesmo projeto não são independentes, pois compartilham equipe, processo, domínio de aplicação e critério de registro de defeito; reamostrar módulos trataria 17.377 observações como 17.377 evidências independentes e produziria intervalos artificialmente estreitos. A unidade de agrupamento correta é o projeto — o mesmo raciocínio que fundamenta a validação por exclusão sucessiva de projetos apresentada na Seção 2.3.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resultantes são largos, sobretudo no nível mais alto, cujo limite superior alcança 4,156. Isso constitui informação e não deficiência: com doze projetos, a incerteza sobre o gradiente é substancial, e reportá-la é preferível a apresentar a estimativa pontual como se fosse precisa.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âncora do modelo.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razão de risco fixa a forma da relação, não o seu nível. O risco atribuído a uma tarefa é o produto da razão por uma taxa basal de retrabalho do domínio de engenharia, que este trabalho não estima e trata explicitamente como parâmetro do modelo, a ser fixado por dado do domínio ou tratado como incerteza na simulação. Por essa razão, a base de tarefas resultante grava o multiplicador de risco e seu intervalo, e não uma probabilidade absoluta: gravar a probabilidade embutiria um valor arbitrário na base como se fosse dado observado.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construção assume que o gradiente ordinal de risco por dificuldade é transferível entre domínios, ainda que o nível absoluto não seja. Trata-se de suposição e não de resultado. É uma suposição mais fraca do que a de equivalência métrica direta, que os dados não sustentam, mas não é vazia, e será mantida explícita na redação final.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2.7  Cronograma de atividades e próximas etapas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4 distribui cronologicamente as atividades previstas para a conclusão do trabalho.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Cronograma de finalização do trabalho (TCC II)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4270"/>
        <w:gridCol w:w="960"/>
        <w:gridCol w:w="960"/>
        <w:gridCol w:w="960"/>
        <w:gridCol w:w="960"/>
        <w:gridCol w:w="960"/>
      </w:tblGrid>
      <w:tr>
        <w:trPr>
          <w:tblHeader/>
        </w:trPr>
        <w:tc>
          <w:tcPr>
            <w:tcW w:type="dxa" w:w="4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Atividade / etapa de engenharia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Nov.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Dez.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Jan.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 Confirmação da proveniência dos dados junto à coleção oficial e fechamento da calibração NASA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 Auditoria do PSPLIB J60 e validação dos parâmetros NC, RF e RS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 Construção do índice de dificuldade e da transferência ordinal NASA → J60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 Fixação da âncora de risco por dado do domínio de engenharia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 Implementação do modelo de inferência difusa e do simulador de equipes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 Ensaios finais, análise de sensibilidade e validação do modelo integrado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 Redação final da monografia conforme normas ABNT e preparação da defesa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BEIN, W. W.; KAMBUROWSKI, J.; STALLMANN, M. F. M. Optimal reduction of two-terminal directed acyclic graphs. SIAM Journal on Computing, v. 21, n. 6, p. 1112-1129, 1992.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REYCK, B.; HERROELEN, W. On the use of the complexity index as a measure of complexity in activity networks. European Journal of Operational Research, v. 91, n. 2, p. 347-366,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SWE-220 – Cyclomatic complexity for safety-critical software. NASA Software Engineering Handbook, versão D. Disponível em: https://swehb.nasa.gov.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Cyclomatic complexity assessment. NASA/TM-20205011566, NESC-RP-20-01515. Washington: NASA, 2020.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M.; SONG, Q.; SUN, Z.; MAIR, C. Data quality: some comments on the NASA software defect datasets. IEEE Transactions on Software Engineering, v. 39, n. 9, p. 1208-1215, 2013.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 The cleaned NASA MDP data sets. Thoughts on Empirical Software Engineering, 1 abr. 2018. Disponível em: https://empiricalsoftwareengineering.wordpress.com.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CROWDER, R. M.; ROBINSON, M. A.; HUGHES, H. P. N. et al. The development of an agent-based modeling framework for simulating engineering team work. IEEE Transactions on Systems, Man, and Cybernetics – Part A: Systems and Humans, v. 42, n. 6, p. 1425-1439, 2012.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LIU, S.; TRIANTIS, K. P.; SARANGI, S. Representing qualitative variables and their interactions with fuzzy logic in system dynamics modeling. Systems Research and Behavioral Science, v. 28, p. 245-263, 2011.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MACAL, C. M.; NORTH, M. J. Tutorial on agent-based modelling and simulation. Journal of Simulation, v. 4, n. 3, p. 151-162, 2010.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RODRIGUES, A. G. The application of system dynamics to project management: an integrated methodology (SYDPIM). Tese (Doctor of Philosophy) — University of Strathclyde, Glasgow,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STERMAN, J. D. Business dynamics: systems thinking and modeling for a complex world. Boston: Irwin/McGraw-Hill,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 PSPLIB – a project scheduling problem library. European Journal of Operational Research, v. 96, n. 1, p. 205-216, 1997.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A.; DREXL, A. Characterization and generation of a general class of resource-constrained project scheduling problems. Management Science, v. 41, n. 10, p. 1693-1703, 1995.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ab77e0b7010e60a91b141aa3aa224d659eccd.png"/><Relationship Id="rId8" Type="http://schemas.openxmlformats.org/officeDocument/2006/relationships/image" Target="media/bd2aeb83e116abee4f19db3d651242ed60e7b683.png"/><Relationship Id="rId9" Type="http://schemas.openxmlformats.org/officeDocument/2006/relationships/image" Target="media/14f930279bfd1e0fce3dfc9de1def10b8ade1afc.png"/><Relationship Id="rId10" Type="http://schemas.openxmlformats.org/officeDocument/2006/relationships/image" Target="media/3bf2fa59d9763d8544097b408777fb39f848d754.png"/><Relationship Id="rId11" Type="http://schemas.openxmlformats.org/officeDocument/2006/relationships/image" Target="media/b84eefe191a1b15edd5dd5f21aec397eb9e28960.png"/><Relationship Id="rId12" Type="http://schemas.openxmlformats.org/officeDocument/2006/relationships/image" Target="media/85e12bfeb03a4a27ad539f8ea3c270991340fe8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II — Metodologia e Resultados Iniciais</dc:title>
  <dc:creator>Isadora Maria Carvalho Lopes</dc:creator>
  <cp:lastModifiedBy>Un-named</cp:lastModifiedBy>
  <cp:revision>1</cp:revision>
  <dcterms:created xsi:type="dcterms:W3CDTF">2026-09-05T14:25:19.056Z</dcterms:created>
  <dcterms:modified xsi:type="dcterms:W3CDTF">2026-09-05T14:25:19.056Z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