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UNIVERSIDADE FEDERAL DE MINAS GERAIS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Engenharia de Sistemas — Trabalho de Conclusão de Curso II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Pensamento sistêmico aplicado à gestão de equipes em projetos de engenharia: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metodologia e resultados iniciais da calibração empírica e da transferência ordinal de risco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Isadora Maria Carvalho Lopes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Orientador: Prof. André Batista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Belo Horizonte, setembro de 2026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 METODOLOGIA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1.1  Classificação e abordagem da pesquisa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Esta pesquisa fundamenta-se no método científico-tecnológico, caracterizando-se como pesquisa aplicada e experimental. Quanto à abordagem do problema, o estudo é quantitativo, pois as questões centrais do trabalho — se a complexidade de uma tarefa está associada à ocorrência de falhas, em que magnitude, e se essa associação é estável o bastante para ser transferida ordinalmente a outro domínio — são formuladas como hipóteses estatísticas sobre parâmetros populacionais e respondidas por estimação de efeitos, intervalos de confiança e testes de hipótese sobre bases de dados públicas.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Cabe uma delimitação metodológica desde já. O trabalho não busca construir o melhor classificador de módulos defeituosos, objetivo usual da literatura de predição de defeitos de software. Busca-se uma relação interpretável e ordinalmente transferível entre um nível de dificuldade técnica e um risco basal de retrabalho, a ser incorporada a um modelo de simulação de equipes de projeto. Essa diferença de objetivo é o que justifica privilegiar interpretabilidade e estabilidade sobre acurácia preditiva, e é o critério declarado que orienta todas as escolhas de modelagem descritas adiante.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procedimentos técnicos adotados baseiam-se na engenharia sistemática e em uma metodologia de desenvolvimento de sistemas organizada em ciclos de concepção, especificação, implementação e validação, aplicados de forma incremental a cada etapa do pipeline de dados.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1.2  Materiais, ferramentas e recursos de engenharia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o planejamento, a modelagem e a execução das atividades foram utilizados os seguintes recursos técnicos.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Ambientes de desenvolvimento e software: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Visual Studio Code 1.125 como ambiente de desenvolvimento; Git 2.49 para controle de versão, com repositório remoto privado no GitHub garantindo sincronização entre as duas estações de trabalho utilizadas; ambiente virtual Python isolado por projeto, com dependências declaradas em arquivo de requisitos versionado.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Linguagens, frameworks e bibliotecas: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Python 3.14 como linguagem de implementação. Bibliotecas: pandas 3.0.5 (manipulação tabular), NumPy 2.5.2 (álgebra numérica), SciPy 1.15 (distribuições e testes), statsmodels 0.15 (regressão logística, verossimilhança e inferência) e Matplotlib 3.10 (figuras). A etapa de auditoria dos arquivos brutos foi implementada exclusivamente com a biblioteca padrão, por decisão metodológica justificada na Seção 1.4.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Componentes de hardware e instrumentação: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aplicável. O trabalho é integralmente computacional, baseado em análise secundária de bases públicas e em simulação.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Bases de dados e fontes de informação: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(i) NASA Metrics Data Program (MDP), nas versões limpas D′ e D″ disponibilizadas por Shepperd et al. (2013), utilizadas para a calibração da relação entre complexidade e defeito; (ii) NASA Promise Data Repository, versões brutas dos conjuntos CM1, JM1, KC1, KC2 e PC1, utilizadas como termo de comparação e para a auditoria de proveniência; (iii) PSPLIB, conjunto J60, com 480 instâncias de projeto, utilizado para a estrutura de execução — tarefas, precedências, durações e restrições de recursos; (iv) NASA Software Engineering Handbook, requisito SWE-220, e relatório NASA/TM-20205011566 (NESC), como fonte normativa dos limiares de complexidade ciclomática.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1.3  Processo de desenvolvimento do software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desenvolvimento seguiu um ciclo de engenharia incremental, no qual cada etapa do pipeline é implementada como um script independente, verificada isoladamente e só então integrada à etapa seguinte. A estrutura adotada é a seguinte.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Requisitos e restrições: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imutabilidade dos dados brutos; rastreabilidade de cada observação até o arquivo e a linha de origem; toda transformação realizada por código e registrada em log; distinção explícita entre o que provém da literatura, o que é decisão metodológica deste trabalho e o que é exploração.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Projeto e arquitetura: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separação entre camada de dados brutos (somente leitura), camada de processamento (scripts numerados na ordem de execução) e camada de saídas (tabelas, figuras e logs), conforme a Figura 1.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Implementação: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seis scripts em Python, executáveis de forma independente e em sequência, cada um documentando internamente o problema que resolve, sua entrada, sua saída, sua lógica, a origem de cada decisão e o critério de verificação do próprio resultado.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Verificação e ensaios: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cada script encerra com um bloco de verificações automáticas que compara seu resultado com invariantes conhecidas — totais que devem se conservar, chaves que devem ser únicas, ausências que não podem existir, propriedades matemáticas que devem valer. Uma verificação que falha interrompe a execução com código de erro, de modo que uma etapa defeituosa não alimenta silenciosamente a seguinte.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1.4  Procedimentos experimentais e coleta de dados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dados foram extraídos de forma integralmente automatizada, por meio dos scripts descritos, a partir dos arquivos originais dos repositórios públicos. Nenhum arquivo bruto foi editado em momento algum: todas as transformações produzem arquivos derivados, e a integridade dos originais é verificável por resumo criptográfico SHA-256 calculado a cada execução. O repositório está configurado para preservar os bytes originais dos arquivos de dados, impedindo que o sistema de controle de versão converta terminadores de linha e altere fisicamente os arquivos entre as duas estações de trabalho — precaução sem a qual a verificação por resumo criptográfico deixaria de ser reproduzível.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etapa de auditoria foi implementada sem bibliotecas de leitura de alto nível, com uso exclusivo da biblioteca padrão do Python. A justificativa é metodológica: leitores de dados de alto nível convertem tipos, tratam valores ausentes e descartam registros malformados de maneira silenciosa, o que destruiria precisamente a evidência que a auditoria pretende coletar. A partir da etapa de consolidação, com os dados já caracterizados, o uso de bibliotecas de análise passa a ser adequado.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condições controladas dos ensaios são as seguintes: a base de análise é fixa (17.377 observações de 12 projetos); a unidade de observação é o módulo de software; o desfecho é binário (módulo defeituoso ou não); o efeito do projeto de origem é sempre incluído nos modelos, de modo que nenhuma associação seja atribuída a uma métrica quando puder ser explicada pela procedência da observação; e todos os testes de robustez — sensibilidade aos pontos de corte e validação por exclusão sucessiva de projetos — são executados sobre a mesma base, sem reamostragem aleatória, o que torna os resultados determinísticos e reproduzíveis bit a bit.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1.5  Modelagem do sistema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objeto construído é um modelo híbrido que acopla Dinâmica de Sistemas e Modelagem Baseada em Agentes, especificado na fase conceitual deste trabalho. O ecossistema é povoado por duas classes de agentes. O Agente Gestor controla um vetor dinâmico de restrições, composto pela pressão de cronograma P(t), pela restrição orçamentária Ω e pela topologia do fluxo de trabalho W, em que cada nó guarda uma dificuldade técnica Dᵢ. O Agente Engenheiro é caracterizado por um vetor contínuo de atributos que evoluem ao longo da simulação: competência técnica C(t), bateria cognitiva B(t), disponibilidade a(t), taxa de resposta na rede R(t), confiança mútua τ(t) e limiar de saturação da atenção τ_sat.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grandeza que engatilha as transições de estado é o esforço cognitivo exigido pela tarefa, que cresce com a dificuldade técnica e com a pressão de cronograma, e é aliviado pela capacidade cognitiva disponível: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E(t) = Dᵢ · P(t) / B(t)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(1)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Dᵢ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índice de dificuldade técnica da tarefa i;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P(t)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pressão de cronograma imposta pelo gestor;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B(t)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bateria cognitiva disponível do agente.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Quando existe hiato de competência e o agente recorre à rede, a transferência lateral de conhecimento produz incremento de competência ao custo de tempo, conforme a formulação de Crowder, Robinson e Hughes (2012):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ΔC = [ 15 + 3 ( C_k − C ) ] / 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(2)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Procedência dos coeficientes.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escalares 15 e 3 não são premissas deste trabalho: integram a formulação publicada por Crowder, Robinson e Hughes (2012), na qual o primeiro representa o incremento base de assimilação por interação bem-sucedida e o segundo pondera o ganho adicional pelo hiato técnico entre provedor e receptor. São reproduzidos sem alteração. O que este trabalho decide, e declara como decisão própria, é o contexto em que a equação opera.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 formulação original: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equação e seus dois coeficientes, tal como publicados.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Adaptação declarada nesta implementação: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autores estabelecem que o incremento é limitado ao intervalo de zero a três décimos, que a competência resultante não ultrapassa a dificuldade da subtarefa, e que, concluída a subtarefa, a competência do agente RETORNA ao valor de partida, por entenderem que parte da competência é específica da subtarefa. A implementação atual não reproduz esse retorno: o ganho obtido com o apoio permanece entre tarefas. Trata-se de adaptação da dinâmica original, e é assim que deve ser lida — não como correção nem como aperfeiçoamento. Nenhum teste foi executado nesta entrega para comparar as duas dinâmicas, e por isso nada se afirma sobre qual delas representa melhor o fenômeno. A avaliação está registrada como pendência para a etapa seguinte.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Decisão de operacionalização deste trabalho: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exigência adicional de que o agente que presta apoio seja mais competente que o solicitante, discutida na Seção 2.10, e a seleção de um único apoiador por evento, onde a formulação original admite múltiplos respondentes com ganhos acumulados.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saturação individual e o atrito na rede traduzem-se em multiplicadores adimensionais no intervalo [0,1], obtidos por inferência difusa — fuzzificação dos estados contínuos de fadiga e atrito por funções de pertinência, avaliação por regras e defuzzificação —, procedimento proposto e ilustrado por Liu, Triantis e Sarangi (2011) para representar variáveis qualitativas em Dinâmica de Sistemas. Registre-se que os autores propõem e demonstram o método em aplicação, sem estabelecer validação geral dele; a adoção aqui é, portanto, de um procedimento proposto na literatura, e não de um procedimento validado. A produtividade efetiva resulta da modulação da produtividade nominal por esses multiplicadores: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PR_efetiva = PR_nominal · μ_cognitivo · μ_rede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(3)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válvula que alimenta o estoque de retrabalho oculto é regida pela equação de falhas, na qual o risco basal da tarefa soma-se a uma parcela que cresce à medida que a degradação cognitiva avança: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TGE = PR_efetiva · ( F_base + R_error · ( 1 − μ_cognitivo ) 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(4)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F_base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risco basal de falha associado à dificuldade da tarefa;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R_error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taxa de erro adicional sob degradação cognitiva.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métrica terminal agrega os quatro relógios do projeto na fração do esforço contabilizado que corresponde a trabalho produtivo, razão entre o tempo de trabalho efetivo e a soma dos quatro relógios: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E_total = Σ TWᵢ / Σ ( TWᵢ + TLᵢ + TUᵢ + TRᵢ 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(5)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TWᵢ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tempo de trabalho efetivo na tarefa i;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TLᵢ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tempo de espera por suporte técnico;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TUᵢ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tempo improdutivo por adiamento ou indisponibilidade da rede;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TRᵢ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esforço de retrabalho contabilizado, decorrente de falhas detectadas. Não ocupa agente nem avança o cronograma na implementação atual (ver Seção 2.8).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execução temporal dessas equações é governada por uma árvore de decisão de três portas, avaliada a cada passo. A Porta 1 detecta sobrecarga: quando o esforço exigido supera o limiar de saturação, o agente transita para processamento heurístico e, conforme o nível da restrição orçamentária, ou adia a tarefa ou a conclui com erro, injetando no estoque de retrabalho oculto uma parcela proporcional ao excesso sobre o limiar. A Porta 2 trata o hiato de competência, disparando requisição à rede e aplicando a equação (2) caso exista agente disponível e com confiança mútua suficiente. A Porta 3 corresponde à execução analítica nominal, acionada quando não há sobrecarga nem hiato de competência.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Os três estoques.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camada de dinâmica de sistemas do modelo é composta por três estoques, cujas taxas de entrada e saída são alimentadas pelas decisões dos agentes. O desgaste cognitivo acumulado (S_DC) acumula a drenagem da bateria cognitiva de todos os agentes e mede o custo cognitivo total incorrido pela equipe. O progresso validado (S_PV) acumula a duração nominal das tarefas concluídas sem defeito, e é a única medida de avanço que o modelo considera legítima: uma tarefa concluída com defeito oculto não incrementa esse estoque, ainda que o cronograma a registre como pronta. A dívida técnica latente (S_UR) acumula o esforço de retrabalho que já foi gerado mas ainda não foi detectado, medido em períodos de trabalho futuro; é o estoque que materializa a diferença entre progresso aparente e progresso real.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separação entre S_PV e o simples número de tarefas concluídas é o mecanismo pelo qual o modelo representa a patologia central que o trabalho investiga: sob pressão, a equipe continua a marcar tarefas como concluídas enquanto S_PV estagna e S_UR cresce, de modo que o painel de controle do projeto melhora exatamente enquanto o projeto piora.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Portas de decisão.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cada período, para cada tarefa elegível, o agente designado percorre uma árvore de três portas. A Porta 1 corresponde ao modo heurístico: acionada quando o esforço percebido excede o limiar de saturação, ela executa a tarefa com custo cognitivo elevado e probabilidade de defeito aumentada, e é a porta pela qual o defeito tende a ficar oculto. A Porta 2 corresponde ao adiamento: o agente reconhece que não dispõe de condições para executar a tarefa e a devolve à fila, incorrendo em tempo improdutivo. A Porta 3 corresponde à execução analítica: o agente executa a tarefa em modo deliberado, com custo cognitivo menor e risco de defeito reduzido ao patamar basal da faixa de dificuldade. A probabilidade de transição entre os modos é estocástica e governada pela Equação 6.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p_heurístico = 1 / ( 1 + exp[ − ( E − τ_sat ) / s ] 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(6)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esforço percebido, conforme Equação 1;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τ_sat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limiar de saturação cognitiva do agente;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parâmetro de suavidade da transição.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formulação estocástica foi adotada porque o texto do TCC I descreve a transição como estocástica enquanto o pseudocódigo a escreve como limiar determinístico. Com s tendendo a zero a Equação 6 recupera o limiar determinístico, de modo que as duas leituras passam a ser alternativas testáveis por análise de sensibilidade em vez de escolhas arbitrárias.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1.6  Sistema de inferência difusa e garantia de monotonicidade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multiplicadores de produtividade μ_cognitivo e μ_rede são produzidos por um sistema de inferência difusa de Mamdani–Assilian com duas entradas, três termos linguísticos triangulares por variável, base completa de nove regras e defuzzificação por centroide, seguindo a prática consolidada de acoplar lógica difusa a modelos de dinâmica de sistemas (LIU; TRIANTIS; SARANGI, 2011). Esta estrutura é decisão do TCC II, e não herança da fase conceitual: o TCC I anuncia o emprego de lógica difusa e cita exemplos — funções de pertinência triangulares e inferência pelo método máx-mín —, mas não define quais variáveis entram, quantos termos linguísticos cada uma tem, qual é a base de regras nem o método de defuzzificação. A escolha aqui adotada inclusive DIVERGE do exemplo citado na fase conceitual: a t-norma mínimo foi substituída pela t-norma produto, pela razão exposta adiante nesta seção.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Requisito de monotonicidade.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saída do sistema é um multiplicador de produtividade. Exige-se, portanto, que ela seja monotonicamente não crescente em ambas as entradas: a produtividade não pode aumentar quando a fadiga ou a pressão aumentam. Trata-se de requisito estrutural do modelo, e não de preferência estética; sua violação tornaria possível que uma equipe mais fatigada produzisse mais.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implementação inicial, fiel à especificação conceitual, empregava a t-norma mínimo, isto é, a inferência conhecida como Max-Min. A superfície resultante apresentou regiões de derivada positiva. O refinamento sucessivo da malha de integração mostrou que o efeito não era artefato de discretização: a violação escalava linearmente com o passo da malha, convergindo para uma derivada positiva máxima de aproximadamente 0,26.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 causa é um resultado formal.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Van Broekhoven e De Baets (2009) demonstram que a monotonicidade de modelos de Mamdani–Assilian sob defuzzificação por centroide não decorre de a base de regras ser monótona, e enumeram as cinco únicas configurações para as quais a garantia existe. Para modelos de duas entradas há uma única configuração garantida: t-norma produto com base de regras monótona e suave. A combinação de duas entradas com t-norma mínimo não figura entre elas. A não monotonicidade observada não era, portanto, defeito de implementação nem ruído numérico, mas o comportamento previsto pela teoria para a configuração escolhida.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Duas premissas do teorema foram verificadas por código sobre a base de regras adotada. A primeira, de que a base seja monótona e suave nos termos das Definições 2.1 e 2.2 dos autores, já era satisfeita: as diferenças de índice de consequente entre regras vizinhas são todas nulas ou unitárias. A segunda, de que os termos de saída constituam uma partição difusa, não era satisfeita pelos conjuntos originalmente adotados, cujas pertinências somavam entre zero e um ao longo do domínio.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Decisão metodológica.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Adotou-se a configuração garantida: t-norma produto e partição difusa uniforme na saída. A configuração originalmente especificada foi mantida como valor alternativo do parâmetro declarado t_norma e é executada em varredura, de modo que a diferença entre as duas seja medida e não decretada. A Tabela 1 apresenta a medição sobre malha de 161 por 161 pontos.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 – Maior derivada positiva da superfície difusa por configuração de inferência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5230"/>
        <w:gridCol w:w="1920"/>
        <w:gridCol w:w="1920"/>
      </w:tblGrid>
      <w:tr>
        <w:trPr>
          <w:tblHeader/>
        </w:trPr>
        <w:tc>
          <w:tcPr>
            <w:tcW w:type="dxa" w:w="523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192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Garantida pelo teorema</w:t>
            </w:r>
          </w:p>
        </w:tc>
        <w:tc>
          <w:tcPr>
            <w:tcW w:type="dxa" w:w="192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Maior derivada positiva</w:t>
            </w:r>
          </w:p>
        </w:tc>
      </w:tr>
      <w:tr>
        <w:tc>
          <w:tcPr>
            <w:tcW w:type="dxa" w:w="52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t-norma mínimo com conjuntos originais (especificação conceitual)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0,258112</w:t>
            </w:r>
          </w:p>
        </w:tc>
      </w:tr>
      <w:tr>
        <w:tc>
          <w:tcPr>
            <w:tcW w:type="dxa" w:w="52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t-norma produto com conjuntos originais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0,000000</w:t>
            </w:r>
          </w:p>
        </w:tc>
      </w:tr>
      <w:tr>
        <w:tc>
          <w:tcPr>
            <w:tcW w:type="dxa" w:w="52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t-norma mínimo com partição difusa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não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0,420881</w:t>
            </w:r>
          </w:p>
        </w:tc>
      </w:tr>
      <w:tr>
        <w:tc>
          <w:tcPr>
            <w:tcW w:type="dxa" w:w="52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t-norma produto com partição difusa (configuração adotada)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9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0,000000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A garantia corresponde à linha 4 da Tabela IX de Van Broekhoven e De Baets (2009).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configuração adotada é exatamente monótona dentro da precisão da integração numérica, com derivada positiva máxima da ordem de 10⁻¹⁴. O critério de verificação deixou de ser uma tolerância arbitrada por este trabalho e passou a ser a previsão do teorema. A verificação exige, adicionalmente, que a configuração de t-norma mínimo continue violando a monotonicidade: caso deixasse de violar, o diagnóstico estaria incorreto e a substituição da t-norma perderia justificativa.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adoção da partição uniforme teve um efeito colateral favorável ao rigor do modelo: os centros dos termos de saída passaram a ser estruturais, com núcleos em zero, meio e um, e dois parâmetros anteriormente arbitrados deixaram de existir.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1.7  Instrumental de calibração empírica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equações anteriores descrevem o modelo; as seguintes descrevem os métodos empregados para estimar, a partir de dados observados, os parâmetros Dᵢ e F_base que nelas aparecem. As equações (7) a (10) constituem o instrumental estatístico; as (11) a (13), os parâmetros de delineamento das instâncias; e as (14) a (20), a construção do índice de dificuldade e a transferência de risco entre domínios.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associação entre métricas e ocorrência de defeito é modelada por regressão logística. Como o desfecho é binário, modela-se o logaritmo da chance, e não a probabilidade — esta é limitada ao intervalo [0,1], que uma função linear extrapolaria: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ln [ p / ( 1 − p ) ] = β₀ + β₁x₁ + β₂x₂ + … + βₚxₚ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(7)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probabilidade de o módulo ser defeituoso;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xᵢ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variáveis explicativas, incluindo o projeto de origem como fator;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βᵢ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coeficientes estimados por máxima verossimilhança.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interpretação dos coeficientes dá-se pela razão de chances, que exprime por quanto a chance de defeito é multiplicada a cada aumento unitário na variável, mantidas as demais constantes: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RC = exp(β)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(8)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comparação entre modelos aninhados emprega o teste da razão de verossimilhança, cuja estatística segue aproximadamente uma distribuição qui-quadrado com graus de liberdade iguais ao número de parâmetros adicionais: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LR = 2 ( ℓ_completo − ℓ_reduzido )  ~  χ² ( gl 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(9)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diagnóstico de multicolinearidade utiliza o fator de inflação da variância, obtido da regressão auxiliar de cada variável contra as demais: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VIFⱼ = 1 / ( 1 − R²ⱼ 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(10)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três parâmetros de delineamento das instâncias do PSPLIB, conforme Kolisch, Sprecher e Drexl (1995), são a complexidade de rede, o fator de recursos e a força de recursos: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NC = | A | / | V |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(11)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| A |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número de arcos de precedência;  | V | — número de atividades, incluindo as fictícias.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RF = ( 1/n ) · Σⱼ [ ( 1/K ) · Σₖ 1{ rⱼₖ &gt; 0 } 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(12)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n, 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número de atividades reais e de tipos de recurso;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rⱼₖ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demanda da atividade j pelo recurso k;  1{·} — função indicadora.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RSₖ = ( aₖ − rₖᵐⁱⁿ ) / ( rₖᵐᵃˣ − rₖᵐⁱⁿ 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(13)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aₖ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disponibilidade do recurso k;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rₖᵐⁱⁿ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maior demanda individual, menor disponibilidade que mantém o problema viável;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rₖᵐᵃˣ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pico de demanda no cronograma de inícios mais cedo.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criticidade de cada atividade é medida pela folga total, obtida das passagens para frente e para trás do método do caminho crítico: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folgaⱼ = LSⱼ − ESⱼ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(14)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ESⱼ, LSⱼ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início mais cedo e início mais tarde admissível sem atrasar o projeto.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índice de dificuldade técnica compõe três grandezas, normalizadas para [0,1] dentro de cada instância: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dⱼ = ( durⱼ − dur_mín ) / ( dur_máx − dur_mín 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(15)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rⱼ = ( 1/K ) · Σₖ ( rⱼₖ / aₖ 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(16)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cⱼ = 1 − folga_normⱼ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(17)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sendo o índice a combinação ponderada dos três componentes: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Dⱼ = w₁ dⱼ + w₂ rⱼ + w₃ cⱼ ,   com  w₁ + w₂ + w₃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(18)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pesos são tratados como suposição de partida, fixados em 1/3 cada, e submetidos a análise de sensibilidade conforme reportado na Seção 2.5.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transferência de risco entre domínios opera sobre razões, e não sobre níveis absolutos. Para cada nível ordinal ℓ, a razão de risco é estimada na base NASA em relação ao nível de referência ℓ₀: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RR( ℓ ) = F( ℓ ) / F( ℓ₀ 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(19)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 o risco basal atribuído a uma tarefa do PSPLIB no nível ℓ resulta do produto dessa razão por uma taxa basal do domínio de engenharia: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F_base( ℓ ) = F_âncora × RR( ℓ 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(20)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F(ℓ)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frequência de defeito observada no nível ℓ da base NASA;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ℓ₀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nível de referência, correspondente à dificuldade mais baixa;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F_âncora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— taxa basal de retrabalho do domínio de engenharia; parâmetro do modelo, não estimado neste trabalho.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1.8  Calibração do modelo e avaliação de identificabilidade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modelo contém parâmetros que não são diretamente observáveis. Duas perguntas distintas precisam de resposta: qual o procedimento que os fixa a partir de dados, e qual a evidência de que esse procedimento de fato os identifica. Responder apenas à primeira entregaria um algoritmo em execução, sem demonstração de que ele extrai informação.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Procedimento.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Adotou-se o History Matching (ANDRIANAKIS et al., 2015). Em vez de buscar um vetor ótimo de parâmetros, o método descarta do espaço tudo o que é implausível à luz dos dados, e devolve um conjunto — designado NROY, do inglês not ruled out yet — em lugar de uma estimativa pontual. A medida de implausibilidade de cada saída e a regra de descarte são dadas pelas Equações 21 e 22.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I_j( x ) = | z_j − f̄_j( x ) | / √( V_obs,j + V_sim,j + V_mod,j 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(21)</w:t>
      </w:r>
    </w:p>
    <w:p>
      <w:pPr>
        <w:tabs>
          <w:tab w:val="right" w:pos="9070"/>
        </w:tabs>
        <w:spacing w:after="140" w:before="140"/>
        <w:ind w:left="6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I( x ) = máx_j I_j( x ) ,   x ∈ NROY  ⟺  I( x ) ≤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(22)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z_j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valor observado da saída j;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f̄_j(x)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média do simulador na saída j sob o vetor de parâmetros x;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V_obs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variância da observação;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V_sim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variância da média do simulador, decorrente da estocasticidade;</w:t>
      </w:r>
    </w:p>
    <w:p>
      <w:pPr>
        <w:spacing w:after="40"/>
        <w:ind w:left="793" w:hanging="453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V_mod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variância de discrepância entre modelo e realidade.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corte em três desvios não é escolha deste trabalho. Pela desigualdade de Vysochanskii–Petunin, para distribuições unimodais dotadas de densidade e com variância finita, ao menos noventa e cinco por cento da massa de probabilidade situa-se a menos de três desvios da média (PUKELSHEIM, 1994), de modo que descartar valores com implausibilidade superior a três raramente descarta o vetor verdadeiro. As condições do resultado são registradas porque o corte se apoia nelas: a desigualdade não vale para uma distribuição unimodal qualquer.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Dispensa do emulador.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literatura de History Matching recorre a emuladores estatísticos porque o simulador que se deseja calibrar costuma ser caro. O simulador aqui construído custa cerca de um décimo de segundo por execução, e o delineamento completo, com três mil e duzentas execuções, conclui em minutos. Avalia-se o simulador diretamente. A decisão elimina o termo de erro de emulação da Equação 21, isto é, remove uma aproximação em vez de acrescentá-la. Caso o modelo venha a encarecer, o emulador pode ser introduzido sem alteração do restante do procedimento.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Teste do gêmeo idêntico.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verificar se o procedimento identifica parâmetros, empregou-se o teste do gêmeo idêntico (McCULLOCH et al., 2022): geram-se observações sintéticas a partir de um vetor de parâmetros conhecido, executa-se a calibração sem informar esse vetor, e verifica-se se o conjunto NROY resultante o contém. Duas precauções de desenho foram adotadas. O vetor verdadeiro foi posicionado deliberadamente fora do centro das faixas, pois um alvo situado no meio do espaço não testa as bordas do procedimento. E as sementes aleatórias que geram as observações sintéticas são disjuntas das utilizadas pelo simulador durante a calibração; sem essa separação, o teste compararia ruído idêntico consigo mesmo e seria aprovado trivialmente.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Limitação a declarar.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 teste do gêmeo idêntico o modelo é, por construção, a própria verdade, de modo que a variância de discrepância V_mod é nula. O teste é, portanto, otimista: mede se o procedimento identifica parâmetros no cenário mais favorável concebível. A reprovação nele condenaria o procedimento, mas a aprovação não garante desempenho equivalente diante de dados reais, situação em que V_mod é positiva e precisa ser especificada. Essa assimetria é mantida explícita na leitura dos resultados.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1.9  Matriz de cenários e desenho experimental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experimento central do trabalho contrasta dois arranjos de governança submetidos a condições externas idênticas. A Tabela 2 apresenta os parâmetros organizacionais que os distinguem. Todos os demais elementos — instâncias de projeto, índice de dificuldade das tarefas, disponibilidade de recursos e função de pressão — são idênticos entre os braços, e constituem o controle experimental.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2 – Matriz de cenários: parâmetros organizacionais que distinguem os arranjos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2100"/>
        <w:gridCol w:w="1500"/>
        <w:gridCol w:w="1500"/>
        <w:gridCol w:w="3970"/>
      </w:tblGrid>
      <w:tr>
        <w:trPr>
          <w:tblHeader/>
        </w:trPr>
        <w:tc>
          <w:tcPr>
            <w:tcW w:type="dxa" w:w="21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Parâmetro</w:t>
            </w:r>
          </w:p>
        </w:tc>
        <w:tc>
          <w:tcPr>
            <w:tcW w:type="dxa" w:w="15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Centralizada</w:t>
            </w:r>
          </w:p>
        </w:tc>
        <w:tc>
          <w:tcPr>
            <w:tcW w:type="dxa" w:w="15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Adaptativa</w:t>
            </w:r>
          </w:p>
        </w:tc>
        <w:tc>
          <w:tcPr>
            <w:tcW w:type="dxa" w:w="39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Interpretação organizacional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τ_inicial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0,80</w:t>
            </w:r>
          </w:p>
        </w:tc>
        <w:tc>
          <w:tcPr>
            <w:tcW w:type="dxa" w:w="3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confiança inicial na rede de pares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τ_mín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0,60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0,25</w:t>
            </w:r>
          </w:p>
        </w:tc>
        <w:tc>
          <w:tcPr>
            <w:tcW w:type="dxa" w:w="3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limiar de confiança para conceder ajuda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p_reporte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0,75</w:t>
            </w:r>
          </w:p>
        </w:tc>
        <w:tc>
          <w:tcPr>
            <w:tcW w:type="dxa" w:w="3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probabilidade de reportar defeito em vez de ocultá-lo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p_detecção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0,12</w:t>
            </w:r>
          </w:p>
        </w:tc>
        <w:tc>
          <w:tcPr>
            <w:tcW w:type="dxa" w:w="39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probabilidade de a dívida oculta aflorar por período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 (2026), a partir de config/parametros.yaml.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Quatro parâmetros variam simultaneamente.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dois arranjos diferem em todos os quatro parâmetros organizacionais, e não apenas na probabilidade de reporte. Essa é uma limitação de delineamento que precisa ser declarada: um contraste que move quatro variáveis ao mesmo tempo não permite atribuir o efeito observado a nenhum mecanismo isolado. O experimento compara dois PACOTES de governança, e é assim que deve ser lido. A decomposição do efeito exige ablação, executada e apresentada na Seção 2.9 — cujo resultado obriga a qualificar parte da leitura mecanística deste experimento.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Sobre a probabilidade de detecção.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probabilidade de a dívida oculta aflorar por período é quatro vezes maior no arranjo adaptativo. Ela não é, portanto, uma constante do ambiente: é parte do pacote de governança, e responde pela diferença no tempo que o projeto passa aguardando o afloramento de defeitos já cometidos. Uma versão anterior deste documento afirmava que esse parâmetro era idêntico entre os braços e que não constituía variável de governança; a afirmação era falsa e foi corrigida.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Segurança psicológica como mecanismo.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probabilidade de reporte de defeito operacionaliza a noção de segurança psicológica: em um arranjo centralizado, o agente que detecta um defeito próprio antecipa custo pessoal ao reportá-lo e tende a ocultá-lo, alimentando o estoque de dívida técnica latente; em um arranjo adaptativo, o mesmo agente reporta, e o retrabalho é pago imediatamente e de forma visível. A relação entre segurança psicológica e disposição a reportar erros é sustentada na fase conceitual deste trabalho, que a apoia em literatura própria de comportamento organizacional. Esta entrega, porém, NÃO auditou essas fontes primárias, e elas não constam das referências aqui listadas. Em consequência, a relação é apresentada como PREMISSA DE MODELAGEM herdada da fase conceitual, e não como resultado estabelecido da literatura, e a verificação das fontes correspondentes fica registrada como pendência bibliográfica para a etapa seguinte. O que esta entrega afirma é apenas o que mediu: dado o parâmetro, como o modelo se comporta. O modelo não presume qual arranjo é superior; a diferença de desempenho emerge da interação entre ocultação, acúmulo de dívida e pressão de prazo.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Delineamento pareado.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Cada par de execuções emprega a mesma instância e a mesma semente aleatória nos dois braços. A variação atribuível à instância e ao sorteio é, portanto, comum aos dois e cancela-se na diferença, o que eleva substancialmente a potência estatística em relação a um delineamento independente de mesmo tamanho. A inferência emprega o teste de Wilcoxon para amostras pareadas, e não o teste t, porque as saídas do modelo são assimétricas e limitadas inferiormente por zero. O tamanho de efeito é reportado pelo d de Cohen pareado e pela proporção de instâncias favoráveis, complementando o valor-p com medidas de magnitude e de consistência do contraste. O valor-p sozinho não distingue diferença relevante de diferença meramente detectável, e com dezesseis unidades ele satura rapidamente no seu piso, de modo que a leitura substantiva depende das outras duas medidas.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1.10  Pontos de acoplamento entre a calibração e o modelo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duas formulações anteriores encontram-se em dois pontos precisos, e é esse encontro que define o escopo da presente entrega.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Primeiro acoplamento.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índice Dᵢ, construído pela equação (18) sobre as 28.800 tarefas do PSPLIB J60, é exatamente a grandeza que aparece no numerador da equação (1). Antes desta etapa, a dificuldade técnica das tarefas seria um parâmetro arbitrado; ela passa a ser derivada de grandezas medidas nas próprias instâncias.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Segundo acoplamento.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risco basal F_base, obtido pela equação (20) a partir da calibração sobre a base NASA, é o termo que aparece na equação de falhas (4), governando a válvula que alimenta o estoque de retrabalho oculto. Antes desta etapa, esse risco seria uma suposição; ele passa a ser um gradiente estimado empiricamente, com incerteza quantificada, ainda que ancorado a uma taxa basal a definir.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resultados apresentados no capítulo seguinte referem-se integralmente a esses dois acoplamentos. Os demais componentes do modelo — a inferência difusa que produz μ_cognitivo e μ_rede, a árvore de decisão de três portas, os estoques e a integração temporal — encontram-se implementados e verificados, e são eles que produzem os resultados das Seções 2.7 a 2.11; a Seção 2.7 relaciona as verificações executadas sobre cada um.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 RESULTADOS INICIAIS E DISCUSSÃO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  Arquitetura e implementação da solução inicial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primeira versão funcional do pipeline de dados foi concluída e verificada. Os requisitos essenciais de rastreabilidade, imutabilidade e verificação automática foram atendidos. A Figura 1 apresenta a arquitetura implementada, organizada em três camadas: dados brutos imutáveis, scripts de processamento e saídas auditáveis.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1 – Arquitetura do pipeline de dados implementado</w:t>
      </w:r>
    </w:p>
    <w:p>
      <w:pPr>
        <w:spacing w:after="40" w:before="200"/>
        <w:jc w:val="center"/>
      </w:pPr>
      <w:r>
        <w:drawing>
          <wp:inline distT="0" distB="0" distL="0" distR="0">
            <wp:extent cx="558165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Como verificação independente de reprodutibilidade, o pipeline foi executado em dois ambientes computacionais distintos — sistemas operacionais e versões de biblioteca diferentes — produzindo resultados numericamente idênticos em todas as etapas.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  Métricas de desempenho e resultados dos ensaios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ensaios iniciais avaliaram três dimensões: a integridade dos dados de entrada, a fidelidade da base de análise em relação ao procedimento publicado que a gerou, e a magnitude e a estabilidade das associações estatísticas de interesse. A Tabela 3 consolida os indicadores obtidos.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3 – Indicadores de desempenho obtidos nos ensaios iniciais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1750"/>
        <w:gridCol w:w="2550"/>
        <w:gridCol w:w="3170"/>
        <w:gridCol w:w="1600"/>
      </w:tblGrid>
      <w:tr>
        <w:trPr>
          <w:tblHeader/>
        </w:trPr>
        <w:tc>
          <w:tcPr>
            <w:tcW w:type="dxa" w:w="17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25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Parâmetro analisado</w:t>
            </w:r>
          </w:p>
        </w:tc>
        <w:tc>
          <w:tcPr>
            <w:tcW w:type="dxa" w:w="31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Valor / métrica medida</w:t>
            </w:r>
          </w:p>
        </w:tc>
        <w:tc>
          <w:tcPr>
            <w:tcW w:type="dxa" w:w="16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01 – Auditoria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Cobertura e integridade dos arquivos brutos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 arquivos, 49.942 observações; resumo SHA-256 por arquivo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01 – Auditoria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Correspondência entre pares ARFF e CSV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 de 5 pares equivalentes; JM1 divergente (10.885 vs. 13.204 registros)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Anomalia identificada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03 – Validação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Reprodução de D′ para D″ pelo algoritmo publicado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 de 12 conjuntos reproduzidos no conjunto de módulos preservados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03 – Validação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Resíduo não explicado pelo pseudocódigo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46 de 17.377 registros (0,26%), restritos à escolha do rótulo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Documentado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02 – Consolidação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Base única com rastreabilidade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17.377 observações, 12 projetos, 20 métricas, 0 valores ausentes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04 – Modelagem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Ganho explicativo da complexidade sobre o efeito de projeto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LR = 639,8; gl = 1; p ≈ 3,6 × 10⁻¹⁴¹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04 – Modelagem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Efeito da complexidade ciclomática controlando o tamanho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RC = 0,944; IC 95% [0,870; 1,024]; p = 0,17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Não 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04 – Modelagem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Multicolinearidade entre métricas (VIF)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HALSTEAD_EFFORT = 23,1; HALSTEAD_DIFFICULTY = 15,2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Métricas excluídas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05 – F_base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Ordenação do risco por faixa de complexidade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0,147 / 0,285 / 0,348 / 0,439; tendência z = 25,6; p ≈ 1,8 × 10⁻¹⁴⁴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05 – F_base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Sensibilidade aos pontos de corte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Ordenação monotônica preservada em 5 de 5 esquemas testados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05 – F_base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Validação por exclusão sucessiva de projetos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Monotonicidade em 12 de 12 reamostragens; amplitude máxima 0,087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J60 – Auditoria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Integridade estrutural das instâncias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480 arquivos; 62 nós e 4 recursos renováveis em todos; 480/480 grafos acíclicos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J60 – Auditoria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Reconstrução do delineamento experimental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Fatorial 3 × 4 × 4 = 48 células completo e balanceado, 10 instâncias por célula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J60 – Índice Di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Ortogonalidade entre os componentes do índice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Spearman entre duração, intensidade e criticidade: −0,004; 0,003; 0,193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J60 – Índice Di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Adequação da medida de criticidade prevista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Contagem de sucessores × folga total: Spearman 0,116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Substituída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J60 – Índice Di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Sensibilidade da ordenação aos pesos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Menor correlação de ordenação entre 6 esquemas: 0,847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Gradiente de risco NASA → J60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RR = 1,00 / 1,94 / 2,37 / 2,99; IC 95% por bootstrap de projetos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Viés da correspondência direta de rótulos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Inflação de 1,74× no risco médio, por artefato do tamanho dos estratos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Método descartado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Pipeline</w:t>
            </w:r>
          </w:p>
        </w:tc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Reprodutibilidade entre ambientes distintos</w:t>
            </w:r>
          </w:p>
        </w:tc>
        <w:tc>
          <w:tcPr>
            <w:tcW w:type="dxa" w:w="3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Resultados numericamente idênticos em duas execuções independentes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Atende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RC = razão de chances; LR = estatística do teste da razão de verossimilhança; VIF = fator de inflação da variância.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  Discussão científica preliminar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solução comporta-se de maneira estável sob as condições de ensaio. Três resultados merecem discussão.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Qualidade e proveniência dos dados.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auditoria confirmou empiricamente as advertências de Shepperd et al. (2013) quanto à circulação de versões divergentes dos conjuntos NASA. Os cinco pares de arquivos do repositório Promise reproduzem exatamente as contagens tabuladas pelos autores, exceto o JM1: o arquivo em formato ARFF contém 10.885 registros, coincidindo com o catalogado, enquanto o arquivo CSV homônimo contém 13.204. Os dois arquivos compartilham praticamente o mesmo conjunto de observações distintas, diferindo na multiplicidade das repetições, o que indica que um deles já passou por remoção parcial de duplicatas antes de ser distribuído como bruto. A versão CSV foi, por isso, descartada.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Fidelidade da base de análise.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Optou-se por utilizar a versão D″ publicada, e não por reproduzir a limpeza a partir dos dados brutos, porque o algoritmo dos autores pressupõe atributos (MODULE_ID, ERROR_DENSITY e ERROR_COUNT) ausentes das versões do repositório Promise disponíveis: aplicá-lo a essas versões constituiria adaptação, não replicação. Essa decisão exigia, contudo, verificar que os arquivos D″ são o que declaram ser. Dispondo também da versão D′, aplicaram-se a ela os dois passos do algoritmo que distinguem uma versão da outra — remoção de casos idênticos e de casos inconsistentes. O conjunto de módulos preservados foi reproduzido exatamente nos 12 conjuntos. Registrou-se, entretanto, uma discrepância: sob a leitura literal do pseudocódigo, que determina remover ambos os membros de um par inconsistente, apenas 4 dos 12 conjuntos são reproduzidos; sob a interpretação de que se preserva um representante por vetor de atributos, os 12 são reproduzidos em contagem. O resíduo restante — 46 registros, ou 0,26% da base — restringe-se a qual rótulo foi mantido nos grupos conflitantes. Conclui-se que os arquivos distribuídos são consistentes com o procedimento publicado quanto aos módulos selecionados, mas não seguem literalmente o pseudocódigo quanto ao tratamento do rótulo. O achado é registrado como limitação conhecida e quantificada da base, e é ele próprio um exemplo do problema de documentação de pré-processamento que os autores denunciam.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Complexidade, tamanho e risco.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resultado de maior consequência para o trabalho é negativo e foi obtido pelo teste que a metodologia previa. Isoladamente, a complexidade ciclomática apresenta associação forte com a ocorrência de defeito, mesmo controlando o projeto de origem (razão de chances 1,90 por unidade logarítmica; LR = 639,8). Contudo, ao se acrescentar o tamanho do módulo ao modelo, o efeito da complexidade desaparece: a razão de chances ajustada cai para 0,944, com intervalo de confiança de 95% entre 0,870 e 1,024 — contendo, portanto, o valor nulo — e p = 0,17. A relação inversa não se verifica: o tamanho sobrevive folgadamente ao controle pela complexidade (LR = 431,2; p ≈ 9 × 10⁻⁹⁶). A Figura 2 apresenta o mesmo teste aplicado a todas as seis métricas candidatas. Uma delas — a complexidade de projeto — exibe efeito positivo com intervalo de confiança acima da unidade (razão de chances 1,098; IC 95% [1,010; 1,194]; p = 0,028); as demais que permanecem distinguíveis do nulo o fazem com sinal negativo, padrão característico de colinearidade e não de mecanismo causal. O efeito positivo isolado, porém, não sobrevive à correção para comparações múltiplas: as seis métricas foram testadas na mesma base, e sob o procedimento de Holm–Bonferroni o valor-p corrigido dessa métrica sobe a 0,084. NENHUMA das seis sobrevive à correção. A distinção é registrada porque a figura mostra o intervalo não corrigido: lida isoladamente, ela sugere um sobrevivente que a correção elimina.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2 – Razões de chances das métricas candidatas antes e depois do controle pelo tamanho do módulo</w:t>
      </w:r>
    </w:p>
    <w:p>
      <w:pPr>
        <w:spacing w:after="40" w:before="200"/>
        <w:jc w:val="center"/>
      </w:pPr>
      <w:r>
        <w:drawing>
          <wp:inline distT="0" distB="0" distL="0" distR="0">
            <wp:extent cx="558165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Esse resultado não invalida o uso da complexidade como eixo ordinal, mas altera o que se pode afirmar a partir dele. A ordenação do risco pelas faixas de complexidade é forte e robusta, como mostram a Figura 3 e a Tabela 3: o risco cresce monotonicamente de 0,147 a 0,439 entre a faixa mais baixa e a mais alta, e a monotonicidade se preserva sob todos os cinco esquemas alternativos de corte testados e sob todas as doze reamostragens por exclusão de projeto. O que os dados não sustentam é a atribuição causal: a complexidade ciclomática opera, nesta base, como marcador ordinal de risco correlacionado ao tamanho, e não como fator de risco independente dele. Para o propósito deste trabalho — transferência ordinal de risco entre domínios — um marcador estável é suficiente; a afirmação de efeito independente, que não seria sustentável, é explicitamente abandonada.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 força dos valores-p desta camada, e por que ela não deve ser lida ao pé da letra.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valores-p reportados na Tabela 3 para os modelos logísticos e para o teste de tendência são calculados sobre dezessete mil trezentos e setenta e sete módulos, tratados como observações independentes. Eles não são: os módulos estão agrupados em doze projetos, e módulos do mesmo projeto compartilham equipe, processo e período. Os modelos incluem o projeto de origem como efeito fixo, o que impede que uma associação seja atribuída a uma métrica quando puder ser explicada pela procedência da observação, mas isso trata o confundimento ENTRE projetos e não a dependência DENTRO de cada um. Em consequência, os erros-padrão estão subestimados e valores-p da ordem de dez elevado a menos cento e quarenta expressam o tamanho da base, não a força da evidência. O que sustenta a conclusão desta seção não são esses valores-p, e sim duas verificações que operam na unidade correta: a monotonicidade se preserva nas doze reamostragens por exclusão sucessiva de projeto, e os intervalos das razões de risco por faixa são obtidos por reamostragem de PROJETOS, não de módulos. A inferência com erros-padrão robustos a agrupamento fica registrada como pendência; ela não altera as estimativas pontuais, apenas a precisão declarada.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3 – Risco basal por faixa de complexidade ciclomática, em frequência bruta e em probabilidade ajustada pelo efeito do projeto de origem</w:t>
      </w:r>
    </w:p>
    <w:p>
      <w:pPr>
        <w:spacing w:after="40" w:before="200"/>
        <w:jc w:val="center"/>
      </w:pPr>
      <w:r>
        <w:drawing>
          <wp:inline distT="0" distB="0" distL="0" distR="0">
            <wp:extent cx="52197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faixas adotadas — v(G) ≤ 10, de 11 a 15, de 16 a 20 e acima de 20 — constituem adaptação metodológica deste trabalho a partir das faixas interpretativas do NASA Software Engineering Handbook, cujo requisito SWE-220 estabelece o limiar de 15 para software crítico de segurança e exige revisão formal e justificativa documentada para qualquer excedente. As faixas da fonte original são cinco e sobrepõem-se nos extremos; a adaptação a quatro níveis não sobrepostos, alinhada ao limiar normativo, é registrada como decisão deste trabalho e não como classificação oficial.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 – Estabilidade da ordenação sob exclusão sucessiva de cada projeto</w:t>
      </w:r>
    </w:p>
    <w:p>
      <w:pPr>
        <w:spacing w:after="40" w:before="200"/>
        <w:jc w:val="center"/>
      </w:pPr>
      <w:r>
        <w:drawing>
          <wp:inline distT="0" distB="0" distL="0" distR="0">
            <wp:extent cx="52197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Limitações.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Três limitações condicionam a leitura destes resultados. Primeira, e mais importante, os dados NASA descrevem módulos de software, ao passo que o objeto do trabalho são tarefas de projetos de engenharia; não se afirma equivalência métrica entre os domínios, e a transferência prevista é ordinal, não cardinal — a ser explicitamente qualificada na monografia. Segunda, a proveniência dos arquivos utilizados é de segunda mão: os arquivos do repositório Promise foram obtidos por meio de um espelho público que declara sua origem, e os arquivos D′ e D″ têm data anterior ao artigo que os descreve, o que recomenda confirmação junto à coleção oficial dos autores antes da redação final. Terceira, a métrica HALSTEAD_ERROR_EST foi deliberadamente excluída da seleção por circularidade: sendo definida como estimativa do número de erros derivada do volume do programa, seu uso para explicar a ocorrência de defeito equivaleria a prever defeito a partir de uma previsão de defeito; sua correlação de Spearman de 0,979 com HALSTEAD_EFFORT confirma que ela não carrega informação estrutural independente.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Consequência para a próxima etapa.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achado sobre complexidade e tamanho tem implicação direta sobre a construção do índice de dificuldade técnica no PSPLIB J60. O componente do índice análogo à magnitude da tarefa — duração normalizada e intensidade de recursos — encontra respaldo empírico na base NASA, ao passo que o componente análogo à complexidade estrutural, a criticidade na rede de precedências, não encontra respaldo independente. Recomenda-se, portanto, ponderar conservadoramente o componente estrutural e submetê-lo a análise de sensibilidade específica, em vez de tratá-lo como equivalente ao componente de magnitude. A decisão final sobre a ponderação será tomada após a caracterização do J60 e registrada no guia metodológico.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2.4  Caracterização da base PSPLIB J60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segunda base do trabalho, que fornece a estrutura de execução de projeto — tarefas, precedências, durações e restrições de recursos —, foi auditada com o mesmo protocolo. As 480 instâncias do conjunto J60 foram lidas diretamente do formato original, sem intermediários, e verificadas quanto à integridade estrutural: todas declaram 62 atividades, sendo 60 reais e duas fictícias, e 4 recursos renováveis; os 480 grafos de precedência são acíclicos.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verificação central, contudo, não é estrutural e sim de delineamento. As instâncias do PSPLIB são geradas por um projeto experimental fatorial sobre três parâmetros definidos por Kolisch, Sprecher e Drexl (1995): a complexidade de rede, dada pela razão entre arcos de precedência e atividades; o fator de recursos, que mede a fração média de tipos de recurso requisitados por atividade; e a força de recursos, que posiciona a disponibilidade entre o mínimo de viabilidade e o pico de demanda do cronograma de inícios mais cedo. Os três parâmetros foram recalculados a partir dos arquivos e seus níveis foram reconstruídos por agrupamento dos valores obtidos, sem que nenhum valor de referência fosse suposto. A Tabela 4 apresenta o resultado.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4 – Níveis dos parâmetros de delineamento reconstruídos a partir das instâncias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2400"/>
        <w:gridCol w:w="3670"/>
        <w:gridCol w:w="3000"/>
      </w:tblGrid>
      <w:tr>
        <w:trPr>
          <w:tblHeader/>
        </w:trPr>
        <w:tc>
          <w:tcPr>
            <w:tcW w:type="dxa" w:w="24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Parâmetro</w:t>
            </w:r>
          </w:p>
        </w:tc>
        <w:tc>
          <w:tcPr>
            <w:tcW w:type="dxa" w:w="36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Níveis reconstruídos dos arquivos</w:t>
            </w:r>
          </w:p>
        </w:tc>
        <w:tc>
          <w:tcPr>
            <w:tcW w:type="dxa" w:w="30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Níveis nominais do delineamento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Complexidade de rede (NC)</w:t>
            </w:r>
          </w:p>
        </w:tc>
        <w:tc>
          <w:tcPr>
            <w:tcW w:type="dxa" w:w="36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1,5000 / 1,8065 / 2,1129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 / 1,8 / 2,1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Fator de recursos (RF)</w:t>
            </w:r>
          </w:p>
        </w:tc>
        <w:tc>
          <w:tcPr>
            <w:tcW w:type="dxa" w:w="36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0,2500 / 0,5042 / 0,7542 / 1,0000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0,25 / 0,50 / 0,75 / 1,00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Força de recursos (RS)</w:t>
            </w:r>
          </w:p>
        </w:tc>
        <w:tc>
          <w:tcPr>
            <w:tcW w:type="dxa" w:w="36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0,1975 / 0,5106 / 0,7038 / 1,0000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0,20 / 0,50 / 0,70 / 1,00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reconstrução recupera um delineamento fatorial completo e balanceado de 3 × 4 × 4 = 48 células, com exatamente uma combinação por célula e dez instâncias por combinação. Como os níveis foram derivados dos próprios arquivos, o resultado valida simultaneamente a rotina de leitura e as três formulações implementadas.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Registrou-se ainda uma característica relevante do conjunto: a complexidade de rede e o fator de recursos são exatamente constantes dentro de cada combinação, ao passo que a força de recursos não é, variando em até 0,12 dentro de uma mesma célula. A causa é estrutural e não constitui defeito: a disponibilidade de cada recurso é um número inteiro, de modo que o gerador não realiza exatamente o valor pretendido e arredonda. A consequência metodológica é que o nível nominal e o valor realizado são variáveis distintas — o primeiro é um fator do delineamento, o segundo uma medida contínua — e tratá-los como equivalentes converteria ruído de arredondamento em variação experimental. Nos modelos subsequentes, o nível nominal será utilizado como fator e o valor realizado, quando pertinente, como covariável.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2.5  Índice de dificuldade técnica das tarefas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 as instâncias caracterizadas, construiu-se o índice de dificuldade técnica que atribui a cada tarefa um nível ordinal. O índice, definido pelas equações (15) a (18), combina três grandezas medidas nas próprias instâncias: a duração normalizada, a intensidade de uso de recursos — definida como a fração média da disponibilidade de cada recurso que a tarefa consome, adaptação por atividade do fator de recursos de Kolisch, Sprecher e Drexl (1995) — e a criticidade na rede de precedências. As normalizações são feitas dentro de cada instância, uma vez que o modelo compara tarefas de um mesmo projeto e não tarefas de projetos distintos.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Correção de uma atribuição de fonte.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formulação preliminar deste trabalho atribuía a construção do índice a De Reyck e Herroelen (1996). A verificação da fonte mostrou que a atribuição era imprópria: o índice de complexidade ali discutido deriva de Bein, Kamburowski e Stallmann (1992) e mede a distância da rede inteira à série-paralelidade, sendo uma propriedade do grafo e não da atividade. A referência foi mantida no trabalho, porém realocada para sustentar a caracterização da rede por instância, e o índice por tarefa passou a ser declarado como construção deste trabalho, com cada componente apoiado em fonte própria.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Substituição da medida de criticidade.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formulação preliminar previa a contagem de sucessores como medida de criticidade. Comparada à folga total obtida do método do caminho crítico, sobre as mesmas 28.800 tarefas, a correlação de Spearman entre as duas é de apenas 0,116, e 3.488 tarefas apresentam folga acima da mediana e três ou mais sucessores — isto é, muitos sucessores e nenhuma urgência. A criticidade passou a ser medida pela folga total, que é a medida canônica no nível da atividade. A contagem de sucessores permanece calculada e gravada na base, disponível como variável alternativa para análise de sensibilidade.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três componentes mostram-se quase ortogonais entre si, com correlações de Spearman de −0,004 entre duração e intensidade de recursos, 0,003 entre intensidade e criticidade, e 0,193 entre duração e criticidade. Cada um carrega, portanto, informação distinta, e o índice composto não é uma única grandeza sob três nomes — situação oposta à observada na base NASA, onde complexidade e tamanho apresentavam correlação de 0,752 e o composto colapsava sobre um único eixo. A Figura 5 apresenta o comportamento dos níveis resultantes.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 – Duração média e folga total média por nível de dificuldade</w:t>
      </w:r>
    </w:p>
    <w:p>
      <w:pPr>
        <w:spacing w:after="40" w:before="200"/>
        <w:jc w:val="center"/>
      </w:pPr>
      <w:r>
        <w:drawing>
          <wp:inline distT="0" distB="0" distL="0" distR="0">
            <wp:extent cx="55816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duração média cresce e a folga média decresce monotonicamente ao longo dos quatro níveis, comportamento coerente com a interpretação do índice. Os pontos de corte são os quartis da distribuição, decisão declarada deste trabalho: ao contrário do domínio de software, que dispõe do limiar normativo do requisito SWE-220, não há para tarefas de projeto um limiar externo equivalente. A ordenação mostrou-se razoavelmente robusta à ponderação: entre seis esquemas alternativos de pesos, a menor correlação de ordenação observada foi de 0,847.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2.6  Transferência ordinal de risco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etapa que liga as duas bases consiste em atribuir às tarefas do PSPLIB o risco calibrado sobre os módulos da NASA. A forma dessa atribuição não é indiferente, e a decisão adotada apoia-se em evidência numérica.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quatro níveis não têm o mesmo tamanho relativo nos dois domínios: na base NASA, 86,24% dos módulos situam-se no nível mais baixo, contra 25,00% das tarefas do J60, por construção dos quartis. Atribuir a cada nível do J60 o risco absoluto do nível homônimo da NASA produziria risco médio de 0,3046 nas tarefas, contra taxa observada de 0,1749 na NASA — uma inflação de 1,74 vezes gerada exclusivamente pela diferença de tamanho dos estratos, e não por qualquer propriedade das tarefas. Seria um artefato de construção apresentado como resultado.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Adotou-se, portanto, a transferência por razão de risco relativo, conforme as equações (19) e (20). O que os dados NASA sustentam não é o nível absoluto de risco de um módulo de software, que não tem razão para valer em tarefas de engenharia, e sim a forma do gradiente: quantas vezes mais arriscada é uma tarefa difícil em relação a uma fácil. Essa razão é adimensional e independe da taxa basal do domínio. A Tabela 5 e a Figura 6 apresentam as razões estimadas.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5 – Razões de risco transferidas, com intervalos por reamostragem de projetos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2500"/>
        <w:gridCol w:w="2200"/>
        <w:gridCol w:w="2000"/>
        <w:gridCol w:w="2370"/>
      </w:tblGrid>
      <w:tr>
        <w:trPr>
          <w:tblHeader/>
        </w:trPr>
        <w:tc>
          <w:tcPr>
            <w:tcW w:type="dxa" w:w="25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Nível de dificuldade</w:t>
            </w:r>
          </w:p>
        </w:tc>
        <w:tc>
          <w:tcPr>
            <w:tcW w:type="dxa" w:w="22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Risco basal NASA</w:t>
            </w:r>
          </w:p>
        </w:tc>
        <w:tc>
          <w:tcPr>
            <w:tcW w:type="dxa" w:w="20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Razão de risco</w:t>
            </w:r>
          </w:p>
        </w:tc>
        <w:tc>
          <w:tcPr>
            <w:tcW w:type="dxa" w:w="23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IC 95% (bootstrap)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baixa (referência)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0,1470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2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0,2845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1,935</w:t>
            </w:r>
          </w:p>
        </w:tc>
        <w:tc>
          <w:tcPr>
            <w:tcW w:type="dxa" w:w="2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[1,758; 2,599]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0,3479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2,367</w:t>
            </w:r>
          </w:p>
        </w:tc>
        <w:tc>
          <w:tcPr>
            <w:tcW w:type="dxa" w:w="2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[1,720; 3,229]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muito alta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0,4388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2,985</w:t>
            </w:r>
          </w:p>
        </w:tc>
        <w:tc>
          <w:tcPr>
            <w:tcW w:type="dxa" w:w="2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[1,878; 4,156]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Bootstrap com 4.000 réplicas, reamostrando projetos.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 – Gradiente de risco transferido, com intervalo de confiança</w:t>
      </w:r>
    </w:p>
    <w:p>
      <w:pPr>
        <w:spacing w:after="40" w:before="200"/>
        <w:jc w:val="center"/>
      </w:pPr>
      <w:r>
        <w:drawing>
          <wp:inline distT="0" distB="0" distL="0" distR="0">
            <wp:extent cx="503872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Unidade de reamostragem.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intervalos foram obtidos reamostrando projetos, e não observações individuais. As observações de um mesmo projeto não são independentes, pois compartilham equipe, processo, domínio de aplicação e critério de registro de defeito; reamostrar módulos trataria 17.377 observações como 17.377 evidências independentes e produziria intervalos artificialmente estreitos. A unidade de agrupamento correta é o projeto — o mesmo raciocínio que fundamenta a validação por exclusão sucessiva de projetos apresentada na Seção 2.3.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intervalos resultantes são largos, sobretudo no nível mais alto, cujo limite superior alcança 4,156. Isso constitui informação e não deficiência: com doze projetos, a incerteza sobre o gradiente é substancial, e reportá-la é preferível a apresentar a estimativa pontual como se fosse precisa.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 âncora do modelo.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razão de risco fixa a forma da relação, não o seu nível. O risco atribuído a uma tarefa é o produto da razão por uma taxa basal de retrabalho do domínio de engenharia, que este trabalho não estima e trata explicitamente como parâmetro do modelo, a ser fixado por dado do domínio ou tratado como incerteza na simulação. Por essa razão, a base de tarefas resultante grava o multiplicador de risco e seu intervalo, e não uma probabilidade absoluta: gravar a probabilidade embutiria um valor arbitrário na base como se fosse dado observado.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Limitação a declarar.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construção assume que o gradiente ordinal de risco por dificuldade é transferível entre domínios, ainda que o nível absoluto não seja. Trata-se de suposição e não de resultado. É uma suposição mais fraca do que a de equivalência métrica direta, que os dados não sustentam, mas não é vazia, e será mantida explícita na redação final.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2.7  Verificação do simulador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 que cada verificação sustenta.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seção intitulava-se “verificação e validação”. O termo validação foi retirado: não há neste trabalho critério confrontado com dado externo capaz de reprovar o modelo, e chamar de validação um teste que não pode reprovar nada seria atribuir ao resultado uma força que ele não tem. As verificações passam a ser declaradas por classe, e a classe determina o que se pode afirmar a partir delas.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Verdadeiras por construção: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passam qualquer que seja o modelo, porque decorrem da forma como a grandeza é construída. São registradas para que não sejam confundidas com evidência. Exemplo: com risco basal e pressão nulos, a dívida técnica é nula porque o termo que a gera foi zerado.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Invariantes estruturais: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conservação de tarefas, precedências, disponibilidade de recursos e consistência dos relógios. Um simulador correto não pode falhá-las, e falhá-las indica defeito de código.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Verificações de implementação: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testam se o código realiza a direção que a formulação prevê. Não constituem evidência sobre equipes reais e não restringem magnitude.</w:t>
      </w:r>
    </w:p>
    <w:p>
      <w:pPr>
        <w:pStyle w:val="ListParagraph"/>
        <w:numPr>
          <w:ilvl w:val="0"/>
          <w:numId w:val="1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Verificações de ordem de grandeza: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confrontam a saída com a literatura de campo numa faixa larga. Rejeitam desalinhamento grosseiro e nada mais; não calibram parâmetro algum.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Tabela 6 apresenta o conjunto executado, com a classe de cada verificação e o valor medido. Uma propriedade esperada que não se confirma é registrada como tal, e não convertida em aprovação nem suprimida.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6 – Verificações do simulador, por classe, e seus resultados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620"/>
        <w:gridCol w:w="3250"/>
        <w:gridCol w:w="1550"/>
        <w:gridCol w:w="1500"/>
        <w:gridCol w:w="2150"/>
      </w:tblGrid>
      <w:tr>
        <w:trPr>
          <w:tblHeader/>
        </w:trPr>
        <w:tc>
          <w:tcPr>
            <w:tcW w:type="dxa" w:w="62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15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15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Situação</w:t>
            </w:r>
          </w:p>
        </w:tc>
        <w:tc>
          <w:tcPr>
            <w:tcW w:type="dxa" w:w="21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Medido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toda tarefa termina em estado terminal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construção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tarefas não terminais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precedência respeitada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estrutural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violações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disponibilidade de recursos nunca excedida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estrutural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instâncias com excesso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4a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relógios não negativos e soma positiva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construção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verdadeira por construção — não e evidência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4b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[construcao, poder fraco] soma dos relógios não excede o tempo de agente alocado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construção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folga minima 10,7% — o teste so pega…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E_total, bateria, competência e multiplicadores em [0,1]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construção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mesma semente reproduz o mesmo resultado (12 instâncias x 2 cenarios)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construção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verdadeira por construção se o RNG e…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6b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sementes diferentes produzem resultados diferentes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estrutural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 falhar - o gerador não está sendo usado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7a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sem risco nem pressão, nenhuma tarefa falha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construção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 execuções — verdadeira por construção…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7c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sem risco nem pressão, dívida técnica nula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construção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verdadeira por construção (F_âncora=0)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7d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[contingente a amostra] condição ideal elimina a ociosidade (TU = 0)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contingente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TU máximo = 0,0 - Di máximo nas 12…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7e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[comportamento sob condição ideal] conclui mais rápido que a nominal (pareado)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cond. ideal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 de 24 pares favoráveis - ganho medio…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8a‑C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oculta (S_UR max) cresce com a pressão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de 2 instâncias - n = 500 por célula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8a‑A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oculta (S_UR max) cresce com a pressão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de 2 instâncias - n = 500 por célula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8b‑C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tempo em modo heurístico cresce com a pressão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de 2 instâncias - n = 500 por célula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8b‑A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tempo em modo heurístico cresce com a pressão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de 2 instâncias - n = 500 por célula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8c‑C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[exploratória, post hoc] defeitos gerados crescem com a pressão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exploratória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de 2 instâncias - n = 500 por célula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8c‑A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[exploratória, post hoc] defeitos gerados crescem com a pressão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exploratória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não confirmada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de 2 instâncias - n = 500 por célula -…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9a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[ordem de grandeza, não validação] mediana do retrabalho na faixa [1% - 50%]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ordem de grandeza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mediana = 0,1913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9b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cauda fora da faixa inferior a 10% das execuções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ordem de grandeza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0/24 = 0,0%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9c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latente estritamente positiva (estoque não inerte)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ordem de grandeza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mediana = 0,0423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9d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 critério 9a não restringe F_âncora (evidência do rebaixamento)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aprovada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 em 5 de 5 valores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Correção do teste de tendência sob pressão.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verificação de que a dívida técnica cresce com a pressão calculava a correlação de Spearman sobre cinco médias, uma por nível de pressão, e reportava o valor-p assintótico devolvido pela biblioteca. Esse valor-p não é utilizável com cinco observações: o menor valor-p bilateral exato possível nesse caso é a razão entre duas e cento e vinte permutações, ou seja, aproximadamente dezessete milésimos. Um valor-p de ordem de grandeza muito inferior a esse não é atingível e não podia ter sido apresentado como evidência. O teste também rodava em apenas um braço e uma instância, e a agregação em cinco médias descartava as quarenta repetições de cada nível.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teste foi refeito sobre os pontos individuais, nos dois braços e em duas instâncias, com delineamento em duas etapas. Na primeira, um piloto de duzentas execuções por célula estima o tamanho de efeito. Na segunda, o número de repetições é fixado por cálculo de potência antes da execução, e o teste confirmatório roda com sementes disjuntas das do piloto, de modo que a escolha do tamanho amostral não contamine o resultado. O critério permaneceu inalterado — correlação positiva e valor-p abaixo de cinco centésimos —; apenas o número de repetições mudou. A Tabela 7 apresenta o resultado.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7 – Tendência sob pressão: piloto e teste confirmatório, por braço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2900"/>
        <w:gridCol w:w="1750"/>
        <w:gridCol w:w="1750"/>
        <w:gridCol w:w="1750"/>
        <w:gridCol w:w="1750"/>
        <w:gridCol w:w="1170"/>
      </w:tblGrid>
      <w:tr>
        <w:trPr>
          <w:tblHeader/>
        </w:trPr>
        <w:tc>
          <w:tcPr>
            <w:tcW w:type="dxa" w:w="29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Grandeza</w:t>
            </w:r>
          </w:p>
        </w:tc>
        <w:tc>
          <w:tcPr>
            <w:tcW w:type="dxa" w:w="17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Braço</w:t>
            </w:r>
          </w:p>
        </w:tc>
        <w:tc>
          <w:tcPr>
            <w:tcW w:type="dxa" w:w="17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ρ piloto (n = 200)</w:t>
            </w:r>
          </w:p>
        </w:tc>
        <w:tc>
          <w:tcPr>
            <w:tcW w:type="dxa" w:w="17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ρ confirmatório (n = 500)</w:t>
            </w:r>
          </w:p>
        </w:tc>
        <w:tc>
          <w:tcPr>
            <w:tcW w:type="dxa" w:w="17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IC 95% confirmatório</w:t>
            </w:r>
          </w:p>
        </w:tc>
        <w:tc>
          <w:tcPr>
            <w:tcW w:type="dxa" w:w="11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Confirma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oculta de pico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centralizada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0,319 a 0,650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0,351 a 0,600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[0,270 a 0,655]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de 2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oculta de pico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adaptativa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0,042 a 0,142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0,091 a 0,179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[0,000 a 0,265]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de 2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fração de tempo em modo heurístico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centralizada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0,690 a 0,884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0,682 a 0,882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[0,631 a 0,900]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de 2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fração de tempo em modo heurístico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adaptativa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0,667 a 0,930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0,708 a 0,939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[0,660 a 0,949]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de 2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defeitos gerados (ocultos + reportados)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centralizada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0,156 a 0,321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0,161 a 0,296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[0,072 a 0,376]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de 2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defeitos gerados (ocultos + reportados)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adaptativa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0,036 a 0,089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0,072 a 0,081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[-0,019 a 0,170]</w:t>
            </w:r>
          </w:p>
        </w:tc>
        <w:tc>
          <w:tcPr>
            <w:tcW w:type="dxa" w:w="1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de 2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Piloto com sementes 0 a 39; confirmatório com sementes 1000 a 1099, disjuntas.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 que a correção mudou.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 braço adaptativo, a dívida oculta de pico não apresentava tendência detectável com duzentas execuções e passa a apresentá-la com quinhentas, exatamente como o cálculo de potência previa: tratava-se de teste subdimensionado, não de propriedade ausente. Já a contagem de defeitos gerados continua sem se confirmar nesse braço mesmo com potência adequada, e a razão foi medida, não suposta. São duas causas somadas. A primeira é que a pressão é endógena ao atraso: o braço adaptativo conclui mais perto do caminho crítico, atrasa menos e por isso recebe apenas cinquenta e sete por cento da amplitude de pressão que o braço centralizado recebe para o mesmo teto nominal. A segunda é que o canal de defeito é pouco sensível à pressão nesta parametrização — a pressão acrescenta no máximo quarenta e sete milésimos à probabilidade de falha, sobre uma base que varia de um décimo a três décimos conforme a faixa de dificuldade, de modo que a dificuldade domina a pressão por um fator entre três e vinte. Nenhuma das duas é defeito de código; ambas são propriedades declaradas do modelo calibrado. O resultado é registrado como não confirmado, e não confirmado não significa refutado: o intervalo de confiança contém tanto o zero quanto efeitos positivos pequenos.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Verificação de ordem de grandeza e seu poder de rejeição.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fração de esforço dedicada a retrabalho foi confrontada com a literatura de campo. A referência medida na mesma unidade da saída do modelo é a de Boehm e Basili (2001), segundo a qual projetos de software despendem entre quarenta e cinquenta por cento do esforço em retrabalho evitável. As cifras de Love et al. (2026) e de Love e Li (2000), da construção civil, são retidas apenas como piso de ordem de grandeza, com a ressalva explícita de que sua base é o valor de contrato e não o esforço, o que as torna grandezas de unidades distintas. Esta verificação era anteriormente apresentada como validação externa. Não é. Um critério de validação precisa poder reprovar, e este aprova em toda a faixa declarada do parâmetro de risco basal, como mostra a Tabela 8. Seu poder de rejeição sobre esse parâmetro é nulo, e ele é portanto rebaixado a verificação de ordem de grandeza: rejeita desalinhamento grosseiro e nada mais, não confirma o modelo e não substitui calibração.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8 – Poder de rejeição do critério de plausibilidade sobre o risco basal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3000"/>
        <w:gridCol w:w="3000"/>
        <w:gridCol w:w="3070"/>
      </w:tblGrid>
      <w:tr>
        <w:trPr>
          <w:tblHeader/>
        </w:trPr>
        <w:tc>
          <w:tcPr>
            <w:tcW w:type="dxa" w:w="30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F_âncora</w:t>
            </w:r>
          </w:p>
        </w:tc>
        <w:tc>
          <w:tcPr>
            <w:tcW w:type="dxa" w:w="30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Mediana do retrabalho sobre o plano</w:t>
            </w:r>
          </w:p>
        </w:tc>
        <w:tc>
          <w:tcPr>
            <w:tcW w:type="dxa" w:w="30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0,0750</w:t>
            </w:r>
          </w:p>
        </w:tc>
        <w:tc>
          <w:tcPr>
            <w:tcW w:type="dxa" w:w="3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0,1752</w:t>
            </w:r>
          </w:p>
        </w:tc>
        <w:tc>
          <w:tcPr>
            <w:tcW w:type="dxa" w:w="3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0,2181</w:t>
            </w:r>
          </w:p>
        </w:tc>
        <w:tc>
          <w:tcPr>
            <w:tcW w:type="dxa" w:w="3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0,2922</w:t>
            </w:r>
          </w:p>
        </w:tc>
        <w:tc>
          <w:tcPr>
            <w:tcW w:type="dxa" w:w="3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0,3632</w:t>
            </w:r>
          </w:p>
        </w:tc>
        <w:tc>
          <w:tcPr>
            <w:tcW w:type="dxa" w:w="3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aprova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A faixa varrida é a faixa aberta declarada para o parâmetro.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2.8  Experimento central: governança centralizada e adaptativa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experimento comparou os dois arranjos da Tabela 2 sobre dezesseis instâncias do J60, com doze sementes cada. São trezentas e oitenta e quatro execuções no total, organizadas em cento e noventa e dois pares de instância e semente — cada par confronta os dois arranjos sob a mesma instância e a mesma semente. A unidade da inferência final, porém, não é o par e sim a INSTÂNCIA: as doze sementes de cada instância são agregadas pela média, e os testes correm sobre as dezesseis instâncias resultantes, pelas razões expostas adiante nesta seção. Nenhuma execução deixou de concluir dentro do horizonte estabelecido. A Tabela 9 apresenta os resultados.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9 – Comparação pareada entre os arranjos de governança, por instância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2620"/>
        <w:gridCol w:w="1180"/>
        <w:gridCol w:w="1180"/>
        <w:gridCol w:w="1080"/>
        <w:gridCol w:w="1080"/>
        <w:gridCol w:w="1160"/>
        <w:gridCol w:w="770"/>
      </w:tblGrid>
      <w:tr>
        <w:trPr>
          <w:tblHeader/>
        </w:trPr>
        <w:tc>
          <w:tcPr>
            <w:tcW w:type="dxa" w:w="262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18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Centraliz.</w:t>
            </w:r>
          </w:p>
        </w:tc>
        <w:tc>
          <w:tcPr>
            <w:tcW w:type="dxa" w:w="118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Adaptat.</w:t>
            </w:r>
          </w:p>
        </w:tc>
        <w:tc>
          <w:tcPr>
            <w:tcW w:type="dxa" w:w="108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Variação</w:t>
            </w:r>
          </w:p>
        </w:tc>
        <w:tc>
          <w:tcPr>
            <w:tcW w:type="dxa" w:w="108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 de Cohen</w:t>
            </w:r>
          </w:p>
        </w:tc>
        <w:tc>
          <w:tcPr>
            <w:tcW w:type="dxa" w:w="116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Instâncias favor.</w:t>
            </w:r>
          </w:p>
        </w:tc>
        <w:tc>
          <w:tcPr>
            <w:tcW w:type="dxa" w:w="7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Tarefas concluídas com defeito oculto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13,02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3,82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-70,6%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-7,815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100,0%</w:t>
            </w:r>
          </w:p>
        </w:tc>
        <w:tc>
          <w:tcPr>
            <w:tcW w:type="dxa" w:w="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0,00044</w:t>
            </w:r>
          </w:p>
        </w:tc>
      </w:tr>
      <w:tr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Taxa de omissão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0,2170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0,0637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-70,6%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-7,815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100,0%</w:t>
            </w:r>
          </w:p>
        </w:tc>
        <w:tc>
          <w:tcPr>
            <w:tcW w:type="dxa" w:w="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piso</w:t>
            </w:r>
          </w:p>
        </w:tc>
      </w:tr>
      <w:tr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latente de pico sobre o plano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0,0741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0,0201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-72,8%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-6,726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100,0%</w:t>
            </w:r>
          </w:p>
        </w:tc>
        <w:tc>
          <w:tcPr>
            <w:tcW w:type="dxa" w:w="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piso</w:t>
            </w:r>
          </w:p>
        </w:tc>
      </w:tr>
      <w:tr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Atraso relativo (makespan sobre CPM)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3,1345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1,9991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-36,2%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-5,546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100,0%</w:t>
            </w:r>
          </w:p>
        </w:tc>
        <w:tc>
          <w:tcPr>
            <w:tcW w:type="dxa" w:w="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piso</w:t>
            </w:r>
          </w:p>
        </w:tc>
      </w:tr>
      <w:tr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Ocupação E_total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0,7839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0,8885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13,3%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3,752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100,0%</w:t>
            </w:r>
          </w:p>
        </w:tc>
        <w:tc>
          <w:tcPr>
            <w:tcW w:type="dxa" w:w="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piso</w:t>
            </w:r>
          </w:p>
        </w:tc>
      </w:tr>
      <w:tr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Esforço de retrabalho sobre o plano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0,2031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0,1545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-23,9%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-3,074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100,0%</w:t>
            </w:r>
          </w:p>
        </w:tc>
        <w:tc>
          <w:tcPr>
            <w:tcW w:type="dxa" w:w="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= piso</w:t>
            </w:r>
          </w:p>
        </w:tc>
      </w:tr>
      <w:tr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Retrabalho sobre esforço realizado (diagnóstico)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0,0770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0,0846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9,9%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1,285</w:t>
            </w:r>
          </w:p>
        </w:tc>
        <w:tc>
          <w:tcPr>
            <w:tcW w:type="dxa" w:w="1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6,2%</w:t>
            </w:r>
          </w:p>
        </w:tc>
        <w:tc>
          <w:tcPr>
            <w:tcW w:type="dxa" w:w="7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0,00009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Dezesseis instâncias, cada uma com a média das suas doze sementes. “= piso” indica que o valor-p atingiu 3,05 × 10⁻⁵, o menor possível com dezesseis pares. A última linha é métrica de diagnóstico, discutida adiante.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 atraso depende da definição de conclusão.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laço de simulação só encerra quando, além de todas as tarefas concluídas, a dívida oculta pendente foi integralmente detectada. O makespan aqui reportado inclui, portanto, uma cauda posterior à conclusão da última tarefa, durante a qual nenhuma tarefa está ativa e o projeto apenas aguarda que a dívida aflore. Essa cauda é maior no arranjo centralizado, que acumula mais dívida oculta e a detecta com probabilidade menor. Em consequência, a magnitude do contraste de atraso é condicionada à definição operacional de conclusão adotada, e não é independente dela: medido até a conclusão da última tarefa, e não até a quitação da dívida, o contraste seria menor. As duas definições são legítimas e medem coisas diferentes — prazo até entregar e prazo até estabilizar —, e apenas a segunda está implementada. Quantificar a alternativa exige alterar a condição de parada, o que não foi feito nesta entrega; a comparação entre as duas medidas está registrada como pendência. O sinal do efeito não está em questão: o arranjo adaptativo conclui antes sob a definição adotada, e a cauda que a definição acrescenta é maior justamente no arranjo que já era o mais lento.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arranjo adaptativo supera o centralizado em todos os indicadores substantivos, em dezesseis de dezesseis instâncias, com tamanhos de efeito grandes. A leitura mecanística — a de que o arranjo adaptativo, ao converter defeito oculto em retrabalho visível e imediato, impede o acúmulo de dívida técnica que no arranjo centralizado retorna adiante sob pressão de prazo — é compatível com estes números, mas não decorre deles: os dois arranjos diferem em quatro parâmetros ao mesmo tempo, e enquanto variarem juntos a comparação mede o pacote e não um mecanismo. A Seção 2.9 executa a ablação que separa as parcelas, e o resultado obriga a qualificar parte desta leitura.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 unidade de inferência é a instância, e não a semente.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Uma versão anterior desta tabela pareava por combinação de instância e semente, totalizando cento e noventa e dois pares. As doze sementes de uma mesma instância não são projetos independentes: tratá-las como observações separadas é pseudorreplicação, que infla os graus de liberdade e produz valores-p sem correspondência com a informação disponível — com cento e noventa e dois pares, o menor valor-p atingível no teste de Wilcoxon é da ordem de três vezes dez elevado a menos cinquenta e oito, e nenhum valor nessa escala é interpretável. A inferência foi refeita tomando a instância como unidade, cada uma entrando com a média das suas doze sementes. As médias por braço não se alteram; alteram-se o tamanho de efeito e a proporção de casos favoráveis, que passam a ser calculados sobre a unidade correta. A correção FORTALECE o resultado: os tamanhos de efeito crescem, e a proporção de casos favoráveis ao arranjo adaptativo vai a dezesseis de dezesseis em todos os indicadores substantivos. Em contrapartida, os valores-p deixam de ser astronômicos e vários passam a coincidir com o piso de três vírgula zero cinco vezes dez elevado a menos cinco, o menor atingível com dezesseis pares; o piso informa que todos os pares apontam no mesmo sentido, e não a magnitude do efeito, que deve ser lida no tamanho de efeito e na proporção.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Evidência duplicada na tabela.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duas primeiras linhas são a mesma grandeza dividida por sessenta. Os tamanhos de efeito e as proporções coincidem exatamente, e os valores-p diferem apenas pelo tratamento de empates no teste sobre valores inteiros. Mantê-las juntas faz a mesma evidência aparecer duas vezes; a supressão de uma delas está registrada como pendência de apresentação.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Uma métrica que media visibilidade, não dano.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última linha da Tabela 9 move-se em sentido contrário a todas as demais. A investigação dessa discrepância revelou defeito na formulação original da métrica, e não achado substantivo. A razão entre retrabalho e esforço realizado tem por denominador o esforço efetivamente despendido, que inclui o tempo ocioso e bloqueado. O braço centralizado acumula tempo ocioso muito superior — cento e vinte e seis contra seis períodos em média — e, ao inflar o próprio denominador, dilui o retrabalho e aparenta desempenho melhor, ainda que seu esforço de retrabalho absoluto seja trinta e um vírgula um por cento MAIOR que o do arranjo adaptativo — equivalentemente, o do arranjo adaptativo é vinte e três vírgula oito por cento MENOR que o do centralizado. As duas leituras vêm dos mesmos valores, 68,87 contra 52,51, e diferem apenas na base da razão; a redução de vinte e três vírgula oito por cento é sempre relativa ao braço centralizado. A métrica premiava a ineficiência que se pretendia medir.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7 – Composição do esforço realizado e o mesmo retrabalho medido sob duas bases distintas</w:t>
      </w:r>
    </w:p>
    <w:p>
      <w:pPr>
        <w:spacing w:after="40" w:before="200"/>
        <w:jc w:val="center"/>
      </w:pPr>
      <w:r>
        <w:drawing>
          <wp:inline distT="0" distB="0" distL="0" distR="0">
            <wp:extent cx="558165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Correção adotada.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base da razão passou a ser o esforço planejado do projeto, dado pela soma das durações nominais das tarefas. Trata-se de propriedade da instância, idêntica nos dois braços, de modo que a razão só pode variar pelo numerador. A métrica agregada original foi ainda decomposta em duas: o retrabalho efetivamente pago e a dívida latente de pico. A decomposição é necessária, e não cosmética, porque os arranjos diferem justamente na probabilidade de reporte: o adaptativo converte dívida oculta em retrabalho visível, e um agregado que soma as duas parcelas não distingue conversão de redução. Com a correção, o indicador passa a favorecer o arranjo adaptativo em vinte e três vírgula nove por cento, em concordância com os demais.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Registra-se ainda que o valor final do estoque de dívida latente é nulo em todas as trezentas e oitenta e quatro execuções, por construção do laço de simulação, que só encerra após a quitação da dívida pendente. Por essa razão, a estatística informativa é o valor de pico do estoque, e não o seu valor terminal.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 que TR mede, e o que não mede.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grandeza designada TR é ESFORÇO DE RETRABALHO CONTABILIZADO, e não tempo consumido no cronograma. Quando um defeito é reportado ou aflora, a implementação atual acresce a parcela correspondente ao relógio de retrabalho, mas essa parcela não ocupa um agente nem avança o calendário do projeto do mesmo modo que a execução de uma tarefa. A denominação foi corrigida ao longo do texto para não induzir a leitura de tempo efetivamente despendido. A limitação tem duas consequências que ficam declaradas. A primeira é que o custo de cronograma do retrabalho está subestimado: no modelo atual, refazer não disputa capacidade com executar. A segunda incide sobre a métrica de ocupação, cujo denominador soma os quatro relógios e portanto inclui TR: uma parcela que não consome capacidade entra no denominador como se consumisse, de modo que a métrica não deve ser lida como medida de produtividade. Fazer o retrabalho ocupar agente e recurso é alteração estrutural do modelo, não implementada nesta entrega, e está registrada como pendência.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 – Trajetórias médias dos estoques nos dois arranjos, com faixa interquartil</w:t>
      </w:r>
    </w:p>
    <w:p>
      <w:pPr>
        <w:spacing w:after="40" w:before="200"/>
        <w:jc w:val="center"/>
      </w:pPr>
      <w:r>
        <w:drawing>
          <wp:inline distT="0" distB="0" distL="0" distR="0">
            <wp:extent cx="5400675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Figura 8 torna visível o mecanismo. No arranjo centralizado, a dívida técnica latente cresce ao longo de todo o período nominal do projeto, atinge o máximo em torno de uma vez e meia o prazo do caminho crítico e só então é drenada, o que prolonga a execução muito além do previsto. No arranjo adaptativo, o mesmo estoque permanece próximo de zero, e o progresso validado acumula-se de forma sustentada. A bateria cognitiva média recupera-se mais cedo, o que é consequência, e não causa, do menor volume de retrabalho tardio.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Comportamento no limite de pressão nula.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Registra-se um comportamento de fronteira, fora do domínio de operação. Com pressão nula o esforço cognitivo exigido zera, e a probabilidade de transição para o modo heurístico cai ao seu piso, de aproximadamente um vírgula oito por cento por período de agente. Como no arranjo centralizado a confiança constante impede toda concessão de ajuda, uma tarefa cuja dificuldade excede a competência de todos os agentes passa a depender exclusivamente desse piso para ser iniciada, o que corresponde a uma espera média da ordem de cinquenta e seis períodos por tarefa. O efeito é de lentidão severa, e não de travamento: a transição é estocástica e sua probabilidade nunca chega a zero, de modo que a execução sempre termina. O caso está fora do domínio nominal, porque a pressão é limitada inferiormente a três décimos e nunca atinge zero em nenhuma execução apresentada; e as trezentas e oitenta e quatro execuções do experimento e as duas mil oitocentas e oitenta da ablação concluíram todas dentro do horizonte. Nenhuma conclusão desta entrega depende de ignorar esse comportamento. Ele é consequência lógica da formulação atual — transição estocástica combinada com confiança constante — e desaparece assim que qualquer das duas hipóteses estruturais em avaliação for alterada.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2.9  Ablação: a que o contraste entre os arranjos se deve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Por que a ablação é obrigatória.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dois arranjos da Tabela 2 diferem em quatro parâmetros simultaneamente. Enquanto variarem juntos, a comparação mede o pacote, e nenhum efeito observado pode ser atribuído a mecanismo algum. A ablação separa as parcelas, e a primeira conclusão que ela produz é sobre o próprio método de atribuição.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Substituição isolada não é decomposição.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leitura natural — trocar um parâmetro por vez e reportar a fração do contraste que cada troca reproduz — não decompõe coisa alguma, porque as frações resultantes não somam o contraste. Afirmar que “determinado parâmetro explica tal percentual do efeito” seria atribuição causal indevida sempre que houver interação, e há. A decomposição legítima exige o fatorial completo dos quatro parâmetros, com dezesseis células, e o ajuste do modelo saturado correspondente: dezesseis termos para dezesseis células produzem ajuste exato, sem resíduo e sem escolha de modelo, e vale a identidade que decompõe o contraste na soma dos efeitos principais e de todas as interações. A Tabela 10 apresenta essa decomposição.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10 – Decomposição exata do contraste em efeitos principais e interações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3400"/>
        <w:gridCol w:w="1900"/>
        <w:gridCol w:w="1900"/>
        <w:gridCol w:w="1870"/>
      </w:tblGrid>
      <w:tr>
        <w:trPr>
          <w:tblHeader/>
        </w:trPr>
        <w:tc>
          <w:tcPr>
            <w:tcW w:type="dxa" w:w="34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9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Efeitos principais</w:t>
            </w:r>
          </w:p>
        </w:tc>
        <w:tc>
          <w:tcPr>
            <w:tcW w:type="dxa" w:w="19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Interações</w:t>
            </w:r>
          </w:p>
        </w:tc>
        <w:tc>
          <w:tcPr>
            <w:tcW w:type="dxa" w:w="18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Maior interação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atraso relativo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118,9%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-18,9%</w:t>
            </w:r>
          </w:p>
        </w:tc>
        <w:tc>
          <w:tcPr>
            <w:tcW w:type="dxa" w:w="1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 (-26,2%)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ocupação E_total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104,5%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-4,5%</w:t>
            </w:r>
          </w:p>
        </w:tc>
        <w:tc>
          <w:tcPr>
            <w:tcW w:type="dxa" w:w="1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 (-2,6%)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tempo de ajuda TL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99,0%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1,0%</w:t>
            </w:r>
          </w:p>
        </w:tc>
        <w:tc>
          <w:tcPr>
            <w:tcW w:type="dxa" w:w="1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ACD (1,1%)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ociosidade TU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102,6%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-2,6%</w:t>
            </w:r>
          </w:p>
        </w:tc>
        <w:tc>
          <w:tcPr>
            <w:tcW w:type="dxa" w:w="1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 (-2,4%)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esforço de retrabalho TR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105,5%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-5,5%</w:t>
            </w:r>
          </w:p>
        </w:tc>
        <w:tc>
          <w:tcPr>
            <w:tcW w:type="dxa" w:w="1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ACD (9,4%)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trabalho efetivo TW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97,2%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2,8%</w:t>
            </w:r>
          </w:p>
        </w:tc>
        <w:tc>
          <w:tcPr>
            <w:tcW w:type="dxa" w:w="1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 (1,6%)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tarefas com defeito oculto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112,3%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-12,3%</w:t>
            </w:r>
          </w:p>
        </w:tc>
        <w:tc>
          <w:tcPr>
            <w:tcW w:type="dxa" w:w="1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 (-11,7%)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taxa de omissão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112,3%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-12,3%</w:t>
            </w:r>
          </w:p>
        </w:tc>
        <w:tc>
          <w:tcPr>
            <w:tcW w:type="dxa" w:w="1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 (-11,7%)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retrabalho sobre o plano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107,2%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-7,2%</w:t>
            </w:r>
          </w:p>
        </w:tc>
        <w:tc>
          <w:tcPr>
            <w:tcW w:type="dxa" w:w="1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ACD (10,1%)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latente sobre o plano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161,8%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-61,8%</w:t>
            </w:r>
          </w:p>
        </w:tc>
        <w:tc>
          <w:tcPr>
            <w:tcW w:type="dxa" w:w="1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 (-45,5%)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latente de pico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161,7%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-61,7%</w:t>
            </w:r>
          </w:p>
        </w:tc>
        <w:tc>
          <w:tcPr>
            <w:tcW w:type="dxa" w:w="18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CD (-45,7%)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A = confiança inicial; B = limiar de confiança; C = probabilidade de reporte; D = probabilidade de detecção. Percentuais relativos ao contraste nominal entre os arranjos.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leitura da tabela é direta. Para os indicadores de tempo e ocupação, as interações são pequenas e a decomposição é quase aditiva. Para a família da dívida oculta, ao contrário, as interações carregam mais de três quintos do contraste, e a maior delas é antagônica entre a probabilidade de reporte e a de detecção: os dois parâmetros fazem em larga medida o mesmo trabalho — converter dívida oculta em retrabalho visível — e juntos entregam muito menos que a soma dos efeitos isolados. Nessa família, nenhuma atribuição a um parâmetro isolado é defensável.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Um parâmetro inerte.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fatorial revelou que o limiar de confiança não produz efeito algum em nenhuma das dezesseis células: as oito comparações que trocam apenas esse parâmetro são idênticas execução a execução, e todo termo do modelo saturado que o contém é exatamente zero. A causa não está no parâmetro e sim no fato de a confiança ser constante e igual para todos os agentes: o portão da Porta 2 compara sempre a confiança inicial com o limiar, de modo que os dois níveis testados do limiar caem do mesmo lado dos dois níveis testados da confiança inicial. A Tabela 11 mostra a resposta local do modelo a esse limiar.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11 – Resposta do arranjo centralizado ao limiar de confiança, com os demais parâmetros fixos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1250"/>
        <w:gridCol w:w="1150"/>
        <w:gridCol w:w="1350"/>
        <w:gridCol w:w="1450"/>
        <w:gridCol w:w="1150"/>
        <w:gridCol w:w="1150"/>
        <w:gridCol w:w="1150"/>
        <w:gridCol w:w="1420"/>
      </w:tblGrid>
      <w:tr>
        <w:trPr>
          <w:tblHeader/>
        </w:trPr>
        <w:tc>
          <w:tcPr>
            <w:tcW w:type="dxa" w:w="12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τ_mín</w:t>
            </w:r>
          </w:p>
        </w:tc>
        <w:tc>
          <w:tcPr>
            <w:tcW w:type="dxa" w:w="11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Ajudas</w:t>
            </w:r>
          </w:p>
        </w:tc>
        <w:tc>
          <w:tcPr>
            <w:tcW w:type="dxa" w:w="13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Bloqueios</w:t>
            </w:r>
          </w:p>
        </w:tc>
        <w:tc>
          <w:tcPr>
            <w:tcW w:type="dxa" w:w="14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Atraso relativo</w:t>
            </w:r>
          </w:p>
        </w:tc>
        <w:tc>
          <w:tcPr>
            <w:tcW w:type="dxa" w:w="11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TU</w:t>
            </w:r>
          </w:p>
        </w:tc>
        <w:tc>
          <w:tcPr>
            <w:tcW w:type="dxa" w:w="11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TL</w:t>
            </w:r>
          </w:p>
        </w:tc>
        <w:tc>
          <w:tcPr>
            <w:tcW w:type="dxa" w:w="11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</w:t>
            </w:r>
          </w:p>
        </w:tc>
        <w:tc>
          <w:tcPr>
            <w:tcW w:type="dxa" w:w="142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Ocupação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0,2000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9,97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6,45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2,8600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6,45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9,97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59,64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0,8980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0,2250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9,97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6,45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2,8600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6,45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9,97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59,64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0,8980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0,2400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9,97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6,45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2,8600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6,45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9,97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59,64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0,8980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0,2490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9,97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6,45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2,8600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6,45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9,97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59,64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0,8980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0,2499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9,97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6,45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2,8600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6,45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9,97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59,64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0,8980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0,2500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3,1345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68,87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0,7839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0,2501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3,1345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68,87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0,7839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0,2510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3,1345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68,87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0,7839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0,2600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3,1345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68,87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0,7839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0,2750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3,1345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68,87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0,7839</w:t>
            </w:r>
          </w:p>
        </w:tc>
      </w:tr>
      <w:tr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0,3000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3,1345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126,27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68,87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0,7839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Dezesseis instâncias com doze sementes por ponto. A confiança inicial do arranjo centralizado vale 0,25.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resposta é um degrau, não um gradiente. Onze pontos da grade produzem apenas dois comportamentos, idênticos até a sexta casa decimal dentro de cada um, e o salto único ocorre num intervalo de largura de um décimo de milésimo que contém exatamente o valor da confiança inicial. Uma variação quatrocentas e noventa vezes maior, entre os dois extremos inferiores da grade, não produz efeito algum. A descontinuidade não decorre de má escolha de valor: enquanto a confiança for constante e idêntica entre agentes, o portão é uma única comparação global e o parâmetro não pode assumir outra forma. Registra-se, adicionalmente, que a confiança inicial do arranjo centralizado e o limiar do arranjo adaptativo foram fixados no mesmo valor, ambos declarados como premissa e sem justificativa numérica registrada, e que esse valor é precisamente o ponto de fronteira em que o resultado depende de a desigualdade do portão ser estrita. A desigualdade estrita é herdada da formulação conceitual; a coincidência dos dois valores é escolha de parametrização deste trabalho, e fica registrada como questão a rever.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segunda ablação neutraliza o mecanismo de assistência nos dois braços, em duas direções opostas: suprimindo integralmente a concessão de ajuda, e tornando-a disponível independentemente da confiança. A Tabela 12 apresenta o contraste entre os arranjos sob cada condição.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12 – Contraste entre os arranjos, nominal e sob ablação do mecanismo de assistência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2550"/>
        <w:gridCol w:w="1180"/>
        <w:gridCol w:w="1300"/>
        <w:gridCol w:w="1350"/>
        <w:gridCol w:w="900"/>
        <w:gridCol w:w="900"/>
        <w:gridCol w:w="1890"/>
      </w:tblGrid>
      <w:tr>
        <w:trPr>
          <w:tblHeader/>
        </w:trPr>
        <w:tc>
          <w:tcPr>
            <w:tcW w:type="dxa" w:w="25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18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Nominal</w:t>
            </w:r>
          </w:p>
        </w:tc>
        <w:tc>
          <w:tcPr>
            <w:tcW w:type="dxa" w:w="13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Sem assist.</w:t>
            </w:r>
          </w:p>
        </w:tc>
        <w:tc>
          <w:tcPr>
            <w:tcW w:type="dxa" w:w="13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Assist. univ.</w:t>
            </w:r>
          </w:p>
        </w:tc>
        <w:tc>
          <w:tcPr>
            <w:tcW w:type="dxa" w:w="9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Resta (sem)</w:t>
            </w:r>
          </w:p>
        </w:tc>
        <w:tc>
          <w:tcPr>
            <w:tcW w:type="dxa" w:w="9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Resta (univ.)</w:t>
            </w:r>
          </w:p>
        </w:tc>
        <w:tc>
          <w:tcPr>
            <w:tcW w:type="dxa" w:w="189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Veredito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atraso relativo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-1,1354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-0,8240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-0,8608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72,6%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75,8%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DIMINUI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ocupação E_total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0,1046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-0,0477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-0,0095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-45,6%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-9,0%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INVERTE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tempo de ajuda TL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10,4896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0,5156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4,9%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DESAPARECE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ociosidade TU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-120,3229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18,9323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-0,5052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-15,7%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0,4%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INVERTE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esforço de retrabalho TR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-16,3564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-4,2601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-7,1266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26,0%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43,6%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DIMINUI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trabalho efetivo TW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-149,6042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-123,8073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-118,5365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82,8%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79,2%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DIMINUI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tarefas com defeito oculto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-9,1979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-8,9948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-8,6198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97,8%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93,7%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DIMINUI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taxa de omissão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-0,1533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-0,1499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-0,1437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97,8%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93,7%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DIMINUI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retrabalho sobre o plano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-0,0486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-0,0130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-0,0211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26,7%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43,4%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DIMINUI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latente sobre o plano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-0,0540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-0,0505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-0,0458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93,6%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84,8%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DIMINUI</w:t>
            </w:r>
          </w:p>
        </w:tc>
      </w:tr>
      <w:tr>
        <w:tc>
          <w:tcPr>
            <w:tcW w:type="dxa" w:w="2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latente de pico</w:t>
            </w:r>
          </w:p>
        </w:tc>
        <w:tc>
          <w:tcPr>
            <w:tcW w:type="dxa" w:w="1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-18,2888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-17,1061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-15,5282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93,5%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84,9%</w:t>
            </w:r>
          </w:p>
        </w:tc>
        <w:tc>
          <w:tcPr>
            <w:tcW w:type="dxa" w:w="1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DIMINUI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Contraste = média do arranjo adaptativo menos média do centralizado, por instância. As duas colunas “Resta” dão a fração do contraste nominal que sobrevive a cada ablação.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O que sobrevive e o que não sobrevive.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ablação separa dois conjuntos de resultados que estavam somados numa conclusão única. A redução da dívida técnica oculta sobrevive às duas ablações com mais de quatro quintos do contraste nominal, e é portanto robusta ao mecanismo de assistência. Já a vantagem em tempo e ocupação depende desse mecanismo: o tempo de ajuda desaparece por construção, a ociosidade e a ocupação invertem de sinal, o retrabalho pago conserva entre um quarto e dois quintos do contraste, e o atraso relativo conserva cerca de três quartos. Esses resultados ficam declarados como condicionados a uma hipótese estrutural ainda em avaliação — a de confiança constante — e não como estabelecidos.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2.10  Divergência declarada na Porta 2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conferência do código contra o pseudocódigo da fase conceitual encontrou uma divergência não declarada na Porta 2. A regra conceitual condiciona a concessão de ajuda a duas condições, disponibilidade e confiança, e nada estabelece sobre competência. A implementação acrescenta uma terceira condição, a de que o agente que presta apoio seja mais competente que o que solicita. A Tabela 13 mede a diferença entre as duas operacionalizações sobre as mesmas instâncias, sementes e demais parâmetros.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13 – Porta 2: operacionalização implementada e regra conceitual literal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1900"/>
        <w:gridCol w:w="2400"/>
        <w:gridCol w:w="1500"/>
        <w:gridCol w:w="1500"/>
        <w:gridCol w:w="1250"/>
        <w:gridCol w:w="520"/>
      </w:tblGrid>
      <w:tr>
        <w:trPr>
          <w:tblHeader/>
        </w:trPr>
        <w:tc>
          <w:tcPr>
            <w:tcW w:type="dxa" w:w="19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Arranjo</w:t>
            </w:r>
          </w:p>
        </w:tc>
        <w:tc>
          <w:tcPr>
            <w:tcW w:type="dxa" w:w="24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5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Implementada</w:t>
            </w:r>
          </w:p>
        </w:tc>
        <w:tc>
          <w:tcPr>
            <w:tcW w:type="dxa" w:w="15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Conceitual</w:t>
            </w:r>
          </w:p>
        </w:tc>
        <w:tc>
          <w:tcPr>
            <w:tcW w:type="dxa" w:w="12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Diferença</w:t>
            </w:r>
          </w:p>
        </w:tc>
        <w:tc>
          <w:tcPr>
            <w:tcW w:type="dxa" w:w="52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centralizada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atraso relativo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3,1345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3,1345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centralizada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ocupação E_total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0,7839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0,7839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centralizada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tempo de ajuda TL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centralizada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ociosidade TU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126,2656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126,2656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centralizada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esforço de retrabalho TR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68,8653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68,8653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centralizada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latente de pico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25,1123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25,1123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centralizada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tarefas com defeito oculto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13,0208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13,0208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adaptativa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atraso relativo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1,9991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1,9977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-0,1%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0,860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adaptativa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ocupação E_total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0,8885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0,8879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-0,1%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0,940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adaptativa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tempo de ajuda TL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10,4896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10,2188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-2,6%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0,346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adaptativa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ociosidade TU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5,9427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6,8906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16,0%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0,820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adaptativa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esforço de retrabalho TR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52,5089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52,9729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0,782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adaptativa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dívida latente de pico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6,8235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6,9315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1,6%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0,744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adaptativa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tarefas com defeito oculto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3,8229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3,7344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-2,3%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0,815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Dezesseis instâncias com doze sementes, pareadas; unidade inferencial: instância.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Magnitude.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 arranjo centralizado a diferença é exatamente nula, porque o filtro de competência nunca chega a ser avaliado: a confiança já impede toda concessão de ajuda. No arranjo adaptativo, todos os indicadores publicados variam menos de três por cento, com exceção da ociosidade, cuja variação relativa é maior mas incide sobre valores absolutos pequenos e não é estatisticamente distinguível. O critério de materialidade foi declarado antes da medição: a divergência seria material se alterasse algum indicador publicado em mais de cinco por cento com significância, ou se invertesse algum sinal. Nenhuma das duas condições se verifica.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Avaliação conceitual da restrição.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restrição não é arbitrária, e sua justificativa não depende do desempenho que produz. A equação de transferência de conhecimento permanece positiva mesmo quando o agente que presta apoio é menos competente que o que solicita, porque o termo proporcional à diferença de competências jamais chega a anular o incremento de base. Sem a restrição, portanto, a formulação permitiria que um agente elevasse sua competência ao receber apoio de um colega que sabe menos, o que é incompatível com o significado da variável: a própria lista de símbolos da fase conceitual define o limiar como limiar de transferência de conhecimento, e não se transfere o que não se possui. O protocolo de Crowder et al. (2012), origem da equação, é coerente com essa leitura ao fazer o agente difundir o pedido precisamente porque sua competência é inferior à dificuldade da subtarefa. A restrição é, assim, apresentada como decisão de operacionalização na passagem do modelo conceitual ao computacional, e não como correção nem como erro. Fica registrado que ela não constava da especificação e que deverá ser formalizada nela, com a justificativa acima, antes da versão final. A escolha definitiva entre as duas formulações não é feita nesta entrega e não será feita com base em desempenho.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2.11  Rastreabilidade das verificações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Tabela 14 registra, para cada procedimento, as instâncias e sementes utilizadas, o número de execuções e o arquivo de saída correspondente, de modo que qualquer número apresentado possa ser reencontrado. As tabelas das Seções 2.7 a 2.11, bem como a matriz de cenários e a tabela do experimento, são montadas em tempo de geração a partir desses arquivos, sem valor digitado. Registre-se, para não induzir generalização indevida, que as demais tabelas e os valores citados no corpo do texto das Seções 2.2 a 2.6 — a camada de dados — ainda são transcritos manualmente a partir das saídas dos scripts correspondentes. Foram conferidos contra os arquivos de origem, mas a garantia que vale para as seções derivadas de CSV não vale para eles; a extensão desse mecanismo às seções de dados está registrada como pendência.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14 – Procedimentos de verificação, condições de execução e arquivos de saída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2450"/>
        <w:gridCol w:w="2050"/>
        <w:gridCol w:w="1250"/>
        <w:gridCol w:w="1050"/>
        <w:gridCol w:w="2270"/>
      </w:tblGrid>
      <w:tr>
        <w:trPr>
          <w:tblHeader/>
        </w:trPr>
        <w:tc>
          <w:tcPr>
            <w:tcW w:type="dxa" w:w="24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20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Instâncias</w:t>
            </w:r>
          </w:p>
        </w:tc>
        <w:tc>
          <w:tcPr>
            <w:tcW w:type="dxa" w:w="12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Sementes</w:t>
            </w:r>
          </w:p>
        </w:tc>
        <w:tc>
          <w:tcPr>
            <w:tcW w:type="dxa" w:w="105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Execuções</w:t>
            </w:r>
          </w:p>
        </w:tc>
        <w:tc>
          <w:tcPr>
            <w:tcW w:type="dxa" w:w="22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Experimento central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 instâncias J60 (todas[::30][:16])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11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384</w:t>
            </w:r>
          </w:p>
        </w:tc>
        <w:tc>
          <w:tcPr>
            <w:tcW w:type="dxa" w:w="2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modelo_03_experimento_bruto.csv</w:t>
            </w:r>
          </w:p>
        </w:tc>
      </w:tr>
      <w:tr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Ablação de governança (B9)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 mesmas 16 instâncias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11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2880</w:t>
            </w:r>
          </w:p>
        </w:tc>
        <w:tc>
          <w:tcPr>
            <w:tcW w:type="dxa" w:w="2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modelo_07_ablacao_bruto.csv</w:t>
            </w:r>
          </w:p>
        </w:tc>
      </w:tr>
      <w:tr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Decomposição fatorial 2⁴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 mesmas 16 instâncias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11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3072</w:t>
            </w:r>
          </w:p>
        </w:tc>
        <w:tc>
          <w:tcPr>
            <w:tcW w:type="dxa" w:w="2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modelo_10_fatorial_celulas.csv</w:t>
            </w:r>
          </w:p>
        </w:tc>
      </w:tr>
      <w:tr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Sensibilidade de τ_mín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 mesmas 16 instâncias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11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2112</w:t>
            </w:r>
          </w:p>
        </w:tc>
        <w:tc>
          <w:tcPr>
            <w:tcW w:type="dxa" w:w="2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modelo_09_sensibilidade_tau_min.csv</w:t>
            </w:r>
          </w:p>
        </w:tc>
      </w:tr>
      <w:tr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Tendência sob pressão — piloto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j6010_1 e j6014_1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39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2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modelo_11_tendencia_piloto.csv</w:t>
            </w:r>
          </w:p>
        </w:tc>
      </w:tr>
      <w:tr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Tendência sob pressão — confirmatório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j6010_1 e j6014_1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1000 a 1099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2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modelo_11_tendencia_confirmatorio.csv</w:t>
            </w:r>
          </w:p>
        </w:tc>
      </w:tr>
      <w:tr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Porta 2 — TCC1 × TCC2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 mesmas 16 instâncias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a 11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768</w:t>
            </w:r>
          </w:p>
        </w:tc>
        <w:tc>
          <w:tcPr>
            <w:tcW w:type="dxa" w:w="2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modelo_12_porta2_comparacao.csv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Os arquivos residem em outputs/tables no repositório do trabalho.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2.12  Calibração e identificabilidade dos parâmetros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procedimento descrito na Seção 1.8 foi executado em duas ondas de quatrocentos pontos amostrados por hipercubo latino, calibrando cinco parâmetros contra quatro observáveis. O teste do gêmeo idêntico foi aprovado nos três critérios: o conjunto NROY não é vazio, com cento e quinze pontos; contém o vetor verdadeiro nos cinco parâmetros; e o volume da caixa envolvente foi reduzido a quatorze vírgula oito por cento do volume a priori.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aprovação do teste, contudo, não implica que os cinco parâmetros tenham sido determinados. A Tabela 15 reporta, para cada um, a redução da largura marginal do conjunto NROY relativamente à faixa inicial.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15 – Identificabilidade dos parâmetros calibrados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3470"/>
        <w:gridCol w:w="1600"/>
        <w:gridCol w:w="1800"/>
        <w:gridCol w:w="2200"/>
      </w:tblGrid>
      <w:tr>
        <w:trPr>
          <w:tblHeader/>
        </w:trPr>
        <w:tc>
          <w:tcPr>
            <w:tcW w:type="dxa" w:w="34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Parâmetro</w:t>
            </w:r>
          </w:p>
        </w:tc>
        <w:tc>
          <w:tcPr>
            <w:tcW w:type="dxa" w:w="16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Valor verdadeiro</w:t>
            </w:r>
          </w:p>
        </w:tc>
        <w:tc>
          <w:tcPr>
            <w:tcW w:type="dxa" w:w="18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Redução da largura</w:t>
            </w:r>
          </w:p>
        </w:tc>
        <w:tc>
          <w:tcPr>
            <w:tcW w:type="dxa" w:w="22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Veredito</w:t>
            </w:r>
          </w:p>
        </w:tc>
      </w:tr>
      <w:t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μ_mín (piso do multiplicador de produtividade)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0,6200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70,3%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identificado</w:t>
            </w:r>
          </w:p>
        </w:tc>
      </w:tr>
      <w:t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F_âncora (frequência basal de defeito)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0,1800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36,8%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parcialmente identificado</w:t>
            </w:r>
          </w:p>
        </w:tc>
      </w:tr>
      <w:t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τ_sat (limiar de saturação cognitiva)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0,8500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10,9%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não identificado</w:t>
            </w:r>
          </w:p>
        </w:tc>
      </w:tr>
      <w:t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f_retrabalho (severidade do retrabalho)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0,4200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6,0%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não identificado</w:t>
            </w:r>
          </w:p>
        </w:tc>
      </w:tr>
      <w:t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k_heurístico (drenagem em modo heurístico)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0,1350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5,8%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não identificado</w:t>
            </w:r>
          </w:p>
        </w:tc>
      </w:tr>
      <w:t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F_âncora × f_retrabalho (produto)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0,0756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74,7%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identificado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 Adotou-se o limiar de vinte e cinco por cento de redução como fronteira da não identificabilidade.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Equifinalidade de causa estrutural.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correlação de postos entre F_âncora e f_retrabalho, calculada dentro do conjunto NROY, é de menos zero vírgula oitocentos e quarenta, o que caracteriza uma crista. A crista não é acidente amostral: decorre da estrutura do modelo. O esforço de retrabalho gerado por tarefa é, em esperança, o produto entre a probabilidade de falha e a severidade do retrabalho, e a probabilidade de falha é proporcional a F_âncora. Os observáveis agregados enxergam apenas esse produto, de modo que aumentos em um fator podem ser compensados por reduções no outro sem alteração das saídas.</w:t>
      </w:r>
    </w:p>
    <w:p>
      <w:pPr>
        <w:spacing w:after="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9 – Conjunto NROY projetado sobre a crista de equifinalidade e redução marginal por parâmetro</w:t>
      </w:r>
    </w:p>
    <w:p>
      <w:pPr>
        <w:spacing w:after="40" w:before="200"/>
        <w:jc w:val="center"/>
      </w:pPr>
      <w:r>
        <w:drawing>
          <wp:inline distT="0" distB="0" distL="0" distR="0">
            <wp:extent cx="558165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Dados da pesquisa (2026).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hipótese foi testada e confirmada: o produto dos dois fatores apresenta redução de setenta e quatro vírgula sete por cento, contra trinta e seis vírgula oito e seis vírgula zero por cento dos fatores isolados. Decorre daí uma recomendação de reparametrização: em calibração com dados reais, deve-se estimar o produto — interpretável como esforço esperado de retrabalho por tarefa — e declarar a divisão entre frequência e severidade como não identificada, em vez de reportar dois números que os dados não sustentam. A separação dos fatores exigiria observar a taxa de defeito e o custo unitário de correção de forma independente, dado que o delineamento atual não contempla.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Estabilidade entre ondas: achado preliminar.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larguras marginais praticamente não se alteraram entre a primeira e a segunda onda. Essa estabilidade é compatível com um limite de identificabilidade estrutural, e não de tamanho de amostra, mas a hipótese ainda não está demonstrada: a segunda onda foi amostrada a partir do mesmo gerador da primeira, e um desenho amostral independente é necessário para distinguir estabilidade real de estabilidade herdada do delineamento. Até que essa verificação seja executada, o achado é registrado como preliminar, e não se afirma que uma terceira onda não reduziria o espaço.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2.13  Procedência dos parâmetros e limitações declaradas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Tabela 16 resume a procedência dos parâmetros do modelo, segundo a classificação mantida no arquivo único de configuração. A distinção é mantida explícita porque a credibilidade de um modelo de simulação depende menos do número de parâmetros do que da clareza sobre a origem de cada um.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16 – Procedência dos parâmetros do modelo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1700"/>
        <w:gridCol w:w="1300"/>
        <w:gridCol w:w="6070"/>
      </w:tblGrid>
      <w:tr>
        <w:trPr>
          <w:tblHeader/>
        </w:trPr>
        <w:tc>
          <w:tcPr>
            <w:tcW w:type="dxa" w:w="17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Condição</w:t>
            </w:r>
          </w:p>
        </w:tc>
        <w:tc>
          <w:tcPr>
            <w:tcW w:type="dxa" w:w="130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Quantidade</w:t>
            </w:r>
          </w:p>
        </w:tc>
        <w:tc>
          <w:tcPr>
            <w:tcW w:type="dxa" w:w="60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aberto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ainda não fixado; cinco deles submetidos à calibração da Seção 2.9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calibrado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estimado dos dados por procedimento documentado: o gradiente de risco RR por faixa, obtido da base NASA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derivado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calculado do escalonamento de referência das próprias instâncias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literatura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exigido por resultado publicado: a t-norma produto e a existência de partição difusa na saída (Van Broekhoven e De Baets, 2009)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premissa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6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arbitrado de forma declarada, com justificativa registrada e sujeito a varredura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tcc1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herdado da fase conceitual sem alteração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 (2026), a partir do arquivo de configuração do modelo.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Limitações.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Quatro limitações são declaradas. Primeira, a transferência ordinal de risco entre domínios pressupõe que o gradiente de risco por dificuldade seja transferível, ainda que o nível absoluto não seja; trata-se de suposição, e não de resultado. Segunda, e mais importante para a leitura desta entrega, NÃO foi realizada validação externa do simulador: não há aqui nenhum critério confrontado com observação de campo que pudesse reprová-lo. A comparação da fração de retrabalho com a literatura funciona apenas como verificação de ordem de grandeza, e a Seção 2.7 demonstra que ela aprova em toda a faixa declarada do parâmetro de risco basal, isto é, que seu poder de rejeição é nulo. Terceira, o teste do gêmeo idêntico é otimista por construção, uma vez que anula a discrepância entre modelo e realidade. Quarta, três dos cinco parâmetros submetidos à calibração não são identificáveis com os observáveis do delineamento atual, e assim são reportados.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2.14  Cronograma de atividades e próximas etapas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Tabela 17 distribui cronologicamente as atividades previstas para a conclusão do trabalho.</w:t>
      </w:r>
    </w:p>
    <w:p>
      <w:pPr>
        <w:spacing w:after="100" w:befor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Tabela 17 – Cronograma de finalização do trabalho (TCC II)</w:t>
      </w:r>
    </w:p>
    <w:tbl>
      <w:tblPr>
        <w:tblW w:type="dxa" w:w="9070"/>
        <w:tblBorders>
          <w:top w:val="single" w:color="888888" w:sz="4"/>
          <w:left w:val="single" w:color="BBBBBB" w:sz="4"/>
          <w:bottom w:val="single" w:color="888888" w:sz="4"/>
          <w:right w:val="single" w:color="BBBBBB" w:sz="4"/>
          <w:insideH w:val="single" w:color="CCCCCC" w:sz="2"/>
          <w:insideV w:val="single" w:color="CCCCCC" w:sz="2"/>
        </w:tblBorders>
      </w:tblPr>
      <w:tblGrid>
        <w:gridCol w:w="4270"/>
        <w:gridCol w:w="960"/>
        <w:gridCol w:w="960"/>
        <w:gridCol w:w="960"/>
        <w:gridCol w:w="960"/>
        <w:gridCol w:w="960"/>
      </w:tblGrid>
      <w:tr>
        <w:trPr>
          <w:tblHeader/>
        </w:trPr>
        <w:tc>
          <w:tcPr>
            <w:tcW w:type="dxa" w:w="427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Atividade / etapa de engenharia</w:t>
            </w:r>
          </w:p>
        </w:tc>
        <w:tc>
          <w:tcPr>
            <w:tcW w:type="dxa" w:w="96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Set.</w:t>
            </w:r>
          </w:p>
        </w:tc>
        <w:tc>
          <w:tcPr>
            <w:tcW w:type="dxa" w:w="96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Out.</w:t>
            </w:r>
          </w:p>
        </w:tc>
        <w:tc>
          <w:tcPr>
            <w:tcW w:type="dxa" w:w="96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Nov.</w:t>
            </w:r>
          </w:p>
        </w:tc>
        <w:tc>
          <w:tcPr>
            <w:tcW w:type="dxa" w:w="96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Dez.</w:t>
            </w:r>
          </w:p>
        </w:tc>
        <w:tc>
          <w:tcPr>
            <w:tcW w:type="dxa" w:w="960"/>
            <w:shd w:fill="EFEF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Jan.</w:t>
            </w:r>
          </w:p>
        </w:tc>
      </w:tr>
      <w:tr>
        <w:tc>
          <w:tcPr>
            <w:tcW w:type="dxa" w:w="4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 Confirmação da proveniência dos dados junto à coleção oficial e fechamento da calibração NASA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 Auditoria do PSPLIB J60 e validação dos parâmetros NC, RF e RS (concluída)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 Construção do índice de dificuldade e da transferência ordinal NASA → J60 (concluída)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 Implementação do sistema de inferência difusa e do simulador de equipes (concluída)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 Verificação do simulador e experimento de governança (concluídos)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 Calibração por History Matching e teste do gêmeo idêntico (concluídos)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 Fixação da âncora de risco por dado do domínio de engenharia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8. Análise de sensibilidade sobre os parâmetros em varredura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9. Ensaios finais e validação do modelo integrado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 Redação final da monografia conforme normas ABNT e preparação da defesa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</w:tbl>
    <w:p>
      <w:pPr>
        <w:spacing w:after="24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Elaborado pela autora (2026).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REFERÊNCIAS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ANDRIANAKIS, I.; VERNON, I. R.; McCREESH, N. et al. Bayesian history matching of complex infectious disease models using emulation: a tutorial and a case study on HIV in Uganda. PLoS Computational Biology, v. 11, n. 1, e1003968, 2015. DOI 10.1371/journal.pcbi.1003968.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BEIN, W. W.; KAMBUROWSKI, J.; STALLMANN, M. F. M. Optimal reduction of two-terminal directed acyclic graphs. SIAM Journal on Computing, v. 21, n. 6, p. 1112-1129, 1992.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BOEHM, B.; BASILI, V. R. Software defect reduction top 10 list. Computer, v. 34, n. 1, p. 135-137, jan. 2001. DOI 10.1109/2.962984.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CROWDER, R. M.; ROBINSON, M. A.; HUGHES, H. P. N. et al. The development of an agent-based modeling framework for simulating engineering team work. IEEE Transactions on Systems, Man, and Cybernetics – Part A: Systems and Humans, v. 42, n. 6, p. 1425-1439, 2012.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REYCK, B.; HERROELEN, W. On the use of the complexity index as a measure of complexity in activity networks. European Journal of Operational Research, v. 91, n. 2, p. 347-366, 1996.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KOLISCH, R. Serial and parallel resource-constrained project scheduling methods revisited: theory and computation. European Journal of Operational Research, v. 90, n. 2, p. 320-333, 1996.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KOLISCH, R.; SPRECHER, A. PSPLIB – a project scheduling problem library. European Journal of Operational Research, v. 96, n. 1, p. 205-216, 1997.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KOLISCH, R.; SPRECHER, A.; DREXL, A. Characterization and generation of a general class of resource-constrained project scheduling problems. Management Science, v. 41, n. 10, p. 1693-1703, 1995.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LIU, S.; TRIANTIS, K. P.; SARANGI, S. Representing qualitative variables and their interactions with fuzzy logic in system dynamics modeling. Systems Research and Behavioral Science, v. 28, p. 245-263, 2011.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LOVE, P. E. D.; LI, H. Quantifying the causes and costs of rework in construction. Construction Management and Economics, v. 18, n. 4, p. 479-490, 2000.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LOVE, P. E. D.; MATTHEWS, J.; FANG, W. et al. Quantifying the costs of field rework in construction. Journal of Construction Engineering and Management, v. 152, n. 1, 2026. DOI 10.1061/JCEMD4.COENG-17026.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MACAL, C. M.; NORTH, M. J. Tutorial on agent-based modelling and simulation. Journal of Simulation, v. 4, n. 3, p. 151-162, 2010.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McCABE, T. J. A complexity measure. IEEE Transactions on Software Engineering, v. SE-2, n. 4, p. 308-320, 1976.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McCULLOCH, J.; GE, J.; WARD, J. A.; HEPPENSTALL, A.; POLHILL, J. G.; MALLESON, N. Calibrating agent-based models using uncertainty quantification methods. Journal of Artificial Societies and Social Simulation, v. 25, n. 2, artigo 1, 2022. DOI 10.18564/jasss.4791.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NATIONAL AERONAUTICS AND SPACE ADMINISTRATION. Cyclomatic complexity assessment. NASA/TM-20205011566, NESC-RP-20-01515. Washington: NASA, 2020.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NATIONAL AERONAUTICS AND SPACE ADMINISTRATION. SWE-220 – Cyclomatic complexity for safety-critical software. NASA Software Engineering Handbook, versão D. Disponível em: https://swehb.nasa.gov. Acesso em: 3 set. 2026.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PUKELSHEIM, F. The three sigma rule. The American Statistician, v. 48, n. 2, p. 88-91, 1994. DOI 10.1080/00031305.1994.10476030.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RODRIGUES, A. G. The application of system dynamics to project management: an integrated methodology (SYDPIM). Tese (Doctor of Philosophy) — University of Strathclyde, Glasgow, 2000.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SHEPPERD, M. The cleaned NASA MDP data sets. Thoughts on Empirical Software Engineering, 1 abr. 2018. Disponível em: https://empiricalsoftwareengineering.wordpress.com. Acesso em: 3 set. 2026.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SHEPPERD, M.; SONG, Q.; SUN, Z.; MAIR, C. Data quality: some comments on the NASA software defect datasets. IEEE Transactions on Software Engineering, v. 39, n. 9, p. 1208-1215, 2013.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STERMAN, J. D. Business dynamics: systems thinking and modeling for a complex world. Boston: Irwin/McGraw-Hill, 2000.</w:t>
      </w:r>
    </w:p>
    <w:p>
      <w:pPr>
        <w:spacing w:after="20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VAN BROEKHOVEN, E.; DE BAETS, B. Only smooth rule bases can generate monotone Mamdani-Assilian models under center-of-gravity defuzzification. IEEE Transactions on Fuzzy Systems, v. 17, n. 5, p. 1157-1174, out. 2009. DOI 10.1109/TFUZZ.2009.2023328.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ab77e0b7010e60a91b141aa3aa224d659eccd.png"/><Relationship Id="rId8" Type="http://schemas.openxmlformats.org/officeDocument/2006/relationships/image" Target="media/14ecd3f83c301fcc8357d1851565cd68caca50c4.png"/><Relationship Id="rId9" Type="http://schemas.openxmlformats.org/officeDocument/2006/relationships/image" Target="media/14f930279bfd1e0fce3dfc9de1def10b8ade1afc.png"/><Relationship Id="rId10" Type="http://schemas.openxmlformats.org/officeDocument/2006/relationships/image" Target="media/3bf2fa59d9763d8544097b408777fb39f848d754.png"/><Relationship Id="rId11" Type="http://schemas.openxmlformats.org/officeDocument/2006/relationships/image" Target="media/b84eefe191a1b15edd5dd5f21aec397eb9e28960.png"/><Relationship Id="rId12" Type="http://schemas.openxmlformats.org/officeDocument/2006/relationships/image" Target="media/85e12bfeb03a4a27ad539f8ea3c270991340fe89.png"/><Relationship Id="rId13" Type="http://schemas.openxmlformats.org/officeDocument/2006/relationships/image" Target="media/a1e5985db8a81d114e6e5e11bde83be57bafb2ee.png"/><Relationship Id="rId14" Type="http://schemas.openxmlformats.org/officeDocument/2006/relationships/image" Target="media/55a45c6dd7445b7fde05102abedc9ecd65d8a0fe.png"/><Relationship Id="rId15" Type="http://schemas.openxmlformats.org/officeDocument/2006/relationships/image" Target="media/12b51ff485370dd2da835040ca7448f90f6f883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TCC II — Metodologia e Resultados Iniciais</dc:title>
  <dc:creator>Isadora Maria Carvalho Lopes</dc:creator>
  <cp:lastModifiedBy>Un-named</cp:lastModifiedBy>
  <cp:revision>1</cp:revision>
  <dcterms:created xsi:type="dcterms:W3CDTF">2026-09-07T12:03:09.967Z</dcterms:created>
  <dcterms:modified xsi:type="dcterms:W3CDTF">2026-09-07T12:03:09.967Z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