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color w:val="9B2C5E"/>
          <w:sz w:val="56"/>
          <w:szCs w:val="56"/>
        </w:rPr>
        <w:t xml:space="preserve">TCC2</w:t>
      </w:r>
    </w:p>
    <w:p>
      <w:pPr>
        <w:spacing w:after="400"/>
        <w:jc w:val="center"/>
      </w:pPr>
      <w:r>
        <w:rPr>
          <w:rFonts w:ascii="Calibri" w:cs="Calibri" w:eastAsia="Calibri" w:hAnsi="Calibri"/>
          <w:color w:val="5E1B39"/>
          <w:sz w:val="36"/>
          <w:szCs w:val="36"/>
        </w:rPr>
        <w:t xml:space="preserve">Histórico de decisões e fontes</w:t>
      </w:r>
    </w:p>
    <w:p>
      <w:pPr>
        <w:spacing w:after="120"/>
        <w:jc w:val="center"/>
      </w:pPr>
      <w:r>
        <w:rPr>
          <w:rFonts w:ascii="Calibri" w:cs="Calibri" w:eastAsia="Calibri" w:hAnsi="Calibri"/>
          <w:i/>
          <w:iCs/>
          <w:color w:val="666666"/>
          <w:sz w:val="22"/>
          <w:szCs w:val="22"/>
        </w:rPr>
        <w:t xml:space="preserve">Registro incremental, apenas acréscimo — nada é apagado</w:t>
      </w:r>
    </w:p>
    <w:p>
      <w:pPr>
        <w:spacing w:after="800"/>
        <w:jc w:val="center"/>
      </w:pPr>
      <w:r>
        <w:rPr>
          <w:rFonts w:ascii="Calibri" w:cs="Calibri" w:eastAsia="Calibri" w:hAnsi="Calibri"/>
          <w:color w:val="666666"/>
          <w:sz w:val="20"/>
          <w:szCs w:val="20"/>
        </w:rPr>
        <w:t xml:space="preserve">Simulador híbrido ABM + Dinâmica de Sistemas de equipes de engenharia</w:t>
      </w:r>
    </w:p>
    <w:p>
      <w:pPr>
        <w:spacing w:after="60"/>
        <w:jc w:val="center"/>
      </w:pPr>
      <w:r>
        <w:rPr>
          <w:rFonts w:ascii="Calibri" w:cs="Calibri" w:eastAsia="Calibri" w:hAnsi="Calibri"/>
          <w:sz w:val="22"/>
          <w:szCs w:val="22"/>
        </w:rPr>
        <w:t xml:space="preserve">Isadora M. Carvalho — Engenharia de Sistemas, UFMG</w:t>
      </w:r>
    </w:p>
    <w:p>
      <w:pPr>
        <w:spacing w:after="60"/>
        <w:jc w:val="center"/>
      </w:pPr>
      <w:r>
        <w:rPr>
          <w:rFonts w:ascii="Calibri" w:cs="Calibri" w:eastAsia="Calibri" w:hAnsi="Calibri"/>
          <w:color w:val="666666"/>
          <w:sz w:val="20"/>
          <w:szCs w:val="20"/>
        </w:rPr>
        <w:t xml:space="preserve">Autor / implementador: Codex   ·   Revisor independente: Claude</w:t>
      </w:r>
    </w:p>
    <w:p>
      <w:pPr>
        <w:spacing w:after="600"/>
        <w:jc w:val="center"/>
      </w:pPr>
      <w:r>
        <w:rPr>
          <w:rFonts w:ascii="Calibri" w:cs="Calibri" w:eastAsia="Calibri" w:hAnsi="Calibri"/>
          <w:color w:val="666666"/>
          <w:sz w:val="20"/>
          <w:szCs w:val="20"/>
        </w:rPr>
        <w:t xml:space="preserve">Versão 3 — 17 de setembro de 2026 (auditoria do commit 1fd22ff e teste discriminante de TL)</w:t>
      </w:r>
    </w:p>
    <w:p>
      <w:r>
        <w:br w:type="page"/>
      </w:r>
    </w:p>
    <w:p>
      <w:pPr>
        <w:pStyle w:val="Heading1"/>
        <w:spacing w:after="200" w:before="360"/>
      </w:pPr>
      <w:r>
        <w:rPr>
          <w:rFonts w:ascii="Calibri" w:cs="Calibri" w:eastAsia="Calibri" w:hAnsi="Calibri"/>
          <w:b/>
          <w:bCs/>
          <w:color w:val="9B2C5E"/>
          <w:sz w:val="30"/>
          <w:szCs w:val="30"/>
        </w:rPr>
        <w:t xml:space="preserve">0. Como usar este documento</w:t>
      </w:r>
    </w:p>
    <w:p>
      <w:pPr>
        <w:spacing w:after="120" w:before="0"/>
      </w:pPr>
      <w:r>
        <w:rPr>
          <w:rFonts w:ascii="Calibri" w:cs="Calibri" w:eastAsia="Calibri" w:hAnsi="Calibri"/>
          <w:sz w:val="20"/>
          <w:szCs w:val="20"/>
        </w:rPr>
        <w:t xml:space="preserve">Este arquivo existe por um motivo prático: garantir que nada citado no TCC fique sem fonte rastreável, e que nenhuma decisão tomada ao longo do trabalho se perca porque ninguém lembrou de anotar.</w:t>
      </w:r>
    </w:p>
    <w:p>
      <w:pPr>
        <w:spacing w:after="120" w:before="0"/>
      </w:pPr>
      <w:r>
        <w:rPr>
          <w:rFonts w:ascii="Calibri" w:cs="Calibri" w:eastAsia="Calibri" w:hAnsi="Calibri"/>
          <w:sz w:val="20"/>
          <w:szCs w:val="20"/>
        </w:rPr>
        <w:t xml:space="preserve">A regra é simples — o documento só cresce. Decisões revistas não são apagadas: ganham uma linha de revisão. Fontes descartadas ficam registradas com o motivo do descarte, porque saber o que foi considerado e rejeitado é parte do trabalho.</w:t>
      </w:r>
    </w:p>
    <w:p>
      <w:pPr>
        <w:pStyle w:val="Heading3"/>
        <w:spacing w:after="100" w:before="220"/>
      </w:pPr>
      <w:r>
        <w:rPr>
          <w:rFonts w:ascii="Calibri" w:cs="Calibri" w:eastAsia="Calibri" w:hAnsi="Calibri"/>
          <w:b/>
          <w:bCs/>
          <w:color w:val="333333"/>
          <w:sz w:val="21"/>
          <w:szCs w:val="21"/>
        </w:rPr>
        <w:t xml:space="preserve">A coluna que mais importa: estado de verificação</w:t>
      </w:r>
    </w:p>
    <w:p>
      <w:pPr>
        <w:spacing w:after="120" w:before="0"/>
      </w:pPr>
      <w:r>
        <w:rPr>
          <w:rFonts w:ascii="Calibri" w:cs="Calibri" w:eastAsia="Calibri" w:hAnsi="Calibri"/>
          <w:sz w:val="20"/>
          <w:szCs w:val="20"/>
        </w:rPr>
        <w:t xml:space="preserve">Toda fonte deste documento carrega um dos quatro estados abaixo. Nenhuma fonte marcada com os dois últimos estados pode ir para a monografia sem antes ser obtida e lida.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9B2C5E" w:color="auto" w:val="clear"/>
            <w:tcMar>
              <w:top w:type="dxa" w:w="80"/>
              <w:left w:type="dxa" w:w="100"/>
              <w:bottom w:type="dxa" w:w="80"/>
              <w:right w:type="dxa" w:w="100"/>
            </w:tcMar>
          </w:tcPr>
          <w:p>
            <w:r>
              <w:rPr>
                <w:rFonts w:ascii="Calibri" w:cs="Calibri" w:eastAsia="Calibri" w:hAnsi="Calibri"/>
                <w:b/>
                <w:bCs/>
                <w:color w:val="FFFFFF"/>
                <w:sz w:val="18"/>
                <w:szCs w:val="18"/>
              </w:rPr>
              <w:t xml:space="preserve">Estado</w:t>
            </w:r>
          </w:p>
        </w:tc>
        <w:tc>
          <w:tcPr>
            <w:tcW w:type="dxa" w:w="7100"/>
            <w:shd w:fill="9B2C5E" w:color="auto" w:val="clear"/>
            <w:tcMar>
              <w:top w:type="dxa" w:w="80"/>
              <w:left w:type="dxa" w:w="100"/>
              <w:bottom w:type="dxa" w:w="80"/>
              <w:right w:type="dxa" w:w="100"/>
            </w:tcMar>
          </w:tcPr>
          <w:p>
            <w:r>
              <w:rPr>
                <w:rFonts w:ascii="Calibri" w:cs="Calibri" w:eastAsia="Calibri" w:hAnsi="Calibri"/>
                <w:b/>
                <w:bCs/>
                <w:color w:val="FFFFFF"/>
                <w:sz w:val="18"/>
                <w:szCs w:val="18"/>
              </w:rPr>
              <w:t xml:space="preserve">Significado</w:t>
            </w:r>
          </w:p>
        </w:tc>
      </w:tr>
      <w:tr>
        <w:trPr>
          <w:cantSplit/>
        </w:trPr>
        <w:tc>
          <w:tcPr>
            <w:tcW w:type="dxa" w:w="2600"/>
            <w:tcMar>
              <w:top w:type="dxa" w:w="80"/>
              <w:left w:type="dxa" w:w="100"/>
              <w:bottom w:type="dxa" w:w="80"/>
              <w:right w:type="dxa" w:w="100"/>
            </w:tcMar>
          </w:tcPr>
          <w:p>
            <w:pPr>
              <w:spacing w:after="40"/>
            </w:pPr>
            <w:r>
              <w:rPr>
                <w:rFonts w:ascii="Calibri" w:cs="Calibri" w:eastAsia="Calibri" w:hAnsi="Calibri"/>
                <w:b/>
                <w:bCs/>
                <w:color w:val="1E6B3A"/>
                <w:sz w:val="18"/>
                <w:szCs w:val="18"/>
              </w:rPr>
              <w:t xml:space="preserve">TEXTO LIDO</w:t>
            </w:r>
          </w:p>
        </w:tc>
        <w:tc>
          <w:tcPr>
            <w:tcW w:type="dxa" w:w="7100"/>
            <w:tcMar>
              <w:top w:type="dxa" w:w="80"/>
              <w:left w:type="dxa" w:w="100"/>
              <w:bottom w:type="dxa" w:w="80"/>
              <w:right w:type="dxa" w:w="100"/>
            </w:tcMar>
          </w:tcPr>
          <w:p>
            <w:pPr>
              <w:spacing w:after="40"/>
            </w:pPr>
            <w:r>
              <w:rPr>
                <w:rFonts w:ascii="Calibri" w:cs="Calibri" w:eastAsia="Calibri" w:hAnsi="Calibri"/>
                <w:sz w:val="18"/>
                <w:szCs w:val="18"/>
              </w:rPr>
              <w:t xml:space="preserve">O texto integral foi obtido e a afirmação que a fonte sustenta foi conferida contra o que está escrito nele. Pode ser citada.</w:t>
            </w:r>
          </w:p>
        </w:tc>
      </w:tr>
      <w:tr>
        <w:trPr>
          <w:cantSplit/>
        </w:trPr>
        <w:tc>
          <w:tcPr>
            <w:tcW w:type="dxa" w:w="2600"/>
            <w:shd w:fill="F2F2F2" w:color="auto" w:val="clear"/>
            <w:tcMar>
              <w:top w:type="dxa" w:w="80"/>
              <w:left w:type="dxa" w:w="100"/>
              <w:bottom w:type="dxa" w:w="80"/>
              <w:right w:type="dxa" w:w="100"/>
            </w:tcMar>
          </w:tcPr>
          <w:p>
            <w:pPr>
              <w:spacing w:after="40"/>
            </w:pPr>
            <w:r>
              <w:rPr>
                <w:rFonts w:ascii="Calibri" w:cs="Calibri" w:eastAsia="Calibri" w:hAnsi="Calibri"/>
                <w:b/>
                <w:bCs/>
                <w:color w:val="8A6300"/>
                <w:sz w:val="18"/>
                <w:szCs w:val="18"/>
              </w:rPr>
              <w:t xml:space="preserve">DADO RECALCULADO</w:t>
            </w:r>
          </w:p>
        </w:tc>
        <w:tc>
          <w:tcPr>
            <w:tcW w:type="dxa" w:w="71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Além do texto, os dados depositados foram baixados e reanalisados de forma independente, reproduzindo os números publicados. É o estado mais forte.</w:t>
            </w:r>
          </w:p>
        </w:tc>
      </w:tr>
      <w:tr>
        <w:trPr>
          <w:cantSplit/>
        </w:trPr>
        <w:tc>
          <w:tcPr>
            <w:tcW w:type="dxa" w:w="2600"/>
            <w:tcMar>
              <w:top w:type="dxa" w:w="80"/>
              <w:left w:type="dxa" w:w="100"/>
              <w:bottom w:type="dxa" w:w="80"/>
              <w:right w:type="dxa" w:w="100"/>
            </w:tcMar>
          </w:tcPr>
          <w:p>
            <w:pPr>
              <w:spacing w:after="40"/>
            </w:pPr>
            <w:r>
              <w:rPr>
                <w:rFonts w:ascii="Calibri" w:cs="Calibri" w:eastAsia="Calibri" w:hAnsi="Calibri"/>
                <w:b/>
                <w:bCs/>
                <w:color w:val="8A6300"/>
                <w:sz w:val="18"/>
                <w:szCs w:val="18"/>
              </w:rPr>
              <w:t xml:space="preserve">METADADOS CONFERIDOS</w:t>
            </w:r>
          </w:p>
        </w:tc>
        <w:tc>
          <w:tcPr>
            <w:tcW w:type="dxa" w:w="7100"/>
            <w:tcMar>
              <w:top w:type="dxa" w:w="80"/>
              <w:left w:type="dxa" w:w="100"/>
              <w:bottom w:type="dxa" w:w="80"/>
              <w:right w:type="dxa" w:w="100"/>
            </w:tcMar>
          </w:tcPr>
          <w:p>
            <w:pPr>
              <w:spacing w:after="40"/>
            </w:pPr>
            <w:r>
              <w:rPr>
                <w:rFonts w:ascii="Calibri" w:cs="Calibri" w:eastAsia="Calibri" w:hAnsi="Calibri"/>
                <w:sz w:val="18"/>
                <w:szCs w:val="18"/>
              </w:rPr>
              <w:t xml:space="preserve">Autoria, ano, veículo e identificador foram conferidos, mas o conteúdo não foi lido por inteiro. Serve para localizar e baixar; NÃO serve para citar uma afirmação específica.</w:t>
            </w:r>
          </w:p>
        </w:tc>
      </w:tr>
      <w:tr>
        <w:trPr>
          <w:cantSplit/>
        </w:trPr>
        <w:tc>
          <w:tcPr>
            <w:tcW w:type="dxa" w:w="2600"/>
            <w:shd w:fill="F2F2F2" w:color="auto" w:val="clear"/>
            <w:tcMar>
              <w:top w:type="dxa" w:w="80"/>
              <w:left w:type="dxa" w:w="100"/>
              <w:bottom w:type="dxa" w:w="80"/>
              <w:right w:type="dxa" w:w="100"/>
            </w:tcMar>
          </w:tcPr>
          <w:p>
            <w:pPr>
              <w:spacing w:after="40"/>
            </w:pPr>
            <w:r>
              <w:rPr>
                <w:rFonts w:ascii="Calibri" w:cs="Calibri" w:eastAsia="Calibri" w:hAnsi="Calibri"/>
                <w:b/>
                <w:bCs/>
                <w:color w:val="9C2B1B"/>
                <w:sz w:val="18"/>
                <w:szCs w:val="18"/>
              </w:rPr>
              <w:t xml:space="preserve">NÃO VERIFICADA</w:t>
            </w:r>
          </w:p>
        </w:tc>
        <w:tc>
          <w:tcPr>
            <w:tcW w:type="dxa" w:w="71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A referência chegou por terceiros (indicação, resumo de outra ferramenta, compilação secundária) e não foi conferida na origem. Não citar.</w:t>
            </w:r>
          </w:p>
        </w:tc>
      </w:tr>
    </w:tbl>
    <w:p>
      <w:pPr>
        <w:spacing w:after="120" w:before="0"/>
      </w:pPr>
      <w:r>
        <w:rPr>
          <w:rFonts w:ascii="Calibri" w:cs="Calibri" w:eastAsia="Calibri" w:hAnsi="Calibri"/>
          <w:i/>
          <w:iCs/>
          <w:color w:val="666666"/>
          <w:sz w:val="20"/>
          <w:szCs w:val="20"/>
        </w:rPr>
        <w:t xml:space="preserve">Observação de honestidade metodológica: eu marquei como NÃO VERIFICADA toda referência cujo identificador eu não consegui conferir na origem, mesmo quando a referência é conhecida e provavelmente correta. Preferi um documento com mais alertas do que um documento que induz você a citar algo que não foi checado.</w:t>
      </w:r>
    </w:p>
    <w:p>
      <w:pPr>
        <w:pStyle w:val="Heading3"/>
        <w:spacing w:after="100" w:before="220"/>
      </w:pPr>
      <w:r>
        <w:rPr>
          <w:rFonts w:ascii="Calibri" w:cs="Calibri" w:eastAsia="Calibri" w:hAnsi="Calibri"/>
          <w:b/>
          <w:bCs/>
          <w:color w:val="333333"/>
          <w:sz w:val="21"/>
          <w:szCs w:val="21"/>
        </w:rPr>
        <w:t xml:space="preserve">Quem é canônico para quê — leia antes de usar este arquivo</w:t>
      </w:r>
    </w:p>
    <w:p>
      <w:pPr>
        <w:spacing w:after="120" w:before="0"/>
      </w:pPr>
      <w:r>
        <w:rPr>
          <w:rFonts w:ascii="Calibri" w:cs="Calibri" w:eastAsia="Calibri" w:hAnsi="Calibri"/>
          <w:sz w:val="20"/>
          <w:szCs w:val="20"/>
        </w:rPr>
        <w:t xml:space="preserve">O repositório já tinha dois registros quando este Word foi criado. Três documentos concorrentes sobre as mesmas fontes é pior do que nenhum, então a divisão é esta e não deve ser quebrada: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9B2C5E" w:color="auto" w:val="clear"/>
            <w:tcMar>
              <w:top w:type="dxa" w:w="80"/>
              <w:left w:type="dxa" w:w="100"/>
              <w:bottom w:type="dxa" w:w="80"/>
              <w:right w:type="dxa" w:w="100"/>
            </w:tcMar>
          </w:tcPr>
          <w:p>
            <w:r>
              <w:rPr>
                <w:rFonts w:ascii="Calibri" w:cs="Calibri" w:eastAsia="Calibri" w:hAnsi="Calibri"/>
                <w:b/>
                <w:bCs/>
                <w:color w:val="FFFFFF"/>
                <w:sz w:val="18"/>
                <w:szCs w:val="18"/>
              </w:rPr>
              <w:t xml:space="preserve">Documento</w:t>
            </w:r>
          </w:p>
        </w:tc>
        <w:tc>
          <w:tcPr>
            <w:tcW w:type="dxa" w:w="7100"/>
            <w:shd w:fill="9B2C5E" w:color="auto" w:val="clear"/>
            <w:tcMar>
              <w:top w:type="dxa" w:w="80"/>
              <w:left w:type="dxa" w:w="100"/>
              <w:bottom w:type="dxa" w:w="80"/>
              <w:right w:type="dxa" w:w="100"/>
            </w:tcMar>
          </w:tcPr>
          <w:p>
            <w:r>
              <w:rPr>
                <w:rFonts w:ascii="Calibri" w:cs="Calibri" w:eastAsia="Calibri" w:hAnsi="Calibri"/>
                <w:b/>
                <w:bCs/>
                <w:color w:val="FFFFFF"/>
                <w:sz w:val="18"/>
                <w:szCs w:val="18"/>
              </w:rPr>
              <w:t xml:space="preserve">É canônico para</w:t>
            </w:r>
          </w:p>
        </w:tc>
      </w:tr>
      <w:tr>
        <w:trPr>
          <w:cantSplit/>
        </w:trPr>
        <w:tc>
          <w:tcPr>
            <w:tcW w:type="dxa" w:w="2600"/>
            <w:tcMar>
              <w:top w:type="dxa" w:w="80"/>
              <w:left w:type="dxa" w:w="100"/>
              <w:bottom w:type="dxa" w:w="80"/>
              <w:right w:type="dxa" w:w="100"/>
            </w:tcMar>
          </w:tcPr>
          <w:p>
            <w:pPr>
              <w:spacing w:after="40"/>
            </w:pPr>
            <w:r>
              <w:rPr>
                <w:rFonts w:ascii="Calibri" w:cs="Calibri" w:eastAsia="Calibri" w:hAnsi="Calibri"/>
                <w:b/>
                <w:bCs/>
                <w:sz w:val="20"/>
                <w:szCs w:val="20"/>
              </w:rPr>
              <w:t xml:space="preserve">projeto/04_FONTES.md</w:t>
            </w:r>
          </w:p>
        </w:tc>
        <w:tc>
          <w:tcPr>
            <w:tcW w:type="dxa" w:w="7100"/>
            <w:tcMar>
              <w:top w:type="dxa" w:w="80"/>
              <w:left w:type="dxa" w:w="100"/>
              <w:bottom w:type="dxa" w:w="80"/>
              <w:right w:type="dxa" w:w="100"/>
            </w:tcMar>
          </w:tcPr>
          <w:p>
            <w:pPr>
              <w:spacing w:after="40"/>
            </w:pPr>
            <w:r>
              <w:rPr>
                <w:rFonts w:ascii="Calibri" w:cs="Calibri" w:eastAsia="Calibri" w:hAnsi="Calibri"/>
                <w:sz w:val="18"/>
                <w:szCs w:val="18"/>
              </w:rPr>
              <w:t xml:space="preserve">O CATÁLOGO DE FONTES. Toda referência, com link, o que sustenta e — a parte que mais importa — o que ela NÃO sustenta. Qualquer fonte nova entra ali primeiro. Este Word não redefine o estado de nenhuma fonte que já esteja lá.</w:t>
            </w:r>
          </w:p>
        </w:tc>
      </w:tr>
      <w:tr>
        <w:trPr>
          <w:cantSplit/>
        </w:trPr>
        <w:tc>
          <w:tcPr>
            <w:tcW w:type="dxa" w:w="2600"/>
            <w:shd w:fill="F2F2F2" w:color="auto" w:val="clear"/>
            <w:tcMar>
              <w:top w:type="dxa" w:w="80"/>
              <w:left w:type="dxa" w:w="100"/>
              <w:bottom w:type="dxa" w:w="80"/>
              <w:right w:type="dxa" w:w="100"/>
            </w:tcMar>
          </w:tcPr>
          <w:p>
            <w:pPr>
              <w:spacing w:after="40"/>
            </w:pPr>
            <w:r>
              <w:rPr>
                <w:rFonts w:ascii="Calibri" w:cs="Calibri" w:eastAsia="Calibri" w:hAnsi="Calibri"/>
                <w:b/>
                <w:bCs/>
                <w:sz w:val="20"/>
                <w:szCs w:val="20"/>
              </w:rPr>
              <w:t xml:space="preserve">docs/registro_de_decisoes.md</w:t>
            </w:r>
          </w:p>
        </w:tc>
        <w:tc>
          <w:tcPr>
            <w:tcW w:type="dxa" w:w="71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AS DECISÕES DO PIPELINE, com as marcas [LITERATURA] / [DECISÃO] / [ACHADO] / [ABERTO]. Limpeza D″, auditoria da base NASA, construção do proxy de dificuldade. É o registro mais detalhado e mais antigo do trabalho.</w:t>
            </w:r>
          </w:p>
        </w:tc>
      </w:tr>
      <w:tr>
        <w:trPr>
          <w:cantSplit/>
        </w:trPr>
        <w:tc>
          <w:tcPr>
            <w:tcW w:type="dxa" w:w="2600"/>
            <w:tcMar>
              <w:top w:type="dxa" w:w="80"/>
              <w:left w:type="dxa" w:w="100"/>
              <w:bottom w:type="dxa" w:w="80"/>
              <w:right w:type="dxa" w:w="100"/>
            </w:tcMar>
          </w:tcPr>
          <w:p>
            <w:pPr>
              <w:spacing w:after="40"/>
            </w:pPr>
            <w:r>
              <w:rPr>
                <w:rFonts w:ascii="Calibri" w:cs="Calibri" w:eastAsia="Calibri" w:hAnsi="Calibri"/>
                <w:b/>
                <w:bCs/>
                <w:sz w:val="20"/>
                <w:szCs w:val="20"/>
              </w:rPr>
              <w:t xml:space="preserve">Este Word (projeto/18)</w:t>
            </w:r>
          </w:p>
        </w:tc>
        <w:tc>
          <w:tcPr>
            <w:tcW w:type="dxa" w:w="7100"/>
            <w:tcMar>
              <w:top w:type="dxa" w:w="80"/>
              <w:left w:type="dxa" w:w="100"/>
              <w:bottom w:type="dxa" w:w="80"/>
              <w:right w:type="dxa" w:w="100"/>
            </w:tcMar>
          </w:tcPr>
          <w:p>
            <w:pPr>
              <w:spacing w:after="40"/>
            </w:pPr>
            <w:r>
              <w:rPr>
                <w:rFonts w:ascii="Calibri" w:cs="Calibri" w:eastAsia="Calibri" w:hAnsi="Calibri"/>
                <w:sz w:val="18"/>
                <w:szCs w:val="18"/>
              </w:rPr>
              <w:t xml:space="preserve">A CAMADA DA REVISÃO INDEPENDENTE: decisões negociadas entre autora e revisor, achados da auditoria adversarial, retratações do revisor e gargalos abertos. Quando cita uma fonte, aponta para o 04_FONTES em vez de repetir o estado dela.</w:t>
            </w:r>
          </w:p>
        </w:tc>
      </w:tr>
    </w:tbl>
    <w:p>
      <w:pPr>
        <w:spacing w:after="120" w:before="0"/>
      </w:pPr>
      <w:r>
        <w:rPr>
          <w:rFonts w:ascii="Calibri" w:cs="Calibri" w:eastAsia="Calibri" w:hAnsi="Calibri"/>
          <w:b/>
          <w:bCs/>
          <w:sz w:val="20"/>
          <w:szCs w:val="20"/>
        </w:rPr>
        <w:t xml:space="preserve">Regra prática: fonte nova vai para o 04_FONTES. Decisão de pipeline vai para o registro_de_decisoes. Decisão de revisão, achado adversarial ou retratação vem para cá.</w:t>
      </w:r>
    </w:p>
    <w:p>
      <w:r>
        <w:br w:type="page"/>
      </w:r>
    </w:p>
    <w:p>
      <w:pPr>
        <w:pStyle w:val="Heading1"/>
        <w:spacing w:after="200" w:before="360"/>
      </w:pPr>
      <w:r>
        <w:rPr>
          <w:rFonts w:ascii="Calibri" w:cs="Calibri" w:eastAsia="Calibri" w:hAnsi="Calibri"/>
          <w:b/>
          <w:bCs/>
          <w:color w:val="9B2C5E"/>
          <w:sz w:val="30"/>
          <w:szCs w:val="30"/>
        </w:rPr>
        <w:t xml:space="preserve">1. Registro de decisões</w:t>
      </w:r>
    </w:p>
    <w:p>
      <w:pPr>
        <w:spacing w:after="120" w:before="0"/>
      </w:pPr>
      <w:r>
        <w:rPr>
          <w:rFonts w:ascii="Calibri" w:cs="Calibri" w:eastAsia="Calibri" w:hAnsi="Calibri"/>
          <w:sz w:val="20"/>
          <w:szCs w:val="20"/>
        </w:rPr>
        <w:t xml:space="preserve">Ordem aproximada de quando cada ponto foi fechado. Cada decisão traz a base que a sustenta e, quando existe, a ressalva que limita o quanto ela pode ser afirmada.</w:t>
      </w:r>
    </w:p>
    <w:p>
      <w:pPr>
        <w:pStyle w:val="Heading2"/>
        <w:spacing w:after="140" w:before="280"/>
      </w:pPr>
      <w:r>
        <w:rPr>
          <w:rFonts w:ascii="Calibri" w:cs="Calibri" w:eastAsia="Calibri" w:hAnsi="Calibri"/>
          <w:b/>
          <w:bCs/>
          <w:color w:val="5E1B39"/>
          <w:sz w:val="24"/>
          <w:szCs w:val="24"/>
        </w:rPr>
        <w:t xml:space="preserve">D-01 — A lei de confiança τ(t) passa a ser a Eq. (4) de Crowder et al. (2012)</w:t>
      </w:r>
    </w:p>
    <w:p>
      <w:pPr>
        <w:spacing w:after="90"/>
        <w:ind w:left="200"/>
      </w:pPr>
      <w:r>
        <w:rPr>
          <w:rFonts w:ascii="Calibri" w:cs="Calibri" w:eastAsia="Calibri" w:hAnsi="Calibri"/>
          <w:b/>
          <w:bCs/>
          <w:color w:val="9B2C5E"/>
          <w:sz w:val="20"/>
          <w:szCs w:val="20"/>
        </w:rPr>
        <w:t xml:space="preserve">Decisão:  </w:t>
      </w:r>
      <w:r>
        <w:rPr>
          <w:rFonts w:ascii="Calibri" w:cs="Calibri" w:eastAsia="Calibri" w:hAnsi="Calibri"/>
          <w:sz w:val="20"/>
          <w:szCs w:val="20"/>
        </w:rPr>
        <w:t xml:space="preserve">Adotar a equação (4) de Crowder et al. (2012) como lei de atualização da confiança entre agentes, na forma normalizada, com quatro condições de contorno: ΔC limitado a no máximo 0,30 por evento; reset da confiança por subtarefa; três contadores separados de evento (sucesso, recusa, bloqueio); e a MESMA lei aplicada nos dois braços de governança, para que a diferença entre arranjos venha do arranjo e não da lei.</w:t>
      </w:r>
    </w:p>
    <w:p>
      <w:pPr>
        <w:spacing w:after="90"/>
        <w:ind w:left="200"/>
      </w:pPr>
      <w:r>
        <w:rPr>
          <w:rFonts w:ascii="Calibri" w:cs="Calibri" w:eastAsia="Calibri" w:hAnsi="Calibri"/>
          <w:b/>
          <w:bCs/>
          <w:color w:val="9B2C5E"/>
          <w:sz w:val="20"/>
          <w:szCs w:val="20"/>
        </w:rPr>
        <w:t xml:space="preserve">Base:  </w:t>
      </w:r>
      <w:r>
        <w:rPr>
          <w:rFonts w:ascii="Calibri" w:cs="Calibri" w:eastAsia="Calibri" w:hAnsi="Calibri"/>
          <w:sz w:val="20"/>
          <w:szCs w:val="20"/>
        </w:rPr>
        <w:t xml:space="preserve">Crowder, Robinson, Hughes &amp; Sim (2012), equação (4). O PDF está nos arquivos do projeto e a equação foi lida literalmente — não parafraseada de resumo. Na forma em que o 04_FONTES.md já a registra: ΔC = [15 + 3(C_k − C)] / 100.</w:t>
      </w:r>
    </w:p>
    <w:p>
      <w:pPr>
        <w:spacing w:after="90"/>
        <w:ind w:left="200"/>
      </w:pPr>
      <w:r>
        <w:rPr>
          <w:rFonts w:ascii="Calibri" w:cs="Calibri" w:eastAsia="Calibri" w:hAnsi="Calibri"/>
          <w:b/>
          <w:bCs/>
          <w:color w:val="9B2C5E"/>
          <w:sz w:val="20"/>
          <w:szCs w:val="20"/>
        </w:rPr>
        <w:t xml:space="preserve">Condições de contorno que vêm do próprio artigo:  </w:t>
      </w:r>
      <w:r>
        <w:rPr>
          <w:rFonts w:ascii="Calibri" w:cs="Calibri" w:eastAsia="Calibri" w:hAnsi="Calibri"/>
          <w:sz w:val="20"/>
          <w:szCs w:val="20"/>
        </w:rPr>
        <w:t xml:space="preserve">o 04_FONTES.md já registrava três, e elas não são opcionais: ΔC ∈ [0 ; 0,3]; a competência após ajuda não ultrapassa a dificuldade da subtarefa; e </w:t>
      </w:r>
      <w:r>
        <w:rPr>
          <w:rFonts w:ascii="Calibri" w:cs="Calibri" w:eastAsia="Calibri" w:hAnsi="Calibri"/>
          <w:b/>
          <w:bCs/>
          <w:sz w:val="20"/>
          <w:szCs w:val="20"/>
        </w:rPr>
        <w:t xml:space="preserve">ao terminar a subtarefa a competência volta ao valor inicial</w:t>
      </w:r>
      <w:r>
        <w:rPr>
          <w:rFonts w:ascii="Calibri" w:cs="Calibri" w:eastAsia="Calibri" w:hAnsi="Calibri"/>
          <w:sz w:val="20"/>
          <w:szCs w:val="20"/>
        </w:rPr>
        <w:t xml:space="preserve">. O código atual faz o ganho ser permanente — divergência registrada como item C6. Ou o reset é implementado, ou o trabalho passa a declarar que usa a fórmula de Crowder dentro de uma dinâmica diferente da dele. Uma das duas; não as duas.</w:t>
      </w:r>
    </w:p>
    <w:p>
      <w:pPr>
        <w:spacing w:after="120" w:before="0"/>
      </w:pPr>
      <w:r>
        <w:rPr>
          <w:rFonts w:ascii="Calibri" w:cs="Calibri" w:eastAsia="Calibri" w:hAnsi="Calibri"/>
          <w:b/>
          <w:bCs/>
          <w:color w:val="9B2C5E"/>
          <w:sz w:val="20"/>
          <w:szCs w:val="20"/>
        </w:rPr>
        <w:t xml:space="preserve">Estado:  </w:t>
      </w:r>
      <w:r>
        <w:rPr>
          <w:rFonts w:ascii="Calibri" w:cs="Calibri" w:eastAsia="Calibri" w:hAnsi="Calibri"/>
          <w:sz w:val="20"/>
          <w:szCs w:val="20"/>
        </w:rPr>
        <w:t xml:space="preserve">decidida. Implementação encaminhada ao Codex; ainda não conferida no código.</w:t>
      </w:r>
    </w:p>
    <w:p>
      <w:pPr>
        <w:spacing w:after="90"/>
        <w:ind w:left="200"/>
      </w:pPr>
      <w:r>
        <w:rPr>
          <w:rFonts w:ascii="Calibri" w:cs="Calibri" w:eastAsia="Calibri" w:hAnsi="Calibri"/>
          <w:b/>
          <w:bCs/>
          <w:color w:val="9B2C5E"/>
          <w:sz w:val="20"/>
          <w:szCs w:val="20"/>
        </w:rPr>
        <w:t xml:space="preserve">Ressalva (importante):  </w:t>
      </w:r>
      <w:r>
        <w:rPr>
          <w:rFonts w:ascii="Calibri" w:cs="Calibri" w:eastAsia="Calibri" w:hAnsi="Calibri"/>
          <w:sz w:val="20"/>
          <w:szCs w:val="20"/>
        </w:rPr>
        <w:t xml:space="preserve">as duas “leis de confiança” presentes no MVP </w:t>
      </w:r>
      <w:r>
        <w:rPr>
          <w:rFonts w:ascii="Calibri" w:cs="Calibri" w:eastAsia="Calibri" w:hAnsi="Calibri"/>
          <w:i/>
          <w:iCs/>
          <w:sz w:val="20"/>
          <w:szCs w:val="20"/>
        </w:rPr>
        <w:t xml:space="preserve">efd81b7</w:t>
      </w:r>
      <w:r>
        <w:rPr>
          <w:rFonts w:ascii="Calibri" w:cs="Calibri" w:eastAsia="Calibri" w:hAnsi="Calibri"/>
          <w:sz w:val="20"/>
          <w:szCs w:val="20"/>
        </w:rPr>
        <w:t xml:space="preserve"> — parametrizadas por taxa_aprendizado = 0,05, incremento_sucesso = 0,02 e decremento_recusa = 0,01 — </w:t>
      </w:r>
      <w:r>
        <w:rPr>
          <w:rFonts w:ascii="Calibri" w:cs="Calibri" w:eastAsia="Calibri" w:hAnsi="Calibri"/>
          <w:b/>
          <w:bCs/>
          <w:sz w:val="20"/>
          <w:szCs w:val="20"/>
        </w:rPr>
        <w:t xml:space="preserve">não vêm de Crowder</w:t>
      </w:r>
      <w:r>
        <w:rPr>
          <w:rFonts w:ascii="Calibri" w:cs="Calibri" w:eastAsia="Calibri" w:hAnsi="Calibri"/>
          <w:sz w:val="20"/>
          <w:szCs w:val="20"/>
        </w:rPr>
        <w:t xml:space="preserve">. São invenção do simulador. Não podem ser citadas como derivadas desse artigo nem de qualquer outro. Ou são substituídas pela Eq. (4), ou são declaradas como escolha arbitrária do modelo.</w:t>
      </w:r>
    </w:p>
    <w:p>
      <w:pPr>
        <w:pBdr>
          <w:bottom w:val="single" w:color="D9A8C0" w:sz="6"/>
        </w:pBdr>
        <w:spacing w:after="160" w:before="60"/>
      </w:pPr>
      <w:r>
        <w:rPr>
          <w:sz w:val="2"/>
          <w:szCs w:val="2"/>
        </w:rPr>
        <w:t xml:space="preserve"/>
      </w:r>
    </w:p>
    <w:p>
      <w:pPr>
        <w:pStyle w:val="Heading2"/>
        <w:spacing w:after="140" w:before="280"/>
      </w:pPr>
      <w:r>
        <w:rPr>
          <w:rFonts w:ascii="Calibri" w:cs="Calibri" w:eastAsia="Calibri" w:hAnsi="Calibri"/>
          <w:b/>
          <w:bCs/>
          <w:color w:val="5E1B39"/>
          <w:sz w:val="24"/>
          <w:szCs w:val="24"/>
        </w:rPr>
        <w:t xml:space="preserve">D-02 — ρ_omissão fixado em 0,35, com faixa de sensibilidade [0,20 ; 0,50]</w:t>
      </w:r>
    </w:p>
    <w:p>
      <w:pPr>
        <w:spacing w:after="90"/>
        <w:ind w:left="200"/>
      </w:pPr>
      <w:r>
        <w:rPr>
          <w:rFonts w:ascii="Calibri" w:cs="Calibri" w:eastAsia="Calibri" w:hAnsi="Calibri"/>
          <w:b/>
          <w:bCs/>
          <w:color w:val="9B2C5E"/>
          <w:sz w:val="20"/>
          <w:szCs w:val="20"/>
        </w:rPr>
        <w:t xml:space="preserve">Decisão:  </w:t>
      </w:r>
      <w:r>
        <w:rPr>
          <w:rFonts w:ascii="Calibri" w:cs="Calibri" w:eastAsia="Calibri" w:hAnsi="Calibri"/>
          <w:sz w:val="20"/>
          <w:szCs w:val="20"/>
        </w:rPr>
        <w:t xml:space="preserve">O acréscimo de risco de erro atribuído à Porta 1 (omissão/heurística) entra como ρ_omissão = 0,35, varrido entre 0,20 e 0,50 na análise de sensibilidade. A formulação é q = max(0, 2·p_heu − 1); p_falha,P1 = 1 − (1 − p₀)(1 − ρ_omissão·q); p_falha,P3 = p₀ — o que dá, algebraicamente, (p_falha − p₀)/(1 − p₀) = ρ·q.</w:t>
      </w:r>
    </w:p>
    <w:p>
      <w:pPr>
        <w:spacing w:after="90"/>
        <w:ind w:left="200"/>
      </w:pPr>
      <w:r>
        <w:rPr>
          <w:rFonts w:ascii="Calibri" w:cs="Calibri" w:eastAsia="Calibri" w:hAnsi="Calibri"/>
          <w:b/>
          <w:bCs/>
          <w:color w:val="9B2C5E"/>
          <w:sz w:val="20"/>
          <w:szCs w:val="20"/>
        </w:rPr>
        <w:t xml:space="preserve">Base:  </w:t>
      </w:r>
      <w:r>
        <w:rPr>
          <w:rFonts w:ascii="Calibri" w:cs="Calibri" w:eastAsia="Calibri" w:hAnsi="Calibri"/>
          <w:sz w:val="20"/>
          <w:szCs w:val="20"/>
        </w:rPr>
        <w:t xml:space="preserve">Dados humanos depositados no OSF q2dm6, acompanhando o estudo de leitura sob restrição de tempo. Recalculei o efeito a partir do CSV bruto: a queda de compreensão sob o prazo mais apertado é ε(30 s) = 0,2680, IC95% pareado [0,1973 ; 0,3387], n = 32; sob prazo intermediário, ε(60 s) = 0,1014 [0,0357 ; 0,1671]. Em 29 dos 32 participantes o efeito é positivo. A razão de forma ε(30)/ε(60) = 2,489.</w:t>
      </w:r>
    </w:p>
    <w:p>
      <w:pPr>
        <w:spacing w:after="90"/>
        <w:ind w:left="200"/>
      </w:pPr>
      <w:r>
        <w:rPr>
          <w:rFonts w:ascii="Calibri" w:cs="Calibri" w:eastAsia="Calibri" w:hAnsi="Calibri"/>
          <w:b/>
          <w:bCs/>
          <w:color w:val="9B2C5E"/>
          <w:sz w:val="20"/>
          <w:szCs w:val="20"/>
        </w:rPr>
        <w:t xml:space="preserve">Reprodução independente:  </w:t>
      </w:r>
      <w:r>
        <w:rPr>
          <w:rFonts w:ascii="Calibri" w:cs="Calibri" w:eastAsia="Calibri" w:hAnsi="Calibri"/>
          <w:sz w:val="20"/>
          <w:szCs w:val="20"/>
        </w:rPr>
        <w:t xml:space="preserve">o arquivo depositado tem 32 participantes × 9 estímulos = 288 ensaios, com 96/96/96 por condição e exatamente 3 ensaios por célula. As médias que eu calculei reproduzem as publicadas (0,5917 contra 0,59; 0,8250 contra 0,83). Ou seja: o depósito reproduz o artigo. Esse é o teste de confiabilidade que importa.</w:t>
      </w:r>
    </w:p>
    <w:p>
      <w:pPr>
        <w:spacing w:after="90"/>
        <w:ind w:left="200"/>
      </w:pPr>
      <w:r>
        <w:rPr>
          <w:rFonts w:ascii="Calibri" w:cs="Calibri" w:eastAsia="Calibri" w:hAnsi="Calibri"/>
          <w:b/>
          <w:bCs/>
          <w:color w:val="9B2C5E"/>
          <w:sz w:val="20"/>
          <w:szCs w:val="20"/>
        </w:rPr>
        <w:t xml:space="preserve">Suporte de construto (não de valor):  </w:t>
      </w:r>
      <w:r>
        <w:rPr>
          <w:rFonts w:ascii="Calibri" w:cs="Calibri" w:eastAsia="Calibri" w:hAnsi="Calibri"/>
          <w:sz w:val="20"/>
          <w:szCs w:val="20"/>
        </w:rPr>
        <w:t xml:space="preserve">Szalma, Hancock &amp; Quinn (2008) — meta-análise de 125 estudos e 827 tamanhos de efeito — registra que a pressão de tempo facilita velocidade e prejudica acurácia em tarefas perceptuais e cognitivas, com variabilidade substancial entre estudos. Essa variabilidade é, por si só, o argumento para tratar ρ como faixa e não como ponto.</w:t>
      </w:r>
    </w:p>
    <w:p>
      <w:pPr>
        <w:spacing w:after="90"/>
        <w:ind w:left="200"/>
      </w:pPr>
      <w:r>
        <w:rPr>
          <w:rFonts w:ascii="Calibri" w:cs="Calibri" w:eastAsia="Calibri" w:hAnsi="Calibri"/>
          <w:b/>
          <w:bCs/>
          <w:color w:val="9B2C5E"/>
          <w:sz w:val="20"/>
          <w:szCs w:val="20"/>
        </w:rPr>
        <w:t xml:space="preserve">Ressalva:  </w:t>
      </w:r>
      <w:r>
        <w:rPr>
          <w:rFonts w:ascii="Calibri" w:cs="Calibri" w:eastAsia="Calibri" w:hAnsi="Calibri"/>
          <w:sz w:val="20"/>
          <w:szCs w:val="20"/>
        </w:rPr>
        <w:t xml:space="preserve">o dado mede compreensão de leitura sob prazo imposto por experimentador, não execução de tarefa de engenharia por equipe. A transferência de domínio é real e </w:t>
      </w:r>
      <w:r>
        <w:rPr>
          <w:rFonts w:ascii="Calibri" w:cs="Calibri" w:eastAsia="Calibri" w:hAnsi="Calibri"/>
          <w:b/>
          <w:bCs/>
          <w:sz w:val="20"/>
          <w:szCs w:val="20"/>
        </w:rPr>
        <w:t xml:space="preserve">deve aparecer como limitação declarada</w:t>
      </w:r>
      <w:r>
        <w:rPr>
          <w:rFonts w:ascii="Calibri" w:cs="Calibri" w:eastAsia="Calibri" w:hAnsi="Calibri"/>
          <w:sz w:val="20"/>
          <w:szCs w:val="20"/>
        </w:rPr>
        <w:t xml:space="preserve"> na monografia, não ser escondida atrás do número.</w:t>
      </w:r>
    </w:p>
    <w:p>
      <w:pPr>
        <w:pBdr>
          <w:bottom w:val="single" w:color="D9A8C0" w:sz="6"/>
        </w:pBdr>
        <w:spacing w:after="160" w:before="60"/>
      </w:pPr>
      <w:r>
        <w:rPr>
          <w:sz w:val="2"/>
          <w:szCs w:val="2"/>
        </w:rPr>
        <w:t xml:space="preserve"/>
      </w:r>
    </w:p>
    <w:p>
      <w:pPr>
        <w:pStyle w:val="Heading2"/>
        <w:spacing w:after="140" w:before="280"/>
      </w:pPr>
      <w:r>
        <w:rPr>
          <w:rFonts w:ascii="Calibri" w:cs="Calibri" w:eastAsia="Calibri" w:hAnsi="Calibri"/>
          <w:b/>
          <w:bCs/>
          <w:color w:val="5E1B39"/>
          <w:sz w:val="24"/>
          <w:szCs w:val="24"/>
        </w:rPr>
        <w:t xml:space="preserve">D-03 — f_atalho permanece EM ABERTO (sem fonte)</w:t>
      </w:r>
    </w:p>
    <w:p>
      <w:pPr>
        <w:spacing w:after="90"/>
        <w:ind w:left="200"/>
      </w:pPr>
      <w:r>
        <w:rPr>
          <w:rFonts w:ascii="Calibri" w:cs="Calibri" w:eastAsia="Calibri" w:hAnsi="Calibri"/>
          <w:b/>
          <w:bCs/>
          <w:color w:val="9B2C5E"/>
          <w:sz w:val="20"/>
          <w:szCs w:val="20"/>
        </w:rPr>
        <w:t xml:space="preserve">Decisão:  </w:t>
      </w:r>
      <w:r>
        <w:rPr>
          <w:rFonts w:ascii="Calibri" w:cs="Calibri" w:eastAsia="Calibri" w:hAnsi="Calibri"/>
          <w:sz w:val="20"/>
          <w:szCs w:val="20"/>
        </w:rPr>
        <w:t xml:space="preserve">nenhum valor externo sustenta hoje o fator de encurtamento de duração da Porta 1. O default </w:t>
      </w:r>
      <w:r>
        <w:rPr>
          <w:rFonts w:ascii="Calibri" w:cs="Calibri" w:eastAsia="Calibri" w:hAnsi="Calibri"/>
          <w:i/>
          <w:iCs/>
          <w:sz w:val="20"/>
          <w:szCs w:val="20"/>
        </w:rPr>
        <w:t xml:space="preserve">fator_omissao = 0,75</w:t>
      </w:r>
      <w:r>
        <w:rPr>
          <w:rFonts w:ascii="Calibri" w:cs="Calibri" w:eastAsia="Calibri" w:hAnsi="Calibri"/>
          <w:sz w:val="20"/>
          <w:szCs w:val="20"/>
        </w:rPr>
        <w:t xml:space="preserve"> do MVP é escolha do implementador, sem base empírica. Entra como parâmetro de sensibilidade explicitamente declarado, </w:t>
      </w:r>
      <w:r>
        <w:rPr>
          <w:rFonts w:ascii="Calibri" w:cs="Calibri" w:eastAsia="Calibri" w:hAnsi="Calibri"/>
          <w:b/>
          <w:bCs/>
          <w:sz w:val="20"/>
          <w:szCs w:val="20"/>
        </w:rPr>
        <w:t xml:space="preserve">nunca</w:t>
      </w:r>
      <w:r>
        <w:rPr>
          <w:rFonts w:ascii="Calibri" w:cs="Calibri" w:eastAsia="Calibri" w:hAnsi="Calibri"/>
          <w:sz w:val="20"/>
          <w:szCs w:val="20"/>
        </w:rPr>
        <w:t xml:space="preserve"> como valor calibrado ou ancorado.</w:t>
      </w:r>
    </w:p>
    <w:p>
      <w:pPr>
        <w:spacing w:after="90"/>
        <w:ind w:left="200"/>
      </w:pPr>
      <w:r>
        <w:rPr>
          <w:rFonts w:ascii="Calibri" w:cs="Calibri" w:eastAsia="Calibri" w:hAnsi="Calibri"/>
          <w:b/>
          <w:bCs/>
          <w:color w:val="9B2C5E"/>
          <w:sz w:val="20"/>
          <w:szCs w:val="20"/>
        </w:rPr>
        <w:t xml:space="preserve">Retratação associada:  </w:t>
      </w:r>
      <w:r>
        <w:rPr>
          <w:rFonts w:ascii="Calibri" w:cs="Calibri" w:eastAsia="Calibri" w:hAnsi="Calibri"/>
          <w:sz w:val="20"/>
          <w:szCs w:val="20"/>
        </w:rPr>
        <w:t xml:space="preserve">eu havia derivado f_atalho ≈ 0,87 do mesmo estudo de leitura. </w:t>
      </w:r>
      <w:r>
        <w:rPr>
          <w:rFonts w:ascii="Calibri" w:cs="Calibri" w:eastAsia="Calibri" w:hAnsi="Calibri"/>
          <w:b/>
          <w:bCs/>
          <w:color w:val="9C2B1B"/>
          <w:sz w:val="20"/>
          <w:szCs w:val="20"/>
        </w:rPr>
        <w:t xml:space="preserve">Esse valor está retirado.</w:t>
      </w:r>
      <w:r>
        <w:rPr>
          <w:rFonts w:ascii="Calibri" w:cs="Calibri" w:eastAsia="Calibri" w:hAnsi="Calibri"/>
          <w:sz w:val="20"/>
          <w:szCs w:val="20"/>
        </w:rPr>
        <w:t xml:space="preserve"> Ao obter o texto integral, confirmei que o orçamento de tempo era fixado pelo experimentador (30 / 60 / 90 s). A velocidade, ali, é resposta a um prazo imposto — não é o ganho intrínseco de adotar uma estratégia heurística. A direção causal é inversa à do modelo, onde o agente escolhe o atalho e o prazo é consequência. Ver R-01.</w:t>
      </w:r>
    </w:p>
    <w:p>
      <w:pPr>
        <w:pBdr>
          <w:bottom w:val="single" w:color="D9A8C0" w:sz="6"/>
        </w:pBdr>
        <w:spacing w:after="160" w:before="60"/>
      </w:pPr>
      <w:r>
        <w:rPr>
          <w:sz w:val="2"/>
          <w:szCs w:val="2"/>
        </w:rPr>
        <w:t xml:space="preserve"/>
      </w:r>
    </w:p>
    <w:p>
      <w:pPr>
        <w:pStyle w:val="Heading2"/>
        <w:spacing w:after="140" w:before="280"/>
      </w:pPr>
      <w:r>
        <w:rPr>
          <w:rFonts w:ascii="Calibri" w:cs="Calibri" w:eastAsia="Calibri" w:hAnsi="Calibri"/>
          <w:b/>
          <w:bCs/>
          <w:color w:val="5E1B39"/>
          <w:sz w:val="24"/>
          <w:szCs w:val="24"/>
        </w:rPr>
        <w:t xml:space="preserve">D-04 — A Porta 1 não é “Soluções Sintomáticas” no sentido do arquétipo</w:t>
      </w:r>
    </w:p>
    <w:p>
      <w:pPr>
        <w:spacing w:after="90"/>
        <w:ind w:left="200"/>
      </w:pPr>
      <w:r>
        <w:rPr>
          <w:rFonts w:ascii="Calibri" w:cs="Calibri" w:eastAsia="Calibri" w:hAnsi="Calibri"/>
          <w:b/>
          <w:bCs/>
          <w:color w:val="9B2C5E"/>
          <w:sz w:val="20"/>
          <w:szCs w:val="20"/>
        </w:rPr>
        <w:t xml:space="preserve">Decisão:  </w:t>
      </w:r>
      <w:r>
        <w:rPr>
          <w:rFonts w:ascii="Calibri" w:cs="Calibri" w:eastAsia="Calibri" w:hAnsi="Calibri"/>
          <w:sz w:val="20"/>
          <w:szCs w:val="20"/>
        </w:rPr>
        <w:t xml:space="preserve">O texto deixa de apresentar a Porta 1 como instância do arquétipo de Soluções Sintomáticas. O arquétipo exige alívio imediato acompanhado de custo diferido; o que o modelo produz hoje não satisfaz essa estrutura.</w:t>
      </w:r>
    </w:p>
    <w:p>
      <w:pPr>
        <w:spacing w:after="90"/>
        <w:ind w:left="200"/>
      </w:pPr>
      <w:r>
        <w:rPr>
          <w:rFonts w:ascii="Calibri" w:cs="Calibri" w:eastAsia="Calibri" w:hAnsi="Calibri"/>
          <w:b/>
          <w:bCs/>
          <w:color w:val="9B2C5E"/>
          <w:sz w:val="20"/>
          <w:szCs w:val="20"/>
        </w:rPr>
        <w:t xml:space="preserve">Base conceitual:  </w:t>
      </w:r>
      <w:r>
        <w:rPr>
          <w:rFonts w:ascii="Calibri" w:cs="Calibri" w:eastAsia="Calibri" w:hAnsi="Calibri"/>
          <w:sz w:val="20"/>
          <w:szCs w:val="20"/>
        </w:rPr>
        <w:t xml:space="preserve">Kim, Systems Thinking Tools (o PDF está nos arquivos do projeto) — definição do arquétipo.</w:t>
      </w:r>
    </w:p>
    <w:p>
      <w:pPr>
        <w:spacing w:after="90"/>
        <w:ind w:left="200"/>
      </w:pPr>
      <w:r>
        <w:rPr>
          <w:rFonts w:ascii="Calibri" w:cs="Calibri" w:eastAsia="Calibri" w:hAnsi="Calibri"/>
          <w:b/>
          <w:bCs/>
          <w:color w:val="9B2C5E"/>
          <w:sz w:val="20"/>
          <w:szCs w:val="20"/>
        </w:rPr>
        <w:t xml:space="preserve">Base empírica própria:  </w:t>
      </w:r>
      <w:r>
        <w:rPr>
          <w:rFonts w:ascii="Calibri" w:cs="Calibri" w:eastAsia="Calibri" w:hAnsi="Calibri"/>
          <w:sz w:val="20"/>
          <w:szCs w:val="20"/>
        </w:rPr>
        <w:t xml:space="preserve">teste local com 256 execuções, com controle positivo aprovado (a versão V0 reproduziu o cenário nominal exatamente: makespan 214, TW 663,0, TU 118,0, TR 55,2, taxa_omissao 0,15). A variante com apenas o atalho de tempo melhora todos os indicadores — sem custo diferido algum. A variante com atalho + erro garantido leva taxa_omissao a 0,51 e retrabalho a 46%. A direção do contraste nunca inverte; os contrastes de omissão e retrabalho crescem cerca de 3× e 4,5×. Trocar f_atalho de 0,87 para 0,70 muda os níveis, não o contraste.</w:t>
      </w:r>
    </w:p>
    <w:p>
      <w:pPr>
        <w:spacing w:after="90"/>
        <w:ind w:left="200"/>
      </w:pPr>
      <w:r>
        <w:rPr>
          <w:rFonts w:ascii="Calibri" w:cs="Calibri" w:eastAsia="Calibri" w:hAnsi="Calibri"/>
          <w:b/>
          <w:bCs/>
          <w:color w:val="9B2C5E"/>
          <w:sz w:val="20"/>
          <w:szCs w:val="20"/>
        </w:rPr>
        <w:t xml:space="preserve">Registrado em:  </w:t>
      </w:r>
      <w:r>
        <w:rPr>
          <w:rFonts w:ascii="Calibri" w:cs="Calibri" w:eastAsia="Calibri" w:hAnsi="Calibri"/>
          <w:sz w:val="20"/>
          <w:szCs w:val="20"/>
        </w:rPr>
        <w:t xml:space="preserve">pareceres 14 (Porta 1 não é satisficing) e 15 (teste local da Porta 1).</w:t>
      </w:r>
    </w:p>
    <w:p>
      <w:pPr>
        <w:pBdr>
          <w:bottom w:val="single" w:color="D9A8C0" w:sz="6"/>
        </w:pBdr>
        <w:spacing w:after="160" w:before="60"/>
      </w:pPr>
      <w:r>
        <w:rPr>
          <w:sz w:val="2"/>
          <w:szCs w:val="2"/>
        </w:rPr>
        <w:t xml:space="preserve"/>
      </w:r>
    </w:p>
    <w:p>
      <w:pPr>
        <w:pStyle w:val="Heading2"/>
        <w:spacing w:after="140" w:before="280"/>
      </w:pPr>
      <w:r>
        <w:rPr>
          <w:rFonts w:ascii="Calibri" w:cs="Calibri" w:eastAsia="Calibri" w:hAnsi="Calibri"/>
          <w:b/>
          <w:bCs/>
          <w:color w:val="5E1B39"/>
          <w:sz w:val="24"/>
          <w:szCs w:val="24"/>
        </w:rPr>
        <w:t xml:space="preserve">D-05 — Di deixa de ser chamado de “dificuldade” e passa a índice de demanda operacional</w:t>
      </w:r>
    </w:p>
    <w:p>
      <w:pPr>
        <w:spacing w:after="90"/>
        <w:ind w:left="200"/>
      </w:pPr>
      <w:r>
        <w:rPr>
          <w:rFonts w:ascii="Calibri" w:cs="Calibri" w:eastAsia="Calibri" w:hAnsi="Calibri"/>
          <w:b/>
          <w:bCs/>
          <w:color w:val="9B2C5E"/>
          <w:sz w:val="20"/>
          <w:szCs w:val="20"/>
        </w:rPr>
        <w:t xml:space="preserve">Decisão:  </w:t>
      </w:r>
      <w:r>
        <w:rPr>
          <w:rFonts w:ascii="Calibri" w:cs="Calibri" w:eastAsia="Calibri" w:hAnsi="Calibri"/>
          <w:sz w:val="20"/>
          <w:szCs w:val="20"/>
        </w:rPr>
        <w:t xml:space="preserve">A variável Di = (1/3)·duracao_norm + (1/3)·intensidade_norm + (1/3)·criticidade_folga é renomeada e redescrita como índice de demanda operacional da tarefa. Não é complexidade cognitiva e não deve ser apresentada como tal.</w:t>
      </w:r>
    </w:p>
    <w:p>
      <w:pPr>
        <w:spacing w:after="90"/>
        <w:ind w:left="200"/>
      </w:pPr>
      <w:r>
        <w:rPr>
          <w:rFonts w:ascii="Calibri" w:cs="Calibri" w:eastAsia="Calibri" w:hAnsi="Calibri"/>
          <w:b/>
          <w:bCs/>
          <w:color w:val="9B2C5E"/>
          <w:sz w:val="20"/>
          <w:szCs w:val="20"/>
        </w:rPr>
        <w:t xml:space="preserve">Base:  </w:t>
      </w:r>
      <w:r>
        <w:rPr>
          <w:rFonts w:ascii="Calibri" w:cs="Calibri" w:eastAsia="Calibri" w:hAnsi="Calibri"/>
          <w:sz w:val="20"/>
          <w:szCs w:val="20"/>
        </w:rPr>
        <w:t xml:space="preserve">A própria composição da fórmula. Verifiquei que Di é dominado por duracao_norm (r = +0,710) e que criticidade_sucessores — que o texto sugeria fazer parte da noção — tem r = +0,068 com Di e não aparece na fórmula. Além disso, comparando Di ao conteúdo de trabalho WC = d·Σ r/R, a correlação de Pearson é +0,647 mas a concordância de faixa é de apenas 49,7%: é uma reordenação real das tarefas, não um mero rótulo diferente.</w:t>
      </w:r>
    </w:p>
    <w:p>
      <w:pPr>
        <w:spacing w:after="90"/>
        <w:ind w:left="200"/>
      </w:pPr>
      <w:r>
        <w:rPr>
          <w:rFonts w:ascii="Calibri" w:cs="Calibri" w:eastAsia="Calibri" w:hAnsi="Calibri"/>
          <w:b/>
          <w:bCs/>
          <w:color w:val="9B2C5E"/>
          <w:sz w:val="20"/>
          <w:szCs w:val="20"/>
        </w:rPr>
        <w:t xml:space="preserve">Literatura de apoio para o construto:  </w:t>
      </w:r>
      <w:r>
        <w:rPr>
          <w:rFonts w:ascii="Calibri" w:cs="Calibri" w:eastAsia="Calibri" w:hAnsi="Calibri"/>
          <w:sz w:val="20"/>
          <w:szCs w:val="20"/>
        </w:rPr>
        <w:t xml:space="preserve">Wood (1986) e Liu &amp; Li (2012), sobre a definição e a conceitualização de complexidade de tarefa — usados para justificar por que o que Di mede não é o que a literatura chama de complexidade.</w:t>
      </w:r>
    </w:p>
    <w:p>
      <w:pPr>
        <w:spacing w:after="90"/>
        <w:ind w:left="200"/>
      </w:pPr>
      <w:r>
        <w:rPr>
          <w:rFonts w:ascii="Calibri" w:cs="Calibri" w:eastAsia="Calibri" w:hAnsi="Calibri"/>
          <w:b/>
          <w:bCs/>
          <w:color w:val="9B2C5E"/>
          <w:sz w:val="20"/>
          <w:szCs w:val="20"/>
        </w:rPr>
        <w:t xml:space="preserve">Precedente no próprio repositório:  </w:t>
      </w:r>
      <w:r>
        <w:rPr>
          <w:rFonts w:ascii="Calibri" w:cs="Calibri" w:eastAsia="Calibri" w:hAnsi="Calibri"/>
          <w:sz w:val="20"/>
          <w:szCs w:val="20"/>
        </w:rPr>
        <w:t xml:space="preserve">o 04_FONTES.md já havia corrigido uma atribuição imprópria do mesmo tipo — a formulação preliminar atribuía Di a De Reyck &amp; Herroelen (1996), que caracterizam complexidade DA REDE INTEIRA e não um índice por atividade. A referência foi realocada para caracterização de rede. D-05 é a continuação dessa mesma correção, agora no nome da variável.</w:t>
      </w:r>
    </w:p>
    <w:p>
      <w:pPr>
        <w:pBdr>
          <w:bottom w:val="single" w:color="D9A8C0" w:sz="6"/>
        </w:pBdr>
        <w:spacing w:after="160" w:before="60"/>
      </w:pPr>
      <w:r>
        <w:rPr>
          <w:sz w:val="2"/>
          <w:szCs w:val="2"/>
        </w:rPr>
        <w:t xml:space="preserve"/>
      </w:r>
    </w:p>
    <w:p>
      <w:pPr>
        <w:pStyle w:val="Heading2"/>
        <w:spacing w:after="140" w:before="280"/>
      </w:pPr>
      <w:r>
        <w:rPr>
          <w:rFonts w:ascii="Calibri" w:cs="Calibri" w:eastAsia="Calibri" w:hAnsi="Calibri"/>
          <w:b/>
          <w:bCs/>
          <w:color w:val="5E1B39"/>
          <w:sz w:val="24"/>
          <w:szCs w:val="24"/>
        </w:rPr>
        <w:t xml:space="preserve">D-06 — A camada NASA carrega apenas o gradiente ordinal, nunca o nível absoluto</w:t>
      </w:r>
    </w:p>
    <w:p>
      <w:pPr>
        <w:spacing w:after="90"/>
        <w:ind w:left="200"/>
      </w:pPr>
      <w:r>
        <w:rPr>
          <w:rFonts w:ascii="Calibri" w:cs="Calibri" w:eastAsia="Calibri" w:hAnsi="Calibri"/>
          <w:b/>
          <w:bCs/>
          <w:color w:val="9B2C5E"/>
          <w:sz w:val="20"/>
          <w:szCs w:val="20"/>
        </w:rPr>
        <w:t xml:space="preserve">Decisão:  </w:t>
      </w:r>
      <w:r>
        <w:rPr>
          <w:rFonts w:ascii="Calibri" w:cs="Calibri" w:eastAsia="Calibri" w:hAnsi="Calibri"/>
          <w:sz w:val="20"/>
          <w:szCs w:val="20"/>
        </w:rPr>
        <w:t xml:space="preserve">A transferência a partir dos conjuntos de defeitos da NASA passa a sustentar somente o crescimento relativo de risco entre faixas de complexidade. O nível absoluto de F_ancora vem de outra fonte (ver D-07).</w:t>
      </w:r>
    </w:p>
    <w:p>
      <w:pPr>
        <w:spacing w:after="90"/>
        <w:ind w:left="200"/>
      </w:pPr>
      <w:r>
        <w:rPr>
          <w:rFonts w:ascii="Calibri" w:cs="Calibri" w:eastAsia="Calibri" w:hAnsi="Calibri"/>
          <w:b/>
          <w:bCs/>
          <w:color w:val="9B2C5E"/>
          <w:sz w:val="20"/>
          <w:szCs w:val="20"/>
        </w:rPr>
        <w:t xml:space="preserve">Base e pendência:  </w:t>
      </w:r>
      <w:r>
        <w:rPr>
          <w:rFonts w:ascii="Calibri" w:cs="Calibri" w:eastAsia="Calibri" w:hAnsi="Calibri"/>
          <w:sz w:val="20"/>
          <w:szCs w:val="20"/>
        </w:rPr>
        <w:t xml:space="preserve">Verificações próprias mostraram que o confundimento por tamanho não sobrevive ao controle: a razão de chances por complexidade ciclomática é 0,944 (p = 0,166, negativa); a métrica DESIGN dá 1,098 (p = 0,028) mas morre sob correção de Holm; Halstead é significativamente negativa. O eixo de linhas de código dá um gradiente mais acentuado (até 5,37 contra 2,99) e mais preciso (z = 34,3 contra 25,6).</w:t>
      </w:r>
    </w:p>
    <w:p>
      <w:pPr>
        <w:spacing w:after="90"/>
        <w:ind w:left="200"/>
      </w:pPr>
      <w:r>
        <w:rPr>
          <w:rFonts w:ascii="Calibri" w:cs="Calibri" w:eastAsia="Calibri" w:hAnsi="Calibri"/>
          <w:b/>
          <w:bCs/>
          <w:color w:val="9B2C5E"/>
          <w:sz w:val="20"/>
          <w:szCs w:val="20"/>
        </w:rPr>
        <w:t xml:space="preserve">Correção que eu precisei fazer:  </w:t>
      </w:r>
      <w:r>
        <w:rPr>
          <w:rFonts w:ascii="Calibri" w:cs="Calibri" w:eastAsia="Calibri" w:hAnsi="Calibri"/>
          <w:sz w:val="20"/>
          <w:szCs w:val="20"/>
        </w:rPr>
        <w:t xml:space="preserve">eu havia descrito essa mudança como “renomear” o gradiente. Está errado e você apontou corretamente: multiplicadores calculados sobre quartis de complexidade ciclomática </w:t>
      </w:r>
      <w:r>
        <w:rPr>
          <w:rFonts w:ascii="Calibri" w:cs="Calibri" w:eastAsia="Calibri" w:hAnsi="Calibri"/>
          <w:b/>
          <w:bCs/>
          <w:sz w:val="20"/>
          <w:szCs w:val="20"/>
        </w:rPr>
        <w:t xml:space="preserve">não podem ser rerrotulados</w:t>
      </w:r>
      <w:r>
        <w:rPr>
          <w:rFonts w:ascii="Calibri" w:cs="Calibri" w:eastAsia="Calibri" w:hAnsi="Calibri"/>
          <w:sz w:val="20"/>
          <w:szCs w:val="20"/>
        </w:rPr>
        <w:t xml:space="preserve"> como gradiente de tamanho depois do fato. O recálculo sobre linhas de código é </w:t>
      </w:r>
      <w:r>
        <w:rPr>
          <w:rFonts w:ascii="Calibri" w:cs="Calibri" w:eastAsia="Calibri" w:hAnsi="Calibri"/>
          <w:b/>
          <w:bCs/>
          <w:sz w:val="20"/>
          <w:szCs w:val="20"/>
        </w:rPr>
        <w:t xml:space="preserve">necessário</w:t>
      </w:r>
      <w:r>
        <w:rPr>
          <w:rFonts w:ascii="Calibri" w:cs="Calibri" w:eastAsia="Calibri" w:hAnsi="Calibri"/>
          <w:sz w:val="20"/>
          <w:szCs w:val="20"/>
        </w:rPr>
        <w:t xml:space="preserve">, não é uma conferência opcional — os próprios números que eu reportei (2,99 contra 5,37) já mostravam que o resultado muda. Ver R-04.</w:t>
      </w:r>
    </w:p>
    <w:p>
      <w:pPr>
        <w:spacing w:after="90"/>
        <w:ind w:left="200"/>
      </w:pPr>
      <w:r>
        <w:rPr>
          <w:rFonts w:ascii="Calibri" w:cs="Calibri" w:eastAsia="Calibri" w:hAnsi="Calibri"/>
          <w:b/>
          <w:bCs/>
          <w:color w:val="9B2C5E"/>
          <w:sz w:val="20"/>
          <w:szCs w:val="20"/>
        </w:rPr>
        <w:t xml:space="preserve">Qualidade do dado-fonte:  </w:t>
      </w:r>
      <w:r>
        <w:rPr>
          <w:rFonts w:ascii="Calibri" w:cs="Calibri" w:eastAsia="Calibri" w:hAnsi="Calibri"/>
          <w:sz w:val="20"/>
          <w:szCs w:val="20"/>
        </w:rPr>
        <w:t xml:space="preserve">Shepperd, Song, Sun &amp; Mair (2013) documentam problemas de qualidade nos conjuntos de defeitos da NASA (duplicatas, inconsistências, valores impossíveis) e publicam versões limpas. Qualquer uso desses dados no TCC precisa dizer qual versão foi usada.</w:t>
      </w:r>
    </w:p>
    <w:p>
      <w:pPr>
        <w:pBdr>
          <w:bottom w:val="single" w:color="D9A8C0" w:sz="6"/>
        </w:pBdr>
        <w:spacing w:after="160" w:before="60"/>
      </w:pPr>
      <w:r>
        <w:rPr>
          <w:sz w:val="2"/>
          <w:szCs w:val="2"/>
        </w:rPr>
        <w:t xml:space="preserve"/>
      </w:r>
    </w:p>
    <w:p>
      <w:pPr>
        <w:pStyle w:val="Heading2"/>
        <w:spacing w:after="140" w:before="280"/>
      </w:pPr>
      <w:r>
        <w:rPr>
          <w:rFonts w:ascii="Calibri" w:cs="Calibri" w:eastAsia="Calibri" w:hAnsi="Calibri"/>
          <w:b/>
          <w:bCs/>
          <w:color w:val="5E1B39"/>
          <w:sz w:val="24"/>
          <w:szCs w:val="24"/>
        </w:rPr>
        <w:t xml:space="preserve">D-07 — Ancoragem externa de F_ancora e do produto F × f — aceita com ressalva forte</w:t>
      </w:r>
    </w:p>
    <w:p>
      <w:pPr>
        <w:spacing w:after="90"/>
        <w:ind w:left="200"/>
      </w:pPr>
      <w:r>
        <w:rPr>
          <w:rFonts w:ascii="Calibri" w:cs="Calibri" w:eastAsia="Calibri" w:hAnsi="Calibri"/>
          <w:b/>
          <w:bCs/>
          <w:color w:val="9B2C5E"/>
          <w:sz w:val="20"/>
          <w:szCs w:val="20"/>
        </w:rPr>
        <w:t xml:space="preserve">Decisão:  </w:t>
      </w:r>
      <w:r>
        <w:rPr>
          <w:rFonts w:ascii="Calibri" w:cs="Calibri" w:eastAsia="Calibri" w:hAnsi="Calibri"/>
          <w:sz w:val="20"/>
          <w:szCs w:val="20"/>
        </w:rPr>
        <w:t xml:space="preserve">Duas literaturas independentes restringem dois parâmetros diferentes. A literatura de confiabilidade humana (HEART e similares) restringe a probabilidade de erro por tarefa, isto é, F_ancora. A literatura empírica de custo de retrabalho (CII, Love, Hwang) restringe o produto F_ancora × f_retrabalho. Duas restrições externas, dois parâmetros — o sistema fecha, e isso resolve pelo lado de fora o que a calibração não separa por dentro (ver A-01).</w:t>
      </w:r>
    </w:p>
    <w:p>
      <w:pPr>
        <w:spacing w:after="90"/>
        <w:ind w:left="200"/>
      </w:pPr>
      <w:r>
        <w:rPr>
          <w:rFonts w:ascii="Calibri" w:cs="Calibri" w:eastAsia="Calibri" w:hAnsi="Calibri"/>
          <w:b/>
          <w:bCs/>
          <w:color w:val="9B2C5E"/>
          <w:sz w:val="20"/>
          <w:szCs w:val="20"/>
        </w:rPr>
        <w:t xml:space="preserve">Ressalva que invalida o uso ingênuo:  </w:t>
      </w:r>
      <w:r>
        <w:rPr>
          <w:rFonts w:ascii="Calibri" w:cs="Calibri" w:eastAsia="Calibri" w:hAnsi="Calibri"/>
          <w:sz w:val="20"/>
          <w:szCs w:val="20"/>
        </w:rPr>
        <w:t xml:space="preserve">você levantou a objeção de unidade e fronteira de sistema, e ela procede integralmente. Registrada no §9 do parecer 12. São quatro descasamentos: </w:t>
      </w:r>
      <w:r>
        <w:rPr>
          <w:rFonts w:ascii="Calibri" w:cs="Calibri" w:eastAsia="Calibri" w:hAnsi="Calibri"/>
          <w:b/>
          <w:bCs/>
          <w:sz w:val="20"/>
          <w:szCs w:val="20"/>
        </w:rPr>
        <w:t xml:space="preserve">(i) nível de agregação</w:t>
      </w:r>
      <w:r>
        <w:rPr>
          <w:rFonts w:ascii="Calibri" w:cs="Calibri" w:eastAsia="Calibri" w:hAnsi="Calibri"/>
          <w:sz w:val="20"/>
          <w:szCs w:val="20"/>
        </w:rPr>
        <w:t xml:space="preserve"> — a probabilidade de erro humano do HEART é por passo elementar, enquanto uma atividade J60 agrega muitos passos; </w:t>
      </w:r>
      <w:r>
        <w:rPr>
          <w:rFonts w:ascii="Calibri" w:cs="Calibri" w:eastAsia="Calibri" w:hAnsi="Calibri"/>
          <w:b/>
          <w:bCs/>
          <w:sz w:val="20"/>
          <w:szCs w:val="20"/>
        </w:rPr>
        <w:t xml:space="preserve">(ii) denominador</w:t>
      </w:r>
      <w:r>
        <w:rPr>
          <w:rFonts w:ascii="Calibri" w:cs="Calibri" w:eastAsia="Calibri" w:hAnsi="Calibri"/>
          <w:sz w:val="20"/>
          <w:szCs w:val="20"/>
        </w:rPr>
        <w:t xml:space="preserve"> — a literatura de retrabalho mede custo, o modelo mede esforço; </w:t>
      </w:r>
      <w:r>
        <w:rPr>
          <w:rFonts w:ascii="Calibri" w:cs="Calibri" w:eastAsia="Calibri" w:hAnsi="Calibri"/>
          <w:b/>
          <w:bCs/>
          <w:sz w:val="20"/>
          <w:szCs w:val="20"/>
        </w:rPr>
        <w:t xml:space="preserve">(iii) numerador</w:t>
      </w:r>
      <w:r>
        <w:rPr>
          <w:rFonts w:ascii="Calibri" w:cs="Calibri" w:eastAsia="Calibri" w:hAnsi="Calibri"/>
          <w:sz w:val="20"/>
          <w:szCs w:val="20"/>
        </w:rPr>
        <w:t xml:space="preserve"> — o que conta como “retrabalho” difere entre as fontes; </w:t>
      </w:r>
      <w:r>
        <w:rPr>
          <w:rFonts w:ascii="Calibri" w:cs="Calibri" w:eastAsia="Calibri" w:hAnsi="Calibri"/>
          <w:b/>
          <w:bCs/>
          <w:sz w:val="20"/>
          <w:szCs w:val="20"/>
        </w:rPr>
        <w:t xml:space="preserve">(iv) descasamento interno</w:t>
      </w:r>
      <w:r>
        <w:rPr>
          <w:rFonts w:ascii="Calibri" w:cs="Calibri" w:eastAsia="Calibri" w:hAnsi="Calibri"/>
          <w:sz w:val="20"/>
          <w:szCs w:val="20"/>
        </w:rPr>
        <w:t xml:space="preserve"> — com F_ancora = 0,18 e f_retrabalho = 0,42 o produto é 0,0756, mas o observável do modelo dá 0,196, cerca de 2,6× o produto.</w:t>
      </w:r>
    </w:p>
    <w:p>
      <w:pPr>
        <w:spacing w:after="90"/>
        <w:ind w:left="200"/>
      </w:pPr>
      <w:r>
        <w:rPr>
          <w:rFonts w:ascii="Calibri" w:cs="Calibri" w:eastAsia="Calibri" w:hAnsi="Calibri"/>
          <w:b/>
          <w:bCs/>
          <w:color w:val="9B2C5E"/>
          <w:sz w:val="20"/>
          <w:szCs w:val="20"/>
        </w:rPr>
        <w:t xml:space="preserve">Estado:  </w:t>
      </w:r>
      <w:r>
        <w:rPr>
          <w:rFonts w:ascii="Calibri" w:cs="Calibri" w:eastAsia="Calibri" w:hAnsi="Calibri"/>
          <w:sz w:val="20"/>
          <w:szCs w:val="20"/>
        </w:rPr>
        <w:t xml:space="preserve">a ancoragem é a direção certa, mas a ponte de agregação entre passo elementar e pacote de trabalho é um dos três gargalos ainda abertos (ver seção 5).</w:t>
      </w:r>
    </w:p>
    <w:p>
      <w:pPr>
        <w:pBdr>
          <w:bottom w:val="single" w:color="D9A8C0" w:sz="6"/>
        </w:pBdr>
        <w:spacing w:after="160" w:before="60"/>
      </w:pPr>
      <w:r>
        <w:rPr>
          <w:sz w:val="2"/>
          <w:szCs w:val="2"/>
        </w:rPr>
        <w:t xml:space="preserve"/>
      </w:r>
    </w:p>
    <w:p>
      <w:pPr>
        <w:pStyle w:val="Heading2"/>
        <w:spacing w:after="140" w:before="280"/>
      </w:pPr>
      <w:r>
        <w:rPr>
          <w:rFonts w:ascii="Calibri" w:cs="Calibri" w:eastAsia="Calibri" w:hAnsi="Calibri"/>
          <w:b/>
          <w:bCs/>
          <w:color w:val="5E1B39"/>
          <w:sz w:val="24"/>
          <w:szCs w:val="24"/>
        </w:rPr>
        <w:t xml:space="preserve">D-08 — O 46% de retrabalho do modelo: a unidade bate, o domínio não</w:t>
      </w:r>
    </w:p>
    <w:p>
      <w:pPr>
        <w:spacing w:after="90"/>
        <w:ind w:left="200"/>
      </w:pPr>
      <w:r>
        <w:rPr>
          <w:rFonts w:ascii="Calibri" w:cs="Calibri" w:eastAsia="Calibri" w:hAnsi="Calibri"/>
          <w:b/>
          <w:bCs/>
          <w:color w:val="9B2C5E"/>
          <w:sz w:val="20"/>
          <w:szCs w:val="20"/>
        </w:rPr>
        <w:t xml:space="preserve">Histórico da decisão:  </w:t>
      </w:r>
      <w:r>
        <w:rPr>
          <w:rFonts w:ascii="Calibri" w:cs="Calibri" w:eastAsia="Calibri" w:hAnsi="Calibri"/>
          <w:sz w:val="20"/>
          <w:szCs w:val="20"/>
        </w:rPr>
        <w:t xml:space="preserve">eu afirmei que os 46% de retrabalho produzidos pela variante V2 estão “fora de qualquer leitura razoável” diante da faixa empírica de 4–11%. </w:t>
      </w:r>
      <w:r>
        <w:rPr>
          <w:rFonts w:ascii="Calibri" w:cs="Calibri" w:eastAsia="Calibri" w:hAnsi="Calibri"/>
          <w:b/>
          <w:bCs/>
          <w:color w:val="9C2B1B"/>
          <w:sz w:val="20"/>
          <w:szCs w:val="20"/>
        </w:rPr>
        <w:t xml:space="preserve">Isso foi exagero meu</w:t>
      </w:r>
      <w:r>
        <w:rPr>
          <w:rFonts w:ascii="Calibri" w:cs="Calibri" w:eastAsia="Calibri" w:hAnsi="Calibri"/>
          <w:sz w:val="20"/>
          <w:szCs w:val="20"/>
        </w:rPr>
        <w:t xml:space="preserve"> e você contrapôs com Boehm &amp; Basili, que reportam da ordem de 40–50% do esforço de software gasto em retrabalho evitável.</w:t>
      </w:r>
    </w:p>
    <w:p>
      <w:pPr>
        <w:spacing w:after="90"/>
        <w:ind w:left="200"/>
      </w:pPr>
      <w:r>
        <w:rPr>
          <w:rFonts w:ascii="Calibri" w:cs="Calibri" w:eastAsia="Calibri" w:hAnsi="Calibri"/>
          <w:b/>
          <w:bCs/>
          <w:color w:val="9B2C5E"/>
          <w:sz w:val="20"/>
          <w:szCs w:val="20"/>
        </w:rPr>
        <w:t xml:space="preserve">Segunda correção, esta mais séria:  </w:t>
      </w:r>
      <w:r>
        <w:rPr>
          <w:rFonts w:ascii="Calibri" w:cs="Calibri" w:eastAsia="Calibri" w:hAnsi="Calibri"/>
          <w:sz w:val="20"/>
          <w:szCs w:val="20"/>
        </w:rPr>
        <w:t xml:space="preserve">eu escrevi em seguida que “46% não é defensável nem refutável por falta de um comparador na mesma unidade”. </w:t>
      </w:r>
      <w:r>
        <w:rPr>
          <w:rFonts w:ascii="Calibri" w:cs="Calibri" w:eastAsia="Calibri" w:hAnsi="Calibri"/>
          <w:b/>
          <w:bCs/>
          <w:color w:val="9C2B1B"/>
          <w:sz w:val="20"/>
          <w:szCs w:val="20"/>
        </w:rPr>
        <w:t xml:space="preserve">Isso também está errado.</w:t>
      </w:r>
      <w:r>
        <w:rPr>
          <w:rFonts w:ascii="Calibri" w:cs="Calibri" w:eastAsia="Calibri" w:hAnsi="Calibri"/>
          <w:sz w:val="20"/>
          <w:szCs w:val="20"/>
        </w:rPr>
        <w:t xml:space="preserve"> O 04_FONTES.md do próprio repositório já registrava, verificado e com link que abre, que Boehm &amp; Basili (2001) medem </w:t>
      </w:r>
      <w:r>
        <w:rPr>
          <w:rFonts w:ascii="Calibri" w:cs="Calibri" w:eastAsia="Calibri" w:hAnsi="Calibri"/>
          <w:b/>
          <w:bCs/>
          <w:sz w:val="20"/>
          <w:szCs w:val="20"/>
        </w:rPr>
        <w:t xml:space="preserve">esforço</w:t>
      </w:r>
      <w:r>
        <w:rPr>
          <w:rFonts w:ascii="Calibri" w:cs="Calibri" w:eastAsia="Calibri" w:hAnsi="Calibri"/>
          <w:sz w:val="20"/>
          <w:szCs w:val="20"/>
        </w:rPr>
        <w:t xml:space="preserve"> — e anotava textualmente que é “a única referência na mesma unidade da saída do modelo”. O comparador de unidade existe e estava catalogado antes de eu escrever o contrário. Ver R-06.</w:t>
      </w:r>
    </w:p>
    <w:p>
      <w:pPr>
        <w:spacing w:after="90"/>
        <w:ind w:left="200"/>
      </w:pPr>
      <w:r>
        <w:rPr>
          <w:rFonts w:ascii="Calibri" w:cs="Calibri" w:eastAsia="Calibri" w:hAnsi="Calibri"/>
          <w:b/>
          <w:bCs/>
          <w:color w:val="9B2C5E"/>
          <w:sz w:val="20"/>
          <w:szCs w:val="20"/>
        </w:rPr>
        <w:t xml:space="preserve">Posição corrigida:  </w:t>
      </w:r>
      <w:r>
        <w:rPr>
          <w:rFonts w:ascii="Calibri" w:cs="Calibri" w:eastAsia="Calibri" w:hAnsi="Calibri"/>
          <w:sz w:val="20"/>
          <w:szCs w:val="20"/>
        </w:rPr>
        <w:t xml:space="preserve">a unidade bate — esforço contra esforço. O que não bate é o domínio: Boehm &amp; Basili medem desenvolvimento de software, e o modelo simula execução de projeto genérico sobre instâncias do PSPLIB J60. Então 46% não é absurdo do ponto de vista de grandeza; é uma comparação entre domínios diferentes, e é assim que precisa ser apresentado — com o empréstimo declarado, não escondido nem negado.</w:t>
      </w:r>
    </w:p>
    <w:p>
      <w:pPr>
        <w:spacing w:after="90"/>
        <w:ind w:left="200"/>
      </w:pPr>
      <w:r>
        <w:rPr>
          <w:rFonts w:ascii="Calibri" w:cs="Calibri" w:eastAsia="Calibri" w:hAnsi="Calibri"/>
          <w:b/>
          <w:bCs/>
          <w:color w:val="9B2C5E"/>
          <w:sz w:val="20"/>
          <w:szCs w:val="20"/>
        </w:rPr>
        <w:t xml:space="preserve">Contraste de denominadores que a leitura conjunta revelou:  </w:t>
      </w:r>
      <w:r>
        <w:rPr>
          <w:rFonts w:ascii="Calibri" w:cs="Calibri" w:eastAsia="Calibri" w:hAnsi="Calibri"/>
          <w:sz w:val="20"/>
          <w:szCs w:val="20"/>
        </w:rPr>
        <w:t xml:space="preserve">a compilação CMAA põe o retrabalho em 4–11% do CUSTO; Love (2026), verificado no 04_FONTES, põe em 0,38% do VALOR DE CONTRATO (máximo 3,67%; 0,76% incluindo pós-conclusão); Love &amp; Li (2000) em 3,15% e 2,40% do valor contratual; Boehm &amp; Basili em 40–50% do ESFORÇO. Essas quatro cifras não se contradizem — elas medem coisas diferentes. Qualquer uma citada sem o denominador ao lado vira erro.</w:t>
      </w:r>
    </w:p>
    <w:p>
      <w:pPr>
        <w:spacing w:after="90"/>
        <w:ind w:left="200"/>
      </w:pPr>
      <w:r>
        <w:rPr>
          <w:rFonts w:ascii="Calibri" w:cs="Calibri" w:eastAsia="Calibri" w:hAnsi="Calibri"/>
          <w:b/>
          <w:bCs/>
          <w:color w:val="9B2C5E"/>
          <w:sz w:val="20"/>
          <w:szCs w:val="20"/>
        </w:rPr>
        <w:t xml:space="preserve">Consequência prática:  </w:t>
      </w:r>
      <w:r>
        <w:rPr>
          <w:rFonts w:ascii="Calibri" w:cs="Calibri" w:eastAsia="Calibri" w:hAnsi="Calibri"/>
          <w:sz w:val="20"/>
          <w:szCs w:val="20"/>
        </w:rPr>
        <w:t xml:space="preserve">G-01 muda de natureza. Não é mais “achar um comparador na mesma unidade”, porque ele existe. É decidir e justificar se o empréstimo software → engenharia de projeto é aceitável, e com que ressalva. Ver seção 5.</w:t>
      </w:r>
    </w:p>
    <w:p>
      <w:pPr>
        <w:pBdr>
          <w:bottom w:val="single" w:color="D9A8C0" w:sz="6"/>
        </w:pBdr>
        <w:spacing w:after="160" w:before="60"/>
      </w:pPr>
      <w:r>
        <w:rPr>
          <w:sz w:val="2"/>
          <w:szCs w:val="2"/>
        </w:rPr>
        <w:t xml:space="preserve"/>
      </w:r>
    </w:p>
    <w:p>
      <w:pPr>
        <w:pStyle w:val="Heading2"/>
        <w:spacing w:after="140" w:before="280"/>
      </w:pPr>
      <w:r>
        <w:rPr>
          <w:rFonts w:ascii="Calibri" w:cs="Calibri" w:eastAsia="Calibri" w:hAnsi="Calibri"/>
          <w:b/>
          <w:bCs/>
          <w:color w:val="5E1B39"/>
          <w:sz w:val="24"/>
          <w:szCs w:val="24"/>
        </w:rPr>
        <w:t xml:space="preserve">D-09 — History Matching é eliminação de regiões implausíveis, não identificação do vetor verdadeiro</w:t>
      </w:r>
    </w:p>
    <w:p>
      <w:pPr>
        <w:spacing w:after="90"/>
        <w:ind w:left="200"/>
      </w:pPr>
      <w:r>
        <w:rPr>
          <w:rFonts w:ascii="Calibri" w:cs="Calibri" w:eastAsia="Calibri" w:hAnsi="Calibri"/>
          <w:b/>
          <w:bCs/>
          <w:color w:val="9B2C5E"/>
          <w:sz w:val="20"/>
          <w:szCs w:val="20"/>
        </w:rPr>
        <w:t xml:space="preserve">Decisão:  </w:t>
      </w:r>
      <w:r>
        <w:rPr>
          <w:rFonts w:ascii="Calibri" w:cs="Calibri" w:eastAsia="Calibri" w:hAnsi="Calibri"/>
          <w:sz w:val="20"/>
          <w:szCs w:val="20"/>
        </w:rPr>
        <w:t xml:space="preserve">Corrigir a linguagem, tanto nos pareceres quanto nos próprios scripts. O History Matching calcula a implausibilidade I(x) = maxⱼ |zⱼ − f̄ⱼ(x)| / √(V_obs + V_sim + V_mod), corta em 3, e devolve a região NROY (Not Ruled Out Yet). Ele descarta o que é implausível; não aponta o verdadeiro.</w:t>
      </w:r>
    </w:p>
    <w:p>
      <w:pPr>
        <w:spacing w:after="90"/>
        <w:ind w:left="200"/>
      </w:pPr>
      <w:r>
        <w:rPr>
          <w:rFonts w:ascii="Calibri" w:cs="Calibri" w:eastAsia="Calibri" w:hAnsi="Calibri"/>
          <w:b/>
          <w:bCs/>
          <w:color w:val="9B2C5E"/>
          <w:sz w:val="20"/>
          <w:szCs w:val="20"/>
        </w:rPr>
        <w:t xml:space="preserve">Base:  </w:t>
      </w:r>
      <w:r>
        <w:rPr>
          <w:rFonts w:ascii="Calibri" w:cs="Calibri" w:eastAsia="Calibri" w:hAnsi="Calibri"/>
          <w:sz w:val="20"/>
          <w:szCs w:val="20"/>
        </w:rPr>
        <w:t xml:space="preserve">Andrianakis et al. (2015), tutorial de History Matching bayesiano com emulação; Pukelsheim (1994) para a justificativa do corte em 3 desvios; McCulloch et al. (2022, JASSS) para o teste do gêmeo idêntico. As três já estão catalogadas e verificadas no 04_FONTES.md.</w:t>
      </w:r>
    </w:p>
    <w:p>
      <w:pPr>
        <w:spacing w:after="90"/>
        <w:ind w:left="200"/>
      </w:pPr>
      <w:r>
        <w:rPr>
          <w:rFonts w:ascii="Calibri" w:cs="Calibri" w:eastAsia="Calibri" w:hAnsi="Calibri"/>
          <w:b/>
          <w:bCs/>
          <w:color w:val="9B2C5E"/>
          <w:sz w:val="20"/>
          <w:szCs w:val="20"/>
        </w:rPr>
        <w:t xml:space="preserve">Precisão exigida pela fonte (do 04_FONTES, item E7):  </w:t>
      </w:r>
      <w:r>
        <w:rPr>
          <w:rFonts w:ascii="Calibri" w:cs="Calibri" w:eastAsia="Calibri" w:hAnsi="Calibri"/>
          <w:sz w:val="20"/>
          <w:szCs w:val="20"/>
        </w:rPr>
        <w:t xml:space="preserve">a desigualdade de Pukelsheim vale para distribuições com </w:t>
      </w:r>
      <w:r>
        <w:rPr>
          <w:rFonts w:ascii="Calibri" w:cs="Calibri" w:eastAsia="Calibri" w:hAnsi="Calibri"/>
          <w:b/>
          <w:bCs/>
          <w:sz w:val="20"/>
          <w:szCs w:val="20"/>
        </w:rPr>
        <w:t xml:space="preserve">densidade</w:t>
      </w:r>
      <w:r>
        <w:rPr>
          <w:rFonts w:ascii="Calibri" w:cs="Calibri" w:eastAsia="Calibri" w:hAnsi="Calibri"/>
          <w:sz w:val="20"/>
          <w:szCs w:val="20"/>
        </w:rPr>
        <w:t xml:space="preserve"> unimodal — não para “qualquer distribuição unimodal”. O texto precisa dizer isso. É o tipo exato de esticamento de citação que o 04_FONTES foi feito para impedir.</w:t>
      </w:r>
    </w:p>
    <w:p>
      <w:pPr>
        <w:spacing w:after="90"/>
        <w:ind w:left="200"/>
      </w:pPr>
      <w:r>
        <w:rPr>
          <w:rFonts w:ascii="Calibri" w:cs="Calibri" w:eastAsia="Calibri" w:hAnsi="Calibri"/>
          <w:b/>
          <w:bCs/>
          <w:color w:val="9B2C5E"/>
          <w:sz w:val="20"/>
          <w:szCs w:val="20"/>
        </w:rPr>
        <w:t xml:space="preserve">Reforço da limitação (do 04_FONTES):  </w:t>
      </w:r>
      <w:r>
        <w:rPr>
          <w:rFonts w:ascii="Calibri" w:cs="Calibri" w:eastAsia="Calibri" w:hAnsi="Calibri"/>
          <w:sz w:val="20"/>
          <w:szCs w:val="20"/>
        </w:rPr>
        <w:t xml:space="preserve">McCulloch et al. enfatizam que modelos reais sempre têm discrepância e que ignorá-la </w:t>
      </w:r>
      <w:r>
        <w:rPr>
          <w:rFonts w:ascii="Calibri" w:cs="Calibri" w:eastAsia="Calibri" w:hAnsi="Calibri"/>
          <w:b/>
          <w:bCs/>
          <w:sz w:val="20"/>
          <w:szCs w:val="20"/>
        </w:rPr>
        <w:t xml:space="preserve">prende os parâmetros ao modelo</w:t>
      </w:r>
      <w:r>
        <w:rPr>
          <w:rFonts w:ascii="Calibri" w:cs="Calibri" w:eastAsia="Calibri" w:hAnsi="Calibri"/>
          <w:sz w:val="20"/>
          <w:szCs w:val="20"/>
        </w:rPr>
        <w:t xml:space="preserve"> em vez de representá-los como grandezas fisicamente significativas. Isso não é um detalhe: é a justificativa publicada para D-11, que rebaixa a calibração a limitação declarada.</w:t>
      </w:r>
    </w:p>
    <w:p>
      <w:pPr>
        <w:spacing w:after="90"/>
        <w:ind w:left="200"/>
      </w:pPr>
      <w:r>
        <w:rPr>
          <w:rFonts w:ascii="Calibri" w:cs="Calibri" w:eastAsia="Calibri" w:hAnsi="Calibri"/>
          <w:b/>
          <w:bCs/>
          <w:color w:val="9B2C5E"/>
          <w:sz w:val="20"/>
          <w:szCs w:val="20"/>
        </w:rPr>
        <w:t xml:space="preserve">Correção registrada:  </w:t>
      </w:r>
      <w:r>
        <w:rPr>
          <w:rFonts w:ascii="Calibri" w:cs="Calibri" w:eastAsia="Calibri" w:hAnsi="Calibri"/>
          <w:sz w:val="20"/>
          <w:szCs w:val="20"/>
        </w:rPr>
        <w:t xml:space="preserve">eu mesmo havia escrito “identificar o vetor verdadeiro”. Concedido e corrigido — e a correção precisa chegar também à linguagem impressa pelos scripts, não só aos textos. Ver R-05.</w:t>
      </w:r>
    </w:p>
    <w:p>
      <w:pPr>
        <w:pBdr>
          <w:bottom w:val="single" w:color="D9A8C0" w:sz="6"/>
        </w:pBdr>
        <w:spacing w:after="160" w:before="60"/>
      </w:pPr>
      <w:r>
        <w:rPr>
          <w:sz w:val="2"/>
          <w:szCs w:val="2"/>
        </w:rPr>
        <w:t xml:space="preserve"/>
      </w:r>
    </w:p>
    <w:p>
      <w:pPr>
        <w:pStyle w:val="Heading2"/>
        <w:spacing w:after="140" w:before="280"/>
      </w:pPr>
      <w:r>
        <w:rPr>
          <w:rFonts w:ascii="Calibri" w:cs="Calibri" w:eastAsia="Calibri" w:hAnsi="Calibri"/>
          <w:b/>
          <w:bCs/>
          <w:color w:val="5E1B39"/>
          <w:sz w:val="24"/>
          <w:szCs w:val="24"/>
        </w:rPr>
        <w:t xml:space="preserve">D-10 — atraso_relativo não é comparável a “crescimento de prazo” da literatura</w:t>
      </w:r>
    </w:p>
    <w:p>
      <w:pPr>
        <w:spacing w:after="90"/>
        <w:ind w:left="200"/>
      </w:pPr>
      <w:r>
        <w:rPr>
          <w:rFonts w:ascii="Calibri" w:cs="Calibri" w:eastAsia="Calibri" w:hAnsi="Calibri"/>
          <w:b/>
          <w:bCs/>
          <w:color w:val="9B2C5E"/>
          <w:sz w:val="20"/>
          <w:szCs w:val="20"/>
        </w:rPr>
        <w:t xml:space="preserve">Decisão:  </w:t>
      </w:r>
      <w:r>
        <w:rPr>
          <w:rFonts w:ascii="Calibri" w:cs="Calibri" w:eastAsia="Calibri" w:hAnsi="Calibri"/>
          <w:sz w:val="20"/>
          <w:szCs w:val="20"/>
        </w:rPr>
        <w:t xml:space="preserve">a razão atraso_relativo = makespan / makespan_cpm usa a coluna </w:t>
      </w:r>
      <w:r>
        <w:rPr>
          <w:rFonts w:ascii="Calibri" w:cs="Calibri" w:eastAsia="Calibri" w:hAnsi="Calibri"/>
          <w:i/>
          <w:iCs/>
          <w:sz w:val="20"/>
          <w:szCs w:val="20"/>
        </w:rPr>
        <w:t xml:space="preserve">makespan_sem_recursos</w:t>
      </w:r>
      <w:r>
        <w:rPr>
          <w:rFonts w:ascii="Calibri" w:cs="Calibri" w:eastAsia="Calibri" w:hAnsi="Calibri"/>
          <w:sz w:val="20"/>
          <w:szCs w:val="20"/>
        </w:rPr>
        <w:t xml:space="preserve">, que é o limite inferior do caminho crítico </w:t>
      </w:r>
      <w:r>
        <w:rPr>
          <w:rFonts w:ascii="Calibri" w:cs="Calibri" w:eastAsia="Calibri" w:hAnsi="Calibri"/>
          <w:b/>
          <w:bCs/>
          <w:sz w:val="20"/>
          <w:szCs w:val="20"/>
        </w:rPr>
        <w:t xml:space="preserve">sem restrição de recursos</w:t>
      </w:r>
      <w:r>
        <w:rPr>
          <w:rFonts w:ascii="Calibri" w:cs="Calibri" w:eastAsia="Calibri" w:hAnsi="Calibri"/>
          <w:sz w:val="20"/>
          <w:szCs w:val="20"/>
        </w:rPr>
        <w:t xml:space="preserve">. Um cronograma viável fica sempre bem acima desse limite, então a razão de 1,5 a 2,3 que o modelo produz não é comparável aos ~9,8% de crescimento de prazo atribuível a retrabalho que a literatura reporta.</w:t>
      </w:r>
    </w:p>
    <w:p>
      <w:pPr>
        <w:spacing w:after="90"/>
        <w:ind w:left="200"/>
      </w:pPr>
      <w:r>
        <w:rPr>
          <w:rFonts w:ascii="Calibri" w:cs="Calibri" w:eastAsia="Calibri" w:hAnsi="Calibri"/>
          <w:b/>
          <w:bCs/>
          <w:color w:val="9B2C5E"/>
          <w:sz w:val="20"/>
          <w:szCs w:val="20"/>
        </w:rPr>
        <w:t xml:space="preserve">Correção barata proposta:  </w:t>
      </w:r>
      <w:r>
        <w:rPr>
          <w:rFonts w:ascii="Calibri" w:cs="Calibri" w:eastAsia="Calibri" w:hAnsi="Calibri"/>
          <w:sz w:val="20"/>
          <w:szCs w:val="20"/>
        </w:rPr>
        <w:t xml:space="preserve">o PSPLIB publica soluções ótimas ou melhores conhecidas para o conjunto J60, e elas não estão nos dados processados (instancias_j60.csv traz apenas makespan_sem_recursos). Incorporá-las dá uma linha de base viável e abre um segundo alvo de validação externa que hoje não existe.</w:t>
      </w:r>
    </w:p>
    <w:p>
      <w:pPr>
        <w:spacing w:after="90"/>
        <w:ind w:left="200"/>
      </w:pPr>
      <w:r>
        <w:rPr>
          <w:rFonts w:ascii="Calibri" w:cs="Calibri" w:eastAsia="Calibri" w:hAnsi="Calibri"/>
          <w:b/>
          <w:bCs/>
          <w:color w:val="9B2C5E"/>
          <w:sz w:val="20"/>
          <w:szCs w:val="20"/>
        </w:rPr>
        <w:t xml:space="preserve">Pendência:  </w:t>
      </w:r>
      <w:r>
        <w:rPr>
          <w:rFonts w:ascii="Calibri" w:cs="Calibri" w:eastAsia="Calibri" w:hAnsi="Calibri"/>
          <w:sz w:val="20"/>
          <w:szCs w:val="20"/>
        </w:rPr>
        <w:t xml:space="preserve">a existência dessas soluções no PSPLIB é amplamente sabida mas ainda NÃO foi conferida na fonte. Não depender disso antes de conferir.</w:t>
      </w:r>
    </w:p>
    <w:p>
      <w:pPr>
        <w:pBdr>
          <w:bottom w:val="single" w:color="D9A8C0" w:sz="6"/>
        </w:pBdr>
        <w:spacing w:after="160" w:before="60"/>
      </w:pPr>
      <w:r>
        <w:rPr>
          <w:sz w:val="2"/>
          <w:szCs w:val="2"/>
        </w:rPr>
        <w:t xml:space="preserve"/>
      </w:r>
    </w:p>
    <w:p>
      <w:pPr>
        <w:pStyle w:val="Heading2"/>
        <w:spacing w:after="140" w:before="280"/>
      </w:pPr>
      <w:r>
        <w:rPr>
          <w:rFonts w:ascii="Calibri" w:cs="Calibri" w:eastAsia="Calibri" w:hAnsi="Calibri"/>
          <w:b/>
          <w:bCs/>
          <w:color w:val="5E1B39"/>
          <w:sz w:val="24"/>
          <w:szCs w:val="24"/>
        </w:rPr>
        <w:t xml:space="preserve">D-11 — Calibração rebaixada a limitação declarada; MVP antes dos números</w:t>
      </w:r>
    </w:p>
    <w:p>
      <w:pPr>
        <w:spacing w:after="90"/>
        <w:ind w:left="200"/>
      </w:pPr>
      <w:r>
        <w:rPr>
          <w:rFonts w:ascii="Calibri" w:cs="Calibri" w:eastAsia="Calibri" w:hAnsi="Calibri"/>
          <w:b/>
          <w:bCs/>
          <w:color w:val="9B2C5E"/>
          <w:sz w:val="20"/>
          <w:szCs w:val="20"/>
        </w:rPr>
        <w:t xml:space="preserve">Decisão:  </w:t>
      </w:r>
      <w:r>
        <w:rPr>
          <w:rFonts w:ascii="Calibri" w:cs="Calibri" w:eastAsia="Calibri" w:hAnsi="Calibri"/>
          <w:sz w:val="20"/>
          <w:szCs w:val="20"/>
        </w:rPr>
        <w:t xml:space="preserve">A calibração completa deixa de ser entregável e passa a ser limitação declarada da monografia. A ordem de trabalho é: fechar o MVP, auditar, e só então produzir números. Quantidades derivadas de um modelo ainda em mudança não têm valor de evidência.</w:t>
      </w:r>
    </w:p>
    <w:p>
      <w:pPr>
        <w:spacing w:after="90"/>
        <w:ind w:left="200"/>
      </w:pPr>
      <w:r>
        <w:rPr>
          <w:rFonts w:ascii="Calibri" w:cs="Calibri" w:eastAsia="Calibri" w:hAnsi="Calibri"/>
          <w:b/>
          <w:bCs/>
          <w:color w:val="9B2C5E"/>
          <w:sz w:val="20"/>
          <w:szCs w:val="20"/>
        </w:rPr>
        <w:t xml:space="preserve">Motivo técnico:  </w:t>
      </w:r>
      <w:r>
        <w:rPr>
          <w:rFonts w:ascii="Calibri" w:cs="Calibri" w:eastAsia="Calibri" w:hAnsi="Calibri"/>
          <w:sz w:val="20"/>
          <w:szCs w:val="20"/>
        </w:rPr>
        <w:t xml:space="preserve">o piloto de fronteira mostrou que, em K = 64, os 4 de 4 pontos que estavam no NROY do modelo legado são rejeitados. O NROY não estreita — ele esvazia. Além disso, V_obs responde por 74–86% do denominador da implausibilidade em K = 64, e a implausibilidade do próprio vetor verdadeiro tende a 3,594 em atraso_relativo no limite: o alvo verdadeiro seria rejeitado pelo próprio critério.</w:t>
      </w:r>
    </w:p>
    <w:p>
      <w:pPr>
        <w:spacing w:after="90"/>
        <w:ind w:left="200"/>
      </w:pPr>
      <w:r>
        <w:rPr>
          <w:rFonts w:ascii="Calibri" w:cs="Calibri" w:eastAsia="Calibri" w:hAnsi="Calibri"/>
          <w:b/>
          <w:bCs/>
          <w:color w:val="9B2C5E"/>
          <w:sz w:val="20"/>
          <w:szCs w:val="20"/>
        </w:rPr>
        <w:t xml:space="preserve">Itens adiados para depois do MVP:  </w:t>
      </w:r>
      <w:r>
        <w:rPr>
          <w:rFonts w:ascii="Calibri" w:cs="Calibri" w:eastAsia="Calibri" w:hAnsi="Calibri"/>
          <w:sz w:val="20"/>
          <w:szCs w:val="20"/>
        </w:rPr>
        <w:t xml:space="preserve">recálculo do gradiente sobre linhas de código; sensibilidade ao conteúdo de trabalho; versão parcimoniosa com F_base = f(Di) ligado e desligado; comparação I_M contra I_2M; calibração e estimativa de V_mod.</w:t>
      </w:r>
    </w:p>
    <w:p>
      <w:pPr>
        <w:pBdr>
          <w:bottom w:val="single" w:color="D9A8C0" w:sz="6"/>
        </w:pBdr>
        <w:spacing w:after="160" w:before="60"/>
      </w:pPr>
      <w:r>
        <w:rPr>
          <w:sz w:val="2"/>
          <w:szCs w:val="2"/>
        </w:rPr>
        <w:t xml:space="preserve"/>
      </w:r>
    </w:p>
    <w:p>
      <w:pPr>
        <w:pStyle w:val="Heading2"/>
        <w:spacing w:after="140" w:before="280"/>
      </w:pPr>
      <w:r>
        <w:rPr>
          <w:rFonts w:ascii="Calibri" w:cs="Calibri" w:eastAsia="Calibri" w:hAnsi="Calibri"/>
          <w:b/>
          <w:bCs/>
          <w:color w:val="5E1B39"/>
          <w:sz w:val="24"/>
          <w:szCs w:val="24"/>
        </w:rPr>
        <w:t xml:space="preserve">D-12 — Modelagem orientada a padrões como critério de adequação</w:t>
      </w:r>
    </w:p>
    <w:p>
      <w:pPr>
        <w:spacing w:after="90"/>
        <w:ind w:left="200"/>
      </w:pPr>
      <w:r>
        <w:rPr>
          <w:rFonts w:ascii="Calibri" w:cs="Calibri" w:eastAsia="Calibri" w:hAnsi="Calibri"/>
          <w:b/>
          <w:bCs/>
          <w:color w:val="9B2C5E"/>
          <w:sz w:val="20"/>
          <w:szCs w:val="20"/>
        </w:rPr>
        <w:t xml:space="preserve">Decisão:  </w:t>
      </w:r>
      <w:r>
        <w:rPr>
          <w:rFonts w:ascii="Calibri" w:cs="Calibri" w:eastAsia="Calibri" w:hAnsi="Calibri"/>
          <w:sz w:val="20"/>
          <w:szCs w:val="20"/>
        </w:rPr>
        <w:t xml:space="preserve">Na ausência de calibração, a adequação do modelo é argumentada por reprodução simultânea de múltiplos padrões qualitativos, e não por ajuste a um alvo numérico.</w:t>
      </w:r>
    </w:p>
    <w:p>
      <w:pPr>
        <w:spacing w:after="90"/>
        <w:ind w:left="200"/>
      </w:pPr>
      <w:r>
        <w:rPr>
          <w:rFonts w:ascii="Calibri" w:cs="Calibri" w:eastAsia="Calibri" w:hAnsi="Calibri"/>
          <w:b/>
          <w:bCs/>
          <w:color w:val="9B2C5E"/>
          <w:sz w:val="20"/>
          <w:szCs w:val="20"/>
        </w:rPr>
        <w:t xml:space="preserve">Base:  </w:t>
      </w:r>
      <w:r>
        <w:rPr>
          <w:rFonts w:ascii="Calibri" w:cs="Calibri" w:eastAsia="Calibri" w:hAnsi="Calibri"/>
          <w:sz w:val="20"/>
          <w:szCs w:val="20"/>
        </w:rPr>
        <w:t xml:space="preserve">Grimm et al. (2005), modelagem orientada a padrões em sistemas complexos baseados em agentes.</w:t>
      </w:r>
    </w:p>
    <w:p>
      <w:pPr>
        <w:spacing w:after="90"/>
        <w:ind w:left="200"/>
      </w:pPr>
      <w:r>
        <w:rPr>
          <w:rFonts w:ascii="Calibri" w:cs="Calibri" w:eastAsia="Calibri" w:hAnsi="Calibri"/>
          <w:b/>
          <w:bCs/>
          <w:color w:val="9B2C5E"/>
          <w:sz w:val="20"/>
          <w:szCs w:val="20"/>
        </w:rPr>
        <w:t xml:space="preserve">Complemento metodológico:  </w:t>
      </w:r>
      <w:r>
        <w:rPr>
          <w:rFonts w:ascii="Calibri" w:cs="Calibri" w:eastAsia="Calibri" w:hAnsi="Calibri"/>
          <w:sz w:val="20"/>
          <w:szCs w:val="20"/>
        </w:rPr>
        <w:t xml:space="preserve">Raue et al. (2009) para a distinção entre não identificabilidade estrutural e prática — que é o vocabulário correto para descrever o que acontece com F_ancora e f_retrabalho; Talts et al. (2018) para calibração baseada em simulação, caso a rota bayesiana volte à mesa.</w:t>
      </w:r>
    </w:p>
    <w:p>
      <w:pPr>
        <w:pBdr>
          <w:bottom w:val="single" w:color="D9A8C0" w:sz="6"/>
        </w:pBdr>
        <w:spacing w:after="160" w:before="60"/>
      </w:pPr>
      <w:r>
        <w:rPr>
          <w:sz w:val="2"/>
          <w:szCs w:val="2"/>
        </w:rPr>
        <w:t xml:space="preserve"/>
      </w:r>
    </w:p>
    <w:p>
      <w:pPr>
        <w:pStyle w:val="Heading2"/>
        <w:spacing w:after="140" w:before="280"/>
      </w:pPr>
      <w:r>
        <w:rPr>
          <w:rFonts w:ascii="Calibri" w:cs="Calibri" w:eastAsia="Calibri" w:hAnsi="Calibri"/>
          <w:b/>
          <w:bCs/>
          <w:color w:val="5E1B39"/>
          <w:sz w:val="24"/>
          <w:szCs w:val="24"/>
        </w:rPr>
        <w:t xml:space="preserve">D-13 — O precedente mais próximo do trabalho não está citado em lugar nenhum</w:t>
      </w:r>
    </w:p>
    <w:p>
      <w:pPr>
        <w:spacing w:after="90"/>
        <w:ind w:left="200"/>
      </w:pPr>
      <w:r>
        <w:rPr>
          <w:rFonts w:ascii="Calibri" w:cs="Calibri" w:eastAsia="Calibri" w:hAnsi="Calibri"/>
          <w:b/>
          <w:bCs/>
          <w:color w:val="9B2C5E"/>
          <w:sz w:val="20"/>
          <w:szCs w:val="20"/>
        </w:rPr>
        <w:t xml:space="preserve">Achado:  </w:t>
      </w:r>
      <w:r>
        <w:rPr>
          <w:rFonts w:ascii="Calibri" w:cs="Calibri" w:eastAsia="Calibri" w:hAnsi="Calibri"/>
          <w:sz w:val="20"/>
          <w:szCs w:val="20"/>
        </w:rPr>
        <w:t xml:space="preserve">o 04_FONTES.md registra, com a marca de pendência, um arcabouço ABM + Dinâmica de Sistemas para execução de projetos de P&amp;D </w:t>
      </w:r>
      <w:r>
        <w:rPr>
          <w:rFonts w:ascii="Calibri" w:cs="Calibri" w:eastAsia="Calibri" w:hAnsi="Calibri"/>
          <w:b/>
          <w:bCs/>
          <w:sz w:val="20"/>
          <w:szCs w:val="20"/>
        </w:rPr>
        <w:t xml:space="preserve">com ciclos de retrabalho</w:t>
      </w:r>
      <w:r>
        <w:rPr>
          <w:rFonts w:ascii="Calibri" w:cs="Calibri" w:eastAsia="Calibri" w:hAnsi="Calibri"/>
          <w:sz w:val="20"/>
          <w:szCs w:val="20"/>
        </w:rPr>
        <w:t xml:space="preserve"> — e anota que é “o precedente mais próximo do que foi construído e ainda não é citado em lugar nenhum”. O PDF está nos arquivos do Projeto TCC2.</w:t>
      </w:r>
    </w:p>
    <w:p>
      <w:pPr>
        <w:spacing w:after="90"/>
        <w:ind w:left="200"/>
      </w:pPr>
      <w:r>
        <w:rPr>
          <w:rFonts w:ascii="Calibri" w:cs="Calibri" w:eastAsia="Calibri" w:hAnsi="Calibri"/>
          <w:b/>
          <w:bCs/>
          <w:color w:val="9B2C5E"/>
          <w:sz w:val="20"/>
          <w:szCs w:val="20"/>
        </w:rPr>
        <w:t xml:space="preserve">Por que isso é urgente e não cosmético:  </w:t>
      </w:r>
      <w:r>
        <w:rPr>
          <w:rFonts w:ascii="Calibri" w:cs="Calibri" w:eastAsia="Calibri" w:hAnsi="Calibri"/>
          <w:sz w:val="20"/>
          <w:szCs w:val="20"/>
        </w:rPr>
        <w:t xml:space="preserve">um TCC que constrói exatamente um híbrido ABM + SD com ciclos de retrabalho e não cita o trabalho publicado que fez a mesma coisa tem um problema de posicionamento, não de bibliografia. A banca pergunta o que este trabalho faz que aquele não fez — e a resposta precisa estar escrita antes da pergunta, não improvisada na defesa.</w:t>
      </w:r>
    </w:p>
    <w:p>
      <w:pPr>
        <w:spacing w:after="90"/>
        <w:ind w:left="200"/>
      </w:pPr>
      <w:r>
        <w:rPr>
          <w:rFonts w:ascii="Calibri" w:cs="Calibri" w:eastAsia="Calibri" w:hAnsi="Calibri"/>
          <w:b/>
          <w:bCs/>
          <w:color w:val="9B2C5E"/>
          <w:sz w:val="20"/>
          <w:szCs w:val="20"/>
        </w:rPr>
        <w:t xml:space="preserve">Ação:  </w:t>
      </w:r>
      <w:r>
        <w:rPr>
          <w:rFonts w:ascii="Calibri" w:cs="Calibri" w:eastAsia="Calibri" w:hAnsi="Calibri"/>
          <w:sz w:val="20"/>
          <w:szCs w:val="20"/>
        </w:rPr>
        <w:t xml:space="preserve">ler o PDF, citar, e escrever explicitamente o delta: o que este trabalho acrescenta (degradação cognitiva por porta de decisão, arranjos de governança contrastados, ancoragem externa dos parâmetros de falha) e o que ele herda. Enquanto isso não for feito, é o item de maior risco de arguição do trabalho inteiro.</w:t>
      </w:r>
    </w:p>
    <w:p>
      <w:pPr>
        <w:spacing w:after="90"/>
        <w:ind w:left="200"/>
      </w:pPr>
      <w:r>
        <w:rPr>
          <w:rFonts w:ascii="Calibri" w:cs="Calibri" w:eastAsia="Calibri" w:hAnsi="Calibri"/>
          <w:b/>
          <w:bCs/>
          <w:color w:val="9B2C5E"/>
          <w:sz w:val="20"/>
          <w:szCs w:val="20"/>
        </w:rPr>
        <w:t xml:space="preserve">Estado:  </w:t>
      </w:r>
      <w:r>
        <w:rPr>
          <w:rFonts w:ascii="Calibri" w:cs="Calibri" w:eastAsia="Calibri" w:hAnsi="Calibri"/>
          <w:sz w:val="20"/>
          <w:szCs w:val="20"/>
        </w:rPr>
        <w:t xml:space="preserve">aberto. Não depende de dado novo nem de rodada de simulação — depende de leitura e de meia página de texto.</w:t>
      </w:r>
    </w:p>
    <w:p>
      <w:pPr>
        <w:pBdr>
          <w:bottom w:val="single" w:color="D9A8C0" w:sz="6"/>
        </w:pBdr>
        <w:spacing w:after="160" w:before="60"/>
      </w:pPr>
      <w:r>
        <w:rPr>
          <w:sz w:val="2"/>
          <w:szCs w:val="2"/>
        </w:rPr>
        <w:t xml:space="preserve"/>
      </w:r>
    </w:p>
    <w:p>
      <w:pPr>
        <w:pStyle w:val="Heading2"/>
        <w:spacing w:after="140" w:before="280"/>
      </w:pPr>
      <w:r>
        <w:rPr>
          <w:rFonts w:ascii="Calibri" w:cs="Calibri" w:eastAsia="Calibri" w:hAnsi="Calibri"/>
          <w:b/>
          <w:bCs/>
          <w:color w:val="5E1B39"/>
          <w:sz w:val="24"/>
          <w:szCs w:val="24"/>
        </w:rPr>
        <w:t xml:space="preserve">D-14 — E_total deixa de sustentar conclusão de governança</w:t>
      </w:r>
    </w:p>
    <w:p>
      <w:pPr>
        <w:spacing w:after="90"/>
        <w:ind w:left="200"/>
      </w:pPr>
      <w:r>
        <w:rPr>
          <w:rFonts w:ascii="Calibri" w:cs="Calibri" w:eastAsia="Calibri" w:hAnsi="Calibri"/>
          <w:b/>
          <w:bCs/>
          <w:color w:val="9B2C5E"/>
          <w:sz w:val="20"/>
          <w:szCs w:val="20"/>
        </w:rPr>
        <w:t xml:space="preserve">Decisão:  </w:t>
      </w:r>
      <w:r>
        <w:rPr>
          <w:rFonts w:ascii="Calibri" w:cs="Calibri" w:eastAsia="Calibri" w:hAnsi="Calibri"/>
          <w:sz w:val="20"/>
          <w:szCs w:val="20"/>
        </w:rPr>
        <w:t xml:space="preserve">a razão E_total = TW/(TW+TL+TU+TR) </w:t>
      </w:r>
      <w:r>
        <w:rPr>
          <w:rFonts w:ascii="Calibri" w:cs="Calibri" w:eastAsia="Calibri" w:hAnsi="Calibri"/>
          <w:b/>
          <w:bCs/>
          <w:sz w:val="20"/>
          <w:szCs w:val="20"/>
        </w:rPr>
        <w:t xml:space="preserve">não pode mais ser apresentada como resultado de governança</w:t>
      </w:r>
      <w:r>
        <w:rPr>
          <w:rFonts w:ascii="Calibri" w:cs="Calibri" w:eastAsia="Calibri" w:hAnsi="Calibri"/>
          <w:sz w:val="20"/>
          <w:szCs w:val="20"/>
        </w:rPr>
        <w:t xml:space="preserve">. O sinal do contraste entre arranjos depende de uma convenção contábil interna, não do fenômeno.</w:t>
      </w:r>
    </w:p>
    <w:p>
      <w:pPr>
        <w:spacing w:after="90"/>
        <w:ind w:left="200"/>
      </w:pPr>
      <w:r>
        <w:rPr>
          <w:rFonts w:ascii="Calibri" w:cs="Calibri" w:eastAsia="Calibri" w:hAnsi="Calibri"/>
          <w:b/>
          <w:bCs/>
          <w:color w:val="9B2C5E"/>
          <w:sz w:val="20"/>
          <w:szCs w:val="20"/>
        </w:rPr>
        <w:t xml:space="preserve">Evidência decisiva (17/09/2026):  </w:t>
      </w:r>
      <w:r>
        <w:rPr>
          <w:rFonts w:ascii="Calibri" w:cs="Calibri" w:eastAsia="Calibri" w:hAnsi="Calibri"/>
          <w:sz w:val="20"/>
          <w:szCs w:val="20"/>
        </w:rPr>
        <w:t xml:space="preserve">o teste discriminante de TL rodou o nominal em duas convenções, tudo o mais idêntico. Contando TL += 1 por ajuda bem-sucedida — convenção do simulador, sem base externa — o contraste (adaptativa − centralizada) é −0,050845. Contando TL pela equação (3) de Crowder, TL += 0,5·ΔC, o contraste é +0,051973. O sinal inverte. E o valor legado era +0,104631. Três convenções, três sinais/magnitudes diferentes, mesmo fenômeno simulado.</w:t>
      </w:r>
    </w:p>
    <w:p>
      <w:pPr>
        <w:spacing w:after="90"/>
        <w:ind w:left="200"/>
      </w:pPr>
      <w:r>
        <w:rPr>
          <w:rFonts w:ascii="Calibri" w:cs="Calibri" w:eastAsia="Calibri" w:hAnsi="Calibri"/>
          <w:b/>
          <w:bCs/>
          <w:color w:val="9B2C5E"/>
          <w:sz w:val="20"/>
          <w:szCs w:val="20"/>
        </w:rPr>
        <w:t xml:space="preserve">Corroboração independente:  </w:t>
      </w:r>
      <w:r>
        <w:rPr>
          <w:rFonts w:ascii="Calibri" w:cs="Calibri" w:eastAsia="Calibri" w:hAnsi="Calibri"/>
          <w:sz w:val="20"/>
          <w:szCs w:val="20"/>
        </w:rPr>
        <w:t xml:space="preserve">antes da rodada, eu havia previsto de mesa, a partir apenas dos componentes publicados do ramo adaptativo, um deslocamento de +0,106 no contraste. O deslocamento observado foi +0,102818. A previsão foi feita com dados diferentes e antes do experimento — o que torna o número reportado internamente consistente.</w:t>
      </w:r>
    </w:p>
    <w:p>
      <w:pPr>
        <w:spacing w:after="90"/>
        <w:ind w:left="200"/>
      </w:pPr>
      <w:r>
        <w:rPr>
          <w:rFonts w:ascii="Calibri" w:cs="Calibri" w:eastAsia="Calibri" w:hAnsi="Calibri"/>
          <w:b/>
          <w:bCs/>
          <w:color w:val="9B2C5E"/>
          <w:sz w:val="20"/>
          <w:szCs w:val="20"/>
        </w:rPr>
        <w:t xml:space="preserve">O diagnóstico de fundo, que é maior que este achado:  </w:t>
      </w:r>
      <w:r>
        <w:rPr>
          <w:rFonts w:ascii="Calibri" w:cs="Calibri" w:eastAsia="Calibri" w:hAnsi="Calibri"/>
          <w:sz w:val="20"/>
          <w:szCs w:val="20"/>
        </w:rPr>
        <w:t xml:space="preserve">E_total soma no denominador grandezas que </w:t>
      </w:r>
      <w:r>
        <w:rPr>
          <w:rFonts w:ascii="Calibri" w:cs="Calibri" w:eastAsia="Calibri" w:hAnsi="Calibri"/>
          <w:b/>
          <w:bCs/>
          <w:sz w:val="20"/>
          <w:szCs w:val="20"/>
        </w:rPr>
        <w:t xml:space="preserve">não estão na mesma unidade</w:t>
      </w:r>
      <w:r>
        <w:rPr>
          <w:rFonts w:ascii="Calibri" w:cs="Calibri" w:eastAsia="Calibri" w:hAnsi="Calibri"/>
          <w:sz w:val="20"/>
          <w:szCs w:val="20"/>
        </w:rPr>
        <w:t xml:space="preserve">: TW é período de trabalho, TL é contagem de eventos de ajuda (ou incremento de competência, conforme a convenção), TU é período bloqueado, TR é esforço de reparo. É uma razão cujo denominador soma coisas diferentes. É exatamente a mesma doença que apareceu em F_ancora (D-07) e na comparação de retrabalho (D-08, G-01) — descasamento de unidade e de fronteira de sistema — agora num indicador de saída.</w:t>
      </w:r>
    </w:p>
    <w:p>
      <w:pPr>
        <w:spacing w:after="90"/>
        <w:ind w:left="200"/>
      </w:pPr>
      <w:r>
        <w:rPr>
          <w:rFonts w:ascii="Calibri" w:cs="Calibri" w:eastAsia="Calibri" w:hAnsi="Calibri"/>
          <w:b/>
          <w:bCs/>
          <w:color w:val="9B2C5E"/>
          <w:sz w:val="20"/>
          <w:szCs w:val="20"/>
        </w:rPr>
        <w:t xml:space="preserve">Encaminhamento:  </w:t>
      </w:r>
      <w:r>
        <w:rPr>
          <w:rFonts w:ascii="Calibri" w:cs="Calibri" w:eastAsia="Calibri" w:hAnsi="Calibri"/>
          <w:sz w:val="20"/>
          <w:szCs w:val="20"/>
        </w:rPr>
        <w:t xml:space="preserve">ou E_total é aposentado como desfecho, ou é redefinido com os quatro termos numa única unidade declarada e defensável. Enquanto isso não for feito, ele entra na monografia como grandeza diagnóstica interna, nunca como evidência sobre arranjos de governança.</w:t>
      </w:r>
    </w:p>
    <w:p>
      <w:pPr>
        <w:spacing w:after="90"/>
        <w:ind w:left="200"/>
      </w:pPr>
      <w:r>
        <w:rPr>
          <w:rFonts w:ascii="Calibri" w:cs="Calibri" w:eastAsia="Calibri" w:hAnsi="Calibri"/>
          <w:b/>
          <w:bCs/>
          <w:color w:val="9B2C5E"/>
          <w:sz w:val="20"/>
          <w:szCs w:val="20"/>
        </w:rPr>
        <w:t xml:space="preserve">O que sobrevive e passa a carregar o argumento:  </w:t>
      </w:r>
      <w:r>
        <w:rPr>
          <w:rFonts w:ascii="Calibri" w:cs="Calibri" w:eastAsia="Calibri" w:hAnsi="Calibri"/>
          <w:sz w:val="20"/>
          <w:szCs w:val="20"/>
        </w:rPr>
        <w:t xml:space="preserve">atraso_relativo, taxa de falhas não reportadas e dívida latente tiveram contraste negativo em </w:t>
      </w:r>
      <w:r>
        <w:rPr>
          <w:rFonts w:ascii="Calibri" w:cs="Calibri" w:eastAsia="Calibri" w:hAnsi="Calibri"/>
          <w:b/>
          <w:bCs/>
          <w:sz w:val="20"/>
          <w:szCs w:val="20"/>
        </w:rPr>
        <w:t xml:space="preserve">129 de 129 configurações</w:t>
      </w:r>
      <w:r>
        <w:rPr>
          <w:rFonts w:ascii="Calibri" w:cs="Calibri" w:eastAsia="Calibri" w:hAnsi="Calibri"/>
          <w:sz w:val="20"/>
          <w:szCs w:val="20"/>
        </w:rPr>
        <w:t xml:space="preserve"> de robustez, e nenhuma delas tem TL no denominador. A conclusão de governança do trabalho se apoia nessas três — não em E_total, que nunca foi a mais forte.</w:t>
      </w:r>
    </w:p>
    <w:p>
      <w:pPr>
        <w:spacing w:after="90"/>
        <w:ind w:left="200"/>
      </w:pPr>
      <w:r>
        <w:rPr>
          <w:rFonts w:ascii="Calibri" w:cs="Calibri" w:eastAsia="Calibri" w:hAnsi="Calibri"/>
          <w:b/>
          <w:bCs/>
          <w:color w:val="9B2C5E"/>
          <w:sz w:val="20"/>
          <w:szCs w:val="20"/>
        </w:rPr>
        <w:t xml:space="preserve">Custo de ter descoberto agora:  </w:t>
      </w:r>
      <w:r>
        <w:rPr>
          <w:rFonts w:ascii="Calibri" w:cs="Calibri" w:eastAsia="Calibri" w:hAnsi="Calibri"/>
          <w:sz w:val="20"/>
          <w:szCs w:val="20"/>
        </w:rPr>
        <w:t xml:space="preserve">uma rodada e duas linhas de código. Custo de descobrir depois: retirar um achado já redigido, defendido e possivelmente já apresentado.</w:t>
      </w:r>
    </w:p>
    <w:p>
      <w:r>
        <w:br w:type="page"/>
      </w:r>
    </w:p>
    <w:p>
      <w:pPr>
        <w:pStyle w:val="Heading1"/>
        <w:spacing w:after="200" w:before="360"/>
      </w:pPr>
      <w:r>
        <w:rPr>
          <w:rFonts w:ascii="Calibri" w:cs="Calibri" w:eastAsia="Calibri" w:hAnsi="Calibri"/>
          <w:b/>
          <w:bCs/>
          <w:color w:val="9B2C5E"/>
          <w:sz w:val="30"/>
          <w:szCs w:val="30"/>
        </w:rPr>
        <w:t xml:space="preserve">2. Fontes trazidas pela revisão</w:t>
      </w:r>
    </w:p>
    <w:p>
      <w:pPr>
        <w:spacing w:after="90"/>
        <w:ind w:left="200"/>
      </w:pPr>
      <w:r>
        <w:rPr>
          <w:rFonts w:ascii="Calibri" w:cs="Calibri" w:eastAsia="Calibri" w:hAnsi="Calibri"/>
          <w:b/>
          <w:bCs/>
          <w:color w:val="9B2C5E"/>
          <w:sz w:val="20"/>
          <w:szCs w:val="20"/>
        </w:rPr>
        <w:t xml:space="preserve">Leia isto primeiro:  </w:t>
      </w:r>
      <w:r>
        <w:rPr>
          <w:rFonts w:ascii="Calibri" w:cs="Calibri" w:eastAsia="Calibri" w:hAnsi="Calibri"/>
          <w:sz w:val="20"/>
          <w:szCs w:val="20"/>
        </w:rPr>
        <w:t xml:space="preserve">o catálogo de fontes do trabalho é o </w:t>
      </w:r>
      <w:r>
        <w:rPr>
          <w:rFonts w:ascii="Calibri" w:cs="Calibri" w:eastAsia="Calibri" w:hAnsi="Calibri"/>
          <w:b/>
          <w:bCs/>
          <w:sz w:val="20"/>
          <w:szCs w:val="20"/>
        </w:rPr>
        <w:t xml:space="preserve">projeto/04_FONTES.md</w:t>
      </w:r>
      <w:r>
        <w:rPr>
          <w:rFonts w:ascii="Calibri" w:cs="Calibri" w:eastAsia="Calibri" w:hAnsi="Calibri"/>
          <w:sz w:val="20"/>
          <w:szCs w:val="20"/>
        </w:rPr>
        <w:t xml:space="preserve">. Esta seção NÃO o substitui e não redefine o estado de nada que já esteja lá. Ela lista apenas as fontes que entraram pela revisão independente e que </w:t>
      </w:r>
      <w:r>
        <w:rPr>
          <w:rFonts w:ascii="Calibri" w:cs="Calibri" w:eastAsia="Calibri" w:hAnsi="Calibri"/>
          <w:b/>
          <w:bCs/>
          <w:sz w:val="20"/>
          <w:szCs w:val="20"/>
        </w:rPr>
        <w:t xml:space="preserve">ainda não estavam catalogadas</w:t>
      </w:r>
      <w:r>
        <w:rPr>
          <w:rFonts w:ascii="Calibri" w:cs="Calibri" w:eastAsia="Calibri" w:hAnsi="Calibri"/>
          <w:sz w:val="20"/>
          <w:szCs w:val="20"/>
        </w:rPr>
        <w:t xml:space="preserve">. Depois de conferidas, elas devem ser migradas para o 04_FONTES, no formato dele — com a linha do que a fonte NÃO sustenta, que é a disciplina que aquele arquivo impõe e que este aqui não tem.</w:t>
      </w:r>
    </w:p>
    <w:p>
      <w:pPr>
        <w:spacing w:after="90"/>
        <w:ind w:left="200"/>
      </w:pPr>
      <w:r>
        <w:rPr>
          <w:rFonts w:ascii="Calibri" w:cs="Calibri" w:eastAsia="Calibri" w:hAnsi="Calibri"/>
          <w:b/>
          <w:bCs/>
          <w:color w:val="9B2C5E"/>
          <w:sz w:val="20"/>
          <w:szCs w:val="20"/>
        </w:rPr>
        <w:t xml:space="preserve">Já catalogadas lá, não repetidas aqui:  </w:t>
      </w:r>
      <w:r>
        <w:rPr>
          <w:rFonts w:ascii="Calibri" w:cs="Calibri" w:eastAsia="Calibri" w:hAnsi="Calibri"/>
          <w:sz w:val="20"/>
          <w:szCs w:val="20"/>
        </w:rPr>
        <w:t xml:space="preserve">Shepperd et al. (2013) e a coleção Figshare das bases limpas; Crowder et al. (2012); Andrianakis et al. (2015); Pukelsheim (1994); McCulloch et al. (2022); Kolisch &amp; Sprecher (1995, 1996, 1997) e o PSPLIB; Love &amp; Li (2000); Love (2026); Boehm &amp; Basili (2001); De Reyck &amp; Herroelen (1996); Liu, Triantis &amp; Sarangi (2011); Van Broekhoven &amp; De Baets (2009); Macal &amp; North (2010); Sterman (2000); Rodrigues (2000); McCabe (1976); NASA SWE-220 e NASA/TM-20205011566. </w:t>
      </w:r>
      <w:r>
        <w:rPr>
          <w:rFonts w:ascii="Calibri" w:cs="Calibri" w:eastAsia="Calibri" w:hAnsi="Calibri"/>
          <w:i/>
          <w:iCs/>
          <w:sz w:val="20"/>
          <w:szCs w:val="20"/>
        </w:rPr>
        <w:t xml:space="preserve">Se precisar do link ou do estado de qualquer uma delas, o lugar é o 04_FONTES.</w:t>
      </w:r>
    </w:p>
    <w:p>
      <w:pPr>
        <w:pStyle w:val="Heading2"/>
        <w:spacing w:after="140" w:before="280"/>
      </w:pPr>
      <w:r>
        <w:rPr>
          <w:rFonts w:ascii="Calibri" w:cs="Calibri" w:eastAsia="Calibri" w:hAnsi="Calibri"/>
          <w:b/>
          <w:bCs/>
          <w:color w:val="5E1B39"/>
          <w:sz w:val="24"/>
          <w:szCs w:val="24"/>
        </w:rPr>
        <w:t xml:space="preserve">2.1 Fontes novas com texto lido ou dado recalculado</w:t>
      </w:r>
    </w:p>
    <w:p>
      <w:pPr>
        <w:spacing w:after="120" w:before="0"/>
      </w:pPr>
      <w:r>
        <w:rPr>
          <w:rFonts w:ascii="Calibri" w:cs="Calibri" w:eastAsia="Calibri" w:hAnsi="Calibri"/>
          <w:sz w:val="20"/>
          <w:szCs w:val="20"/>
        </w:rPr>
        <w:t xml:space="preserve">Estas são as fontes em que eu abri o texto (ou os dados) e conferi a afirmação específica que elas sustentam.</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50"/>
        <w:gridCol w:w="2150"/>
        <w:gridCol w:w="2900"/>
        <w:gridCol w:w="1900"/>
      </w:tblGrid>
      <w:tr>
        <w:trPr>
          <w:tblHeader/>
        </w:trPr>
        <w:tc>
          <w:tcPr>
            <w:tcW w:type="dxa" w:w="2750"/>
            <w:shd w:fill="9B2C5E" w:color="auto" w:val="clear"/>
            <w:tcMar>
              <w:top w:type="dxa" w:w="80"/>
              <w:left w:type="dxa" w:w="100"/>
              <w:bottom w:type="dxa" w:w="80"/>
              <w:right w:type="dxa" w:w="100"/>
            </w:tcMar>
          </w:tcPr>
          <w:p>
            <w:r>
              <w:rPr>
                <w:rFonts w:ascii="Calibri" w:cs="Calibri" w:eastAsia="Calibri" w:hAnsi="Calibri"/>
                <w:b/>
                <w:bCs/>
                <w:color w:val="FFFFFF"/>
                <w:sz w:val="18"/>
                <w:szCs w:val="18"/>
              </w:rPr>
              <w:t xml:space="preserve">Fonte</w:t>
            </w:r>
          </w:p>
        </w:tc>
        <w:tc>
          <w:tcPr>
            <w:tcW w:type="dxa" w:w="2150"/>
            <w:shd w:fill="9B2C5E" w:color="auto" w:val="clear"/>
            <w:tcMar>
              <w:top w:type="dxa" w:w="80"/>
              <w:left w:type="dxa" w:w="100"/>
              <w:bottom w:type="dxa" w:w="80"/>
              <w:right w:type="dxa" w:w="100"/>
            </w:tcMar>
          </w:tcPr>
          <w:p>
            <w:r>
              <w:rPr>
                <w:rFonts w:ascii="Calibri" w:cs="Calibri" w:eastAsia="Calibri" w:hAnsi="Calibri"/>
                <w:b/>
                <w:bCs/>
                <w:color w:val="FFFFFF"/>
                <w:sz w:val="18"/>
                <w:szCs w:val="18"/>
              </w:rPr>
              <w:t xml:space="preserve">Onde acessar</w:t>
            </w:r>
          </w:p>
        </w:tc>
        <w:tc>
          <w:tcPr>
            <w:tcW w:type="dxa" w:w="2900"/>
            <w:shd w:fill="9B2C5E" w:color="auto" w:val="clear"/>
            <w:tcMar>
              <w:top w:type="dxa" w:w="80"/>
              <w:left w:type="dxa" w:w="100"/>
              <w:bottom w:type="dxa" w:w="80"/>
              <w:right w:type="dxa" w:w="100"/>
            </w:tcMar>
          </w:tcPr>
          <w:p>
            <w:r>
              <w:rPr>
                <w:rFonts w:ascii="Calibri" w:cs="Calibri" w:eastAsia="Calibri" w:hAnsi="Calibri"/>
                <w:b/>
                <w:bCs/>
                <w:color w:val="FFFFFF"/>
                <w:sz w:val="18"/>
                <w:szCs w:val="18"/>
              </w:rPr>
              <w:t xml:space="preserve">O que sustenta</w:t>
            </w:r>
          </w:p>
        </w:tc>
        <w:tc>
          <w:tcPr>
            <w:tcW w:type="dxa" w:w="1900"/>
            <w:shd w:fill="9B2C5E" w:color="auto" w:val="clear"/>
            <w:tcMar>
              <w:top w:type="dxa" w:w="80"/>
              <w:left w:type="dxa" w:w="100"/>
              <w:bottom w:type="dxa" w:w="80"/>
              <w:right w:type="dxa" w:w="100"/>
            </w:tcMar>
          </w:tcPr>
          <w:p>
            <w:r>
              <w:rPr>
                <w:rFonts w:ascii="Calibri" w:cs="Calibri" w:eastAsia="Calibri" w:hAnsi="Calibri"/>
                <w:b/>
                <w:bCs/>
                <w:color w:val="FFFFFF"/>
                <w:sz w:val="18"/>
                <w:szCs w:val="18"/>
              </w:rPr>
              <w:t xml:space="preserve">Estado</w:t>
            </w:r>
          </w:p>
        </w:tc>
      </w:tr>
      <w:tr>
        <w:trPr>
          <w:cantSplit/>
        </w:trPr>
        <w:tc>
          <w:tcPr>
            <w:tcW w:type="dxa" w:w="2750"/>
            <w:tcMar>
              <w:top w:type="dxa" w:w="80"/>
              <w:left w:type="dxa" w:w="100"/>
              <w:bottom w:type="dxa" w:w="80"/>
              <w:right w:type="dxa" w:w="100"/>
            </w:tcMar>
          </w:tcPr>
          <w:p>
            <w:pPr>
              <w:spacing w:after="40"/>
            </w:pPr>
            <w:r>
              <w:rPr>
                <w:rFonts w:ascii="Calibri" w:cs="Calibri" w:eastAsia="Calibri" w:hAnsi="Calibri"/>
                <w:b/>
                <w:bCs/>
                <w:sz w:val="20"/>
                <w:szCs w:val="20"/>
              </w:rPr>
              <w:t xml:space="preserve">Crowder, R. M.; Robinson, M. A.; Hughes, H. P. N.; Sim, Y-W. (2012). </w:t>
            </w:r>
            <w:r>
              <w:rPr>
                <w:rFonts w:ascii="Calibri" w:cs="Calibri" w:eastAsia="Calibri" w:hAnsi="Calibri"/>
                <w:sz w:val="18"/>
                <w:szCs w:val="18"/>
              </w:rPr>
              <w:t xml:space="preserve">“The Development of an Agent-Based Modeling Framework for Simulating Engineering Team Work”. IEEE Transactions on Systems, Man, and Cybernetics – Part A, 42(6), 1425–1439.</w:t>
            </w:r>
          </w:p>
        </w:tc>
        <w:tc>
          <w:tcPr>
            <w:tcW w:type="dxa" w:w="2150"/>
            <w:tcMar>
              <w:top w:type="dxa" w:w="80"/>
              <w:left w:type="dxa" w:w="100"/>
              <w:bottom w:type="dxa" w:w="80"/>
              <w:right w:type="dxa" w:w="100"/>
            </w:tcMar>
          </w:tcPr>
          <w:p>
            <w:pPr>
              <w:spacing w:after="40"/>
            </w:pPr>
            <w:r>
              <w:rPr>
                <w:rFonts w:ascii="Calibri" w:cs="Calibri" w:eastAsia="Calibri" w:hAnsi="Calibri"/>
                <w:sz w:val="18"/>
                <w:szCs w:val="18"/>
              </w:rPr>
              <w:t xml:space="preserve">PDF completo nos arquivos do Projeto TCC2.</w:t>
            </w:r>
          </w:p>
          <w:p>
            <w:pPr>
              <w:spacing w:after="40"/>
            </w:pPr>
            <w:hyperlink w:history="1" r:id="rIds4ji-kdf3jlcus1khabwz">
              <w:r>
                <w:rPr>
                  <w:rStyle w:val="Hyperlink"/>
                  <w:rFonts w:ascii="Calibri" w:cs="Calibri" w:eastAsia="Calibri" w:hAnsi="Calibri"/>
                  <w:sz w:val="16"/>
                  <w:szCs w:val="16"/>
                </w:rPr>
                <w:t xml:space="preserve">doi.org/10.1109/TSMCA.2012.2199304</w:t>
              </w:r>
            </w:hyperlink>
          </w:p>
        </w:tc>
        <w:tc>
          <w:tcPr>
            <w:tcW w:type="dxa" w:w="2900"/>
            <w:tcMar>
              <w:top w:type="dxa" w:w="80"/>
              <w:left w:type="dxa" w:w="100"/>
              <w:bottom w:type="dxa" w:w="80"/>
              <w:right w:type="dxa" w:w="100"/>
            </w:tcMar>
          </w:tcPr>
          <w:p>
            <w:pPr>
              <w:spacing w:after="40"/>
            </w:pPr>
            <w:r>
              <w:rPr>
                <w:rFonts w:ascii="Calibri" w:cs="Calibri" w:eastAsia="Calibri" w:hAnsi="Calibri"/>
                <w:sz w:val="18"/>
                <w:szCs w:val="18"/>
              </w:rPr>
              <w:t xml:space="preserve">Equação (4) — lei de atualização de confiança entre agentes (D-01). Também é o precedente de arcabouço ABM para trabalho de equipe de engenharia.</w:t>
            </w:r>
          </w:p>
        </w:tc>
        <w:tc>
          <w:tcPr>
            <w:tcW w:type="dxa" w:w="1900"/>
            <w:tcMar>
              <w:top w:type="dxa" w:w="80"/>
              <w:left w:type="dxa" w:w="100"/>
              <w:bottom w:type="dxa" w:w="80"/>
              <w:right w:type="dxa" w:w="100"/>
            </w:tcMar>
          </w:tcPr>
          <w:p>
            <w:pPr>
              <w:spacing w:after="40"/>
            </w:pPr>
            <w:r>
              <w:rPr>
                <w:rFonts w:ascii="Calibri" w:cs="Calibri" w:eastAsia="Calibri" w:hAnsi="Calibri"/>
                <w:b/>
                <w:bCs/>
                <w:color w:val="1E6B3A"/>
                <w:sz w:val="18"/>
                <w:szCs w:val="18"/>
              </w:rPr>
              <w:t xml:space="preserve">TEXTO LIDO</w:t>
            </w:r>
          </w:p>
          <w:p>
            <w:pPr>
              <w:spacing w:after="40"/>
            </w:pPr>
            <w:r>
              <w:rPr>
                <w:rFonts w:ascii="Calibri" w:cs="Calibri" w:eastAsia="Calibri" w:hAnsi="Calibri"/>
                <w:i/>
                <w:iCs/>
                <w:sz w:val="20"/>
                <w:szCs w:val="20"/>
              </w:rPr>
              <w:t xml:space="preserve">Eq. (4) lida literalmente no PDF.</w:t>
            </w:r>
          </w:p>
        </w:tc>
      </w:tr>
      <w:tr>
        <w:trPr>
          <w:cantSplit/>
        </w:trPr>
        <w:tc>
          <w:tcPr>
            <w:tcW w:type="dxa" w:w="2750"/>
            <w:shd w:fill="F2F2F2" w:color="auto" w:val="clear"/>
            <w:tcMar>
              <w:top w:type="dxa" w:w="80"/>
              <w:left w:type="dxa" w:w="100"/>
              <w:bottom w:type="dxa" w:w="80"/>
              <w:right w:type="dxa" w:w="100"/>
            </w:tcMar>
          </w:tcPr>
          <w:p>
            <w:pPr>
              <w:spacing w:after="40"/>
            </w:pPr>
            <w:r>
              <w:rPr>
                <w:rFonts w:ascii="Calibri" w:cs="Calibri" w:eastAsia="Calibri" w:hAnsi="Calibri"/>
                <w:b/>
                <w:bCs/>
                <w:sz w:val="20"/>
                <w:szCs w:val="20"/>
              </w:rPr>
              <w:t xml:space="preserve">Estudo de leitura sob restrição de tempo + depósito OSF q2dm6 </w:t>
            </w:r>
            <w:r>
              <w:rPr>
                <w:rFonts w:ascii="Calibri" w:cs="Calibri" w:eastAsia="Calibri" w:hAnsi="Calibri"/>
                <w:sz w:val="18"/>
                <w:szCs w:val="18"/>
              </w:rPr>
              <w:t xml:space="preserve">(Nature Human Behaviour, 2026). Dados: corrected_human_eye_movement_data.json e human_comprehension_data.csv.</w:t>
            </w:r>
          </w:p>
        </w:tc>
        <w:tc>
          <w:tcPr>
            <w:tcW w:type="dxa" w:w="2150"/>
            <w:shd w:fill="F2F2F2" w:color="auto" w:val="clear"/>
            <w:tcMar>
              <w:top w:type="dxa" w:w="80"/>
              <w:left w:type="dxa" w:w="100"/>
              <w:bottom w:type="dxa" w:w="80"/>
              <w:right w:type="dxa" w:w="100"/>
            </w:tcMar>
          </w:tcPr>
          <w:p>
            <w:pPr>
              <w:spacing w:after="40"/>
            </w:pPr>
            <w:hyperlink w:history="1" r:id="rIdbvzibh7qsb3nquri6w0fe">
              <w:r>
                <w:rPr>
                  <w:rStyle w:val="Hyperlink"/>
                  <w:rFonts w:ascii="Calibri" w:cs="Calibri" w:eastAsia="Calibri" w:hAnsi="Calibri"/>
                  <w:sz w:val="16"/>
                  <w:szCs w:val="16"/>
                </w:rPr>
                <w:t xml:space="preserve">osf.io/q2dm6</w:t>
              </w:r>
            </w:hyperlink>
          </w:p>
          <w:p>
            <w:pPr>
              <w:spacing w:after="40"/>
            </w:pPr>
            <w:r>
              <w:rPr>
                <w:rFonts w:ascii="Calibri" w:cs="Calibri" w:eastAsia="Calibri" w:hAnsi="Calibri"/>
                <w:i/>
                <w:iCs/>
                <w:sz w:val="14"/>
                <w:szCs w:val="14"/>
              </w:rPr>
              <w:t xml:space="preserve">SHA-256 do CSV usado: 7808075b932c3096ba2c50ff0273b2d375607afd0ba6a3ceeb627ab353fbf171</w:t>
            </w:r>
          </w:p>
        </w:tc>
        <w:tc>
          <w:tcPr>
            <w:tcW w:type="dxa" w:w="29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ρ_omissão = 0,35, faixa [0,20 ; 0,50] (D-02). ε(30 s) = 0,268 IC95 [0,197 ; 0,339]; ε(60 s) = 0,101 [0,036 ; 0,167]; n = 32; 29/32 com ε &gt; 0.</w:t>
            </w:r>
          </w:p>
        </w:tc>
        <w:tc>
          <w:tcPr>
            <w:tcW w:type="dxa" w:w="1900"/>
            <w:shd w:fill="F2F2F2" w:color="auto" w:val="clear"/>
            <w:tcMar>
              <w:top w:type="dxa" w:w="80"/>
              <w:left w:type="dxa" w:w="100"/>
              <w:bottom w:type="dxa" w:w="80"/>
              <w:right w:type="dxa" w:w="100"/>
            </w:tcMar>
          </w:tcPr>
          <w:p>
            <w:pPr>
              <w:spacing w:after="40"/>
            </w:pPr>
            <w:r>
              <w:rPr>
                <w:rFonts w:ascii="Calibri" w:cs="Calibri" w:eastAsia="Calibri" w:hAnsi="Calibri"/>
                <w:b/>
                <w:bCs/>
                <w:color w:val="8A6300"/>
                <w:sz w:val="18"/>
                <w:szCs w:val="18"/>
              </w:rPr>
              <w:t xml:space="preserve">DADO RECALCULADO</w:t>
            </w:r>
          </w:p>
          <w:p>
            <w:pPr>
              <w:spacing w:after="40"/>
            </w:pPr>
            <w:r>
              <w:rPr>
                <w:rFonts w:ascii="Calibri" w:cs="Calibri" w:eastAsia="Calibri" w:hAnsi="Calibri"/>
                <w:i/>
                <w:iCs/>
                <w:sz w:val="20"/>
                <w:szCs w:val="20"/>
              </w:rPr>
              <w:t xml:space="preserve">288 ensaios, 96/96/96, 3 por célula; médias reproduzem 0,59 e 0,83.</w:t>
            </w:r>
          </w:p>
        </w:tc>
      </w:tr>
      <w:tr>
        <w:trPr>
          <w:cantSplit/>
        </w:trPr>
        <w:tc>
          <w:tcPr>
            <w:tcW w:type="dxa" w:w="2750"/>
            <w:tcMar>
              <w:top w:type="dxa" w:w="80"/>
              <w:left w:type="dxa" w:w="100"/>
              <w:bottom w:type="dxa" w:w="80"/>
              <w:right w:type="dxa" w:w="100"/>
            </w:tcMar>
          </w:tcPr>
          <w:p>
            <w:pPr>
              <w:spacing w:after="40"/>
            </w:pPr>
            <w:r>
              <w:rPr>
                <w:rFonts w:ascii="Calibri" w:cs="Calibri" w:eastAsia="Calibri" w:hAnsi="Calibri"/>
                <w:b/>
                <w:bCs/>
                <w:sz w:val="20"/>
                <w:szCs w:val="20"/>
              </w:rPr>
              <w:t xml:space="preserve">Szalma, J. L.; Hancock, P. A.; Quinn, S. (2008). </w:t>
            </w:r>
            <w:r>
              <w:rPr>
                <w:rFonts w:ascii="Calibri" w:cs="Calibri" w:eastAsia="Calibri" w:hAnsi="Calibri"/>
                <w:sz w:val="18"/>
                <w:szCs w:val="18"/>
              </w:rPr>
              <w:t xml:space="preserve">“A Meta-Analysis of the Effect of Time Pressure on Human Performance”. Proceedings of the Human Factors and Ergonomics Society Annual Meeting, 52(19), 1513–1516.</w:t>
            </w:r>
          </w:p>
        </w:tc>
        <w:tc>
          <w:tcPr>
            <w:tcW w:type="dxa" w:w="2150"/>
            <w:tcMar>
              <w:top w:type="dxa" w:w="80"/>
              <w:left w:type="dxa" w:w="100"/>
              <w:bottom w:type="dxa" w:w="80"/>
              <w:right w:type="dxa" w:w="100"/>
            </w:tcMar>
          </w:tcPr>
          <w:p>
            <w:pPr>
              <w:spacing w:after="40"/>
            </w:pPr>
            <w:hyperlink w:history="1" r:id="rIdfnezqtliijkyuk9dnjrve">
              <w:r>
                <w:rPr>
                  <w:rStyle w:val="Hyperlink"/>
                  <w:rFonts w:ascii="Calibri" w:cs="Calibri" w:eastAsia="Calibri" w:hAnsi="Calibri"/>
                  <w:sz w:val="16"/>
                  <w:szCs w:val="16"/>
                </w:rPr>
                <w:t xml:space="preserve">doi.org/10.1177/154193120805201944</w:t>
              </w:r>
            </w:hyperlink>
          </w:p>
        </w:tc>
        <w:tc>
          <w:tcPr>
            <w:tcW w:type="dxa" w:w="2900"/>
            <w:tcMar>
              <w:top w:type="dxa" w:w="80"/>
              <w:left w:type="dxa" w:w="100"/>
              <w:bottom w:type="dxa" w:w="80"/>
              <w:right w:type="dxa" w:w="100"/>
            </w:tcMar>
          </w:tcPr>
          <w:p>
            <w:pPr>
              <w:spacing w:after="40"/>
            </w:pPr>
            <w:r>
              <w:rPr>
                <w:rFonts w:ascii="Calibri" w:cs="Calibri" w:eastAsia="Calibri" w:hAnsi="Calibri"/>
                <w:sz w:val="18"/>
                <w:szCs w:val="18"/>
              </w:rPr>
              <w:t xml:space="preserve">Suporte de CONSTRUTO para D-02: 125 estudos, 827 tamanhos de efeito; pressão de tempo facilita velocidade e prejudica acurácia, com variabilidade substancial — o que justifica tratar ρ como faixa.</w:t>
            </w:r>
          </w:p>
        </w:tc>
        <w:tc>
          <w:tcPr>
            <w:tcW w:type="dxa" w:w="1900"/>
            <w:tcMar>
              <w:top w:type="dxa" w:w="80"/>
              <w:left w:type="dxa" w:w="100"/>
              <w:bottom w:type="dxa" w:w="80"/>
              <w:right w:type="dxa" w:w="100"/>
            </w:tcMar>
          </w:tcPr>
          <w:p>
            <w:pPr>
              <w:spacing w:after="40"/>
            </w:pPr>
            <w:r>
              <w:rPr>
                <w:rFonts w:ascii="Calibri" w:cs="Calibri" w:eastAsia="Calibri" w:hAnsi="Calibri"/>
                <w:b/>
                <w:bCs/>
                <w:color w:val="1E6B3A"/>
                <w:sz w:val="18"/>
                <w:szCs w:val="18"/>
              </w:rPr>
              <w:t xml:space="preserve">TEXTO LIDO</w:t>
            </w:r>
          </w:p>
          <w:p>
            <w:pPr>
              <w:spacing w:after="40"/>
            </w:pPr>
            <w:r>
              <w:rPr>
                <w:rFonts w:ascii="Calibri" w:cs="Calibri" w:eastAsia="Calibri" w:hAnsi="Calibri"/>
                <w:b/>
                <w:bCs/>
                <w:color w:val="9C2B1B"/>
                <w:sz w:val="18"/>
                <w:szCs w:val="18"/>
              </w:rPr>
              <w:t xml:space="preserve">Não usar como fonte de valor</w:t>
            </w:r>
          </w:p>
          <w:p>
            <w:pPr>
              <w:spacing w:after="40"/>
            </w:pPr>
            <w:r>
              <w:rPr>
                <w:rFonts w:ascii="Calibri" w:cs="Calibri" w:eastAsia="Calibri" w:hAnsi="Calibri"/>
                <w:i/>
                <w:iCs/>
                <w:sz w:val="20"/>
                <w:szCs w:val="20"/>
              </w:rPr>
              <w:t xml:space="preserve">É anais de congresso. Suporte conceitual apenas.</w:t>
            </w:r>
          </w:p>
        </w:tc>
      </w:tr>
      <w:tr>
        <w:trPr>
          <w:cantSplit/>
        </w:trPr>
        <w:tc>
          <w:tcPr>
            <w:tcW w:type="dxa" w:w="2750"/>
            <w:shd w:fill="F2F2F2" w:color="auto" w:val="clear"/>
            <w:tcMar>
              <w:top w:type="dxa" w:w="80"/>
              <w:left w:type="dxa" w:w="100"/>
              <w:bottom w:type="dxa" w:w="80"/>
              <w:right w:type="dxa" w:w="100"/>
            </w:tcMar>
          </w:tcPr>
          <w:p>
            <w:pPr>
              <w:spacing w:after="40"/>
            </w:pPr>
            <w:r>
              <w:rPr>
                <w:rFonts w:ascii="Calibri" w:cs="Calibri" w:eastAsia="Calibri" w:hAnsi="Calibri"/>
                <w:b/>
                <w:bCs/>
                <w:sz w:val="20"/>
                <w:szCs w:val="20"/>
              </w:rPr>
              <w:t xml:space="preserve">Kim, D. H. </w:t>
            </w:r>
            <w:r>
              <w:rPr>
                <w:rFonts w:ascii="Calibri" w:cs="Calibri" w:eastAsia="Calibri" w:hAnsi="Calibri"/>
                <w:sz w:val="18"/>
                <w:szCs w:val="18"/>
              </w:rPr>
              <w:t xml:space="preserve">Systems Thinking Tools (arquétipos sistêmicos, incluindo Soluções Sintomáticas).</w:t>
            </w:r>
          </w:p>
        </w:tc>
        <w:tc>
          <w:tcPr>
            <w:tcW w:type="dxa" w:w="215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PDF completo nos arquivos do Projeto TCC2.</w:t>
            </w:r>
          </w:p>
        </w:tc>
        <w:tc>
          <w:tcPr>
            <w:tcW w:type="dxa" w:w="29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Definição do arquétipo usada para concluir que a Porta 1 NÃO o instancia (D-04).</w:t>
            </w:r>
          </w:p>
        </w:tc>
        <w:tc>
          <w:tcPr>
            <w:tcW w:type="dxa" w:w="1900"/>
            <w:shd w:fill="F2F2F2" w:color="auto" w:val="clear"/>
            <w:tcMar>
              <w:top w:type="dxa" w:w="80"/>
              <w:left w:type="dxa" w:w="100"/>
              <w:bottom w:type="dxa" w:w="80"/>
              <w:right w:type="dxa" w:w="100"/>
            </w:tcMar>
          </w:tcPr>
          <w:p>
            <w:pPr>
              <w:spacing w:after="40"/>
            </w:pPr>
            <w:r>
              <w:rPr>
                <w:rFonts w:ascii="Calibri" w:cs="Calibri" w:eastAsia="Calibri" w:hAnsi="Calibri"/>
                <w:b/>
                <w:bCs/>
                <w:color w:val="1E6B3A"/>
                <w:sz w:val="18"/>
                <w:szCs w:val="18"/>
              </w:rPr>
              <w:t xml:space="preserve">TEXTO LIDO</w:t>
            </w:r>
          </w:p>
        </w:tc>
      </w:tr>
      <w:tr>
        <w:trPr>
          <w:cantSplit/>
        </w:trPr>
        <w:tc>
          <w:tcPr>
            <w:tcW w:type="dxa" w:w="2750"/>
            <w:tcMar>
              <w:top w:type="dxa" w:w="80"/>
              <w:left w:type="dxa" w:w="100"/>
              <w:bottom w:type="dxa" w:w="80"/>
              <w:right w:type="dxa" w:w="100"/>
            </w:tcMar>
          </w:tcPr>
          <w:p>
            <w:pPr>
              <w:spacing w:after="40"/>
            </w:pPr>
            <w:r>
              <w:rPr>
                <w:rFonts w:ascii="Calibri" w:cs="Calibri" w:eastAsia="Calibri" w:hAnsi="Calibri"/>
                <w:b/>
                <w:bCs/>
                <w:sz w:val="20"/>
                <w:szCs w:val="20"/>
              </w:rPr>
              <w:t xml:space="preserve">Wood, R. E. (1986). </w:t>
            </w:r>
            <w:r>
              <w:rPr>
                <w:rFonts w:ascii="Calibri" w:cs="Calibri" w:eastAsia="Calibri" w:hAnsi="Calibri"/>
                <w:sz w:val="18"/>
                <w:szCs w:val="18"/>
              </w:rPr>
              <w:t xml:space="preserve">“Task complexity: Definition of the construct”. Organizational Behavior and Human Decision Processes, 37(1), 60–82.</w:t>
            </w:r>
          </w:p>
        </w:tc>
        <w:tc>
          <w:tcPr>
            <w:tcW w:type="dxa" w:w="2150"/>
            <w:tcMar>
              <w:top w:type="dxa" w:w="80"/>
              <w:left w:type="dxa" w:w="100"/>
              <w:bottom w:type="dxa" w:w="80"/>
              <w:right w:type="dxa" w:w="100"/>
            </w:tcMar>
          </w:tcPr>
          <w:p>
            <w:pPr>
              <w:spacing w:after="40"/>
            </w:pPr>
            <w:hyperlink w:history="1" r:id="rIdx2vaf4amq3gliemvg7drp">
              <w:r>
                <w:rPr>
                  <w:rStyle w:val="Hyperlink"/>
                  <w:rFonts w:ascii="Calibri" w:cs="Calibri" w:eastAsia="Calibri" w:hAnsi="Calibri"/>
                  <w:sz w:val="16"/>
                  <w:szCs w:val="16"/>
                </w:rPr>
                <w:t xml:space="preserve">doi.org/10.1016/0749-5978(86)90044-0</w:t>
              </w:r>
            </w:hyperlink>
          </w:p>
        </w:tc>
        <w:tc>
          <w:tcPr>
            <w:tcW w:type="dxa" w:w="2900"/>
            <w:tcMar>
              <w:top w:type="dxa" w:w="80"/>
              <w:left w:type="dxa" w:w="100"/>
              <w:bottom w:type="dxa" w:w="80"/>
              <w:right w:type="dxa" w:w="100"/>
            </w:tcMar>
          </w:tcPr>
          <w:p>
            <w:pPr>
              <w:spacing w:after="40"/>
            </w:pPr>
            <w:r>
              <w:rPr>
                <w:rFonts w:ascii="Calibri" w:cs="Calibri" w:eastAsia="Calibri" w:hAnsi="Calibri"/>
                <w:sz w:val="18"/>
                <w:szCs w:val="18"/>
              </w:rPr>
              <w:t xml:space="preserve">Definição de complexidade de tarefa (componente, coordenativa, dinâmica) — base para D-05, isto é, para dizer o que Di NÃO é.</w:t>
            </w:r>
          </w:p>
        </w:tc>
        <w:tc>
          <w:tcPr>
            <w:tcW w:type="dxa" w:w="1900"/>
            <w:tcMar>
              <w:top w:type="dxa" w:w="80"/>
              <w:left w:type="dxa" w:w="100"/>
              <w:bottom w:type="dxa" w:w="80"/>
              <w:right w:type="dxa" w:w="100"/>
            </w:tcMar>
          </w:tcPr>
          <w:p>
            <w:pPr>
              <w:spacing w:after="40"/>
            </w:pPr>
            <w:r>
              <w:rPr>
                <w:rFonts w:ascii="Calibri" w:cs="Calibri" w:eastAsia="Calibri" w:hAnsi="Calibri"/>
                <w:b/>
                <w:bCs/>
                <w:color w:val="8A6300"/>
                <w:sz w:val="18"/>
                <w:szCs w:val="18"/>
              </w:rPr>
              <w:t xml:space="preserve">METADADOS CONFERIDOS</w:t>
            </w:r>
          </w:p>
        </w:tc>
      </w:tr>
      <w:tr>
        <w:trPr>
          <w:cantSplit/>
        </w:trPr>
        <w:tc>
          <w:tcPr>
            <w:tcW w:type="dxa" w:w="2750"/>
            <w:shd w:fill="F2F2F2" w:color="auto" w:val="clear"/>
            <w:tcMar>
              <w:top w:type="dxa" w:w="80"/>
              <w:left w:type="dxa" w:w="100"/>
              <w:bottom w:type="dxa" w:w="80"/>
              <w:right w:type="dxa" w:w="100"/>
            </w:tcMar>
          </w:tcPr>
          <w:p>
            <w:pPr>
              <w:spacing w:after="40"/>
            </w:pPr>
            <w:r>
              <w:rPr>
                <w:rFonts w:ascii="Calibri" w:cs="Calibri" w:eastAsia="Calibri" w:hAnsi="Calibri"/>
                <w:b/>
                <w:bCs/>
                <w:sz w:val="20"/>
                <w:szCs w:val="20"/>
              </w:rPr>
              <w:t xml:space="preserve">Liu, P.; Li, Z. (2012). </w:t>
            </w:r>
            <w:r>
              <w:rPr>
                <w:rFonts w:ascii="Calibri" w:cs="Calibri" w:eastAsia="Calibri" w:hAnsi="Calibri"/>
                <w:sz w:val="18"/>
                <w:szCs w:val="18"/>
              </w:rPr>
              <w:t xml:space="preserve">“Task complexity: A review and conceptualization framework”. International Journal of Industrial Ergonomics, 42(6), 553–568.</w:t>
            </w:r>
          </w:p>
        </w:tc>
        <w:tc>
          <w:tcPr>
            <w:tcW w:type="dxa" w:w="2150"/>
            <w:shd w:fill="F2F2F2" w:color="auto" w:val="clear"/>
            <w:tcMar>
              <w:top w:type="dxa" w:w="80"/>
              <w:left w:type="dxa" w:w="100"/>
              <w:bottom w:type="dxa" w:w="80"/>
              <w:right w:type="dxa" w:w="100"/>
            </w:tcMar>
          </w:tcPr>
          <w:p>
            <w:pPr>
              <w:spacing w:after="40"/>
            </w:pPr>
            <w:hyperlink w:history="1" r:id="rId85icvmszpaa9kfmgetv32">
              <w:r>
                <w:rPr>
                  <w:rStyle w:val="Hyperlink"/>
                  <w:rFonts w:ascii="Calibri" w:cs="Calibri" w:eastAsia="Calibri" w:hAnsi="Calibri"/>
                  <w:sz w:val="16"/>
                  <w:szCs w:val="16"/>
                </w:rPr>
                <w:t xml:space="preserve">doi.org/10.1016/j.ergon.2012.09.001</w:t>
              </w:r>
            </w:hyperlink>
          </w:p>
        </w:tc>
        <w:tc>
          <w:tcPr>
            <w:tcW w:type="dxa" w:w="29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Arcabouço de conceitualização de complexidade de tarefa; complementa Wood (1986) em D-05.</w:t>
            </w:r>
          </w:p>
        </w:tc>
        <w:tc>
          <w:tcPr>
            <w:tcW w:type="dxa" w:w="1900"/>
            <w:shd w:fill="F2F2F2" w:color="auto" w:val="clear"/>
            <w:tcMar>
              <w:top w:type="dxa" w:w="80"/>
              <w:left w:type="dxa" w:w="100"/>
              <w:bottom w:type="dxa" w:w="80"/>
              <w:right w:type="dxa" w:w="100"/>
            </w:tcMar>
          </w:tcPr>
          <w:p>
            <w:pPr>
              <w:spacing w:after="40"/>
            </w:pPr>
            <w:r>
              <w:rPr>
                <w:rFonts w:ascii="Calibri" w:cs="Calibri" w:eastAsia="Calibri" w:hAnsi="Calibri"/>
                <w:b/>
                <w:bCs/>
                <w:color w:val="8A6300"/>
                <w:sz w:val="18"/>
                <w:szCs w:val="18"/>
              </w:rPr>
              <w:t xml:space="preserve">METADADOS CONFERIDOS</w:t>
            </w:r>
          </w:p>
        </w:tc>
      </w:tr>
      <w:tr>
        <w:trPr>
          <w:cantSplit/>
        </w:trPr>
        <w:tc>
          <w:tcPr>
            <w:tcW w:type="dxa" w:w="2750"/>
            <w:tcMar>
              <w:top w:type="dxa" w:w="80"/>
              <w:left w:type="dxa" w:w="100"/>
              <w:bottom w:type="dxa" w:w="80"/>
              <w:right w:type="dxa" w:w="100"/>
            </w:tcMar>
          </w:tcPr>
          <w:p>
            <w:pPr>
              <w:spacing w:after="40"/>
            </w:pPr>
            <w:r>
              <w:rPr>
                <w:rFonts w:ascii="Calibri" w:cs="Calibri" w:eastAsia="Calibri" w:hAnsi="Calibri"/>
                <w:b/>
                <w:bCs/>
                <w:sz w:val="20"/>
                <w:szCs w:val="20"/>
              </w:rPr>
              <w:t xml:space="preserve">Raue, A. et al. (2009). </w:t>
            </w:r>
            <w:r>
              <w:rPr>
                <w:rFonts w:ascii="Calibri" w:cs="Calibri" w:eastAsia="Calibri" w:hAnsi="Calibri"/>
                <w:sz w:val="18"/>
                <w:szCs w:val="18"/>
              </w:rPr>
              <w:t xml:space="preserve">“Structural and practical identifiability analysis of partially observed dynamical models by exploiting the profile likelihood”. Bioinformatics, 25(15), 1923–1929.</w:t>
            </w:r>
          </w:p>
        </w:tc>
        <w:tc>
          <w:tcPr>
            <w:tcW w:type="dxa" w:w="2150"/>
            <w:tcMar>
              <w:top w:type="dxa" w:w="80"/>
              <w:left w:type="dxa" w:w="100"/>
              <w:bottom w:type="dxa" w:w="80"/>
              <w:right w:type="dxa" w:w="100"/>
            </w:tcMar>
          </w:tcPr>
          <w:p>
            <w:pPr>
              <w:spacing w:after="40"/>
            </w:pPr>
            <w:hyperlink w:history="1" r:id="rIdmzf62zykmow-e86i28anc">
              <w:r>
                <w:rPr>
                  <w:rStyle w:val="Hyperlink"/>
                  <w:rFonts w:ascii="Calibri" w:cs="Calibri" w:eastAsia="Calibri" w:hAnsi="Calibri"/>
                  <w:sz w:val="16"/>
                  <w:szCs w:val="16"/>
                </w:rPr>
                <w:t xml:space="preserve">doi.org/10.1093/bioinformatics/btp358</w:t>
              </w:r>
            </w:hyperlink>
          </w:p>
        </w:tc>
        <w:tc>
          <w:tcPr>
            <w:tcW w:type="dxa" w:w="2900"/>
            <w:tcMar>
              <w:top w:type="dxa" w:w="80"/>
              <w:left w:type="dxa" w:w="100"/>
              <w:bottom w:type="dxa" w:w="80"/>
              <w:right w:type="dxa" w:w="100"/>
            </w:tcMar>
          </w:tcPr>
          <w:p>
            <w:pPr>
              <w:spacing w:after="40"/>
            </w:pPr>
            <w:r>
              <w:rPr>
                <w:rFonts w:ascii="Calibri" w:cs="Calibri" w:eastAsia="Calibri" w:hAnsi="Calibri"/>
                <w:sz w:val="18"/>
                <w:szCs w:val="18"/>
              </w:rPr>
              <w:t xml:space="preserve">Vocabulário de não identificabilidade estrutural × prática — usado para descrever corretamente o que acontece com F_ancora × f_retrabalho (A-01, D-12).</w:t>
            </w:r>
          </w:p>
        </w:tc>
        <w:tc>
          <w:tcPr>
            <w:tcW w:type="dxa" w:w="1900"/>
            <w:tcMar>
              <w:top w:type="dxa" w:w="80"/>
              <w:left w:type="dxa" w:w="100"/>
              <w:bottom w:type="dxa" w:w="80"/>
              <w:right w:type="dxa" w:w="100"/>
            </w:tcMar>
          </w:tcPr>
          <w:p>
            <w:pPr>
              <w:spacing w:after="40"/>
            </w:pPr>
            <w:r>
              <w:rPr>
                <w:rFonts w:ascii="Calibri" w:cs="Calibri" w:eastAsia="Calibri" w:hAnsi="Calibri"/>
                <w:b/>
                <w:bCs/>
                <w:color w:val="8A6300"/>
                <w:sz w:val="18"/>
                <w:szCs w:val="18"/>
              </w:rPr>
              <w:t xml:space="preserve">METADADOS CONFERIDOS</w:t>
            </w:r>
          </w:p>
        </w:tc>
      </w:tr>
      <w:tr>
        <w:trPr>
          <w:cantSplit/>
        </w:trPr>
        <w:tc>
          <w:tcPr>
            <w:tcW w:type="dxa" w:w="2750"/>
            <w:shd w:fill="F2F2F2" w:color="auto" w:val="clear"/>
            <w:tcMar>
              <w:top w:type="dxa" w:w="80"/>
              <w:left w:type="dxa" w:w="100"/>
              <w:bottom w:type="dxa" w:w="80"/>
              <w:right w:type="dxa" w:w="100"/>
            </w:tcMar>
          </w:tcPr>
          <w:p>
            <w:pPr>
              <w:spacing w:after="40"/>
            </w:pPr>
            <w:r>
              <w:rPr>
                <w:rFonts w:ascii="Calibri" w:cs="Calibri" w:eastAsia="Calibri" w:hAnsi="Calibri"/>
                <w:b/>
                <w:bCs/>
                <w:sz w:val="20"/>
                <w:szCs w:val="20"/>
              </w:rPr>
              <w:t xml:space="preserve">Grimm, V. et al. (2005). </w:t>
            </w:r>
            <w:r>
              <w:rPr>
                <w:rFonts w:ascii="Calibri" w:cs="Calibri" w:eastAsia="Calibri" w:hAnsi="Calibri"/>
                <w:sz w:val="18"/>
                <w:szCs w:val="18"/>
              </w:rPr>
              <w:t xml:space="preserve">“Pattern-Oriented Modeling of Agent-Based Complex Systems: Lessons from Ecology”. Science, 310(5750), 987–991.</w:t>
            </w:r>
          </w:p>
        </w:tc>
        <w:tc>
          <w:tcPr>
            <w:tcW w:type="dxa" w:w="2150"/>
            <w:shd w:fill="F2F2F2" w:color="auto" w:val="clear"/>
            <w:tcMar>
              <w:top w:type="dxa" w:w="80"/>
              <w:left w:type="dxa" w:w="100"/>
              <w:bottom w:type="dxa" w:w="80"/>
              <w:right w:type="dxa" w:w="100"/>
            </w:tcMar>
          </w:tcPr>
          <w:p>
            <w:pPr>
              <w:spacing w:after="40"/>
            </w:pPr>
            <w:hyperlink w:history="1" r:id="rIdopah55bhasakpmvik8m_k">
              <w:r>
                <w:rPr>
                  <w:rStyle w:val="Hyperlink"/>
                  <w:rFonts w:ascii="Calibri" w:cs="Calibri" w:eastAsia="Calibri" w:hAnsi="Calibri"/>
                  <w:sz w:val="16"/>
                  <w:szCs w:val="16"/>
                </w:rPr>
                <w:t xml:space="preserve">doi.org/10.1126/science.1116681</w:t>
              </w:r>
            </w:hyperlink>
          </w:p>
        </w:tc>
        <w:tc>
          <w:tcPr>
            <w:tcW w:type="dxa" w:w="29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Modelagem orientada a padrões como critério de adequação sem calibração numérica (D-12).</w:t>
            </w:r>
          </w:p>
        </w:tc>
        <w:tc>
          <w:tcPr>
            <w:tcW w:type="dxa" w:w="1900"/>
            <w:shd w:fill="F2F2F2" w:color="auto" w:val="clear"/>
            <w:tcMar>
              <w:top w:type="dxa" w:w="80"/>
              <w:left w:type="dxa" w:w="100"/>
              <w:bottom w:type="dxa" w:w="80"/>
              <w:right w:type="dxa" w:w="100"/>
            </w:tcMar>
          </w:tcPr>
          <w:p>
            <w:pPr>
              <w:spacing w:after="40"/>
            </w:pPr>
            <w:r>
              <w:rPr>
                <w:rFonts w:ascii="Calibri" w:cs="Calibri" w:eastAsia="Calibri" w:hAnsi="Calibri"/>
                <w:b/>
                <w:bCs/>
                <w:color w:val="8A6300"/>
                <w:sz w:val="18"/>
                <w:szCs w:val="18"/>
              </w:rPr>
              <w:t xml:space="preserve">METADADOS CONFERIDOS</w:t>
            </w:r>
          </w:p>
        </w:tc>
      </w:tr>
      <w:tr>
        <w:trPr>
          <w:cantSplit/>
        </w:trPr>
        <w:tc>
          <w:tcPr>
            <w:tcW w:type="dxa" w:w="2750"/>
            <w:tcMar>
              <w:top w:type="dxa" w:w="80"/>
              <w:left w:type="dxa" w:w="100"/>
              <w:bottom w:type="dxa" w:w="80"/>
              <w:right w:type="dxa" w:w="100"/>
            </w:tcMar>
          </w:tcPr>
          <w:p>
            <w:pPr>
              <w:spacing w:after="40"/>
            </w:pPr>
            <w:r>
              <w:rPr>
                <w:rFonts w:ascii="Calibri" w:cs="Calibri" w:eastAsia="Calibri" w:hAnsi="Calibri"/>
                <w:b/>
                <w:bCs/>
                <w:sz w:val="20"/>
                <w:szCs w:val="20"/>
              </w:rPr>
              <w:t xml:space="preserve">Talts, S.; Betancourt, M.; Simpson, D.; Vehtari, A.; Gelman, A. (2018). </w:t>
            </w:r>
            <w:r>
              <w:rPr>
                <w:rFonts w:ascii="Calibri" w:cs="Calibri" w:eastAsia="Calibri" w:hAnsi="Calibri"/>
                <w:sz w:val="18"/>
                <w:szCs w:val="18"/>
              </w:rPr>
              <w:t xml:space="preserve">“Validating Bayesian Inference Algorithms with Simulation-Based Calibration”. arXiv:1804.06788.</w:t>
            </w:r>
          </w:p>
        </w:tc>
        <w:tc>
          <w:tcPr>
            <w:tcW w:type="dxa" w:w="2150"/>
            <w:tcMar>
              <w:top w:type="dxa" w:w="80"/>
              <w:left w:type="dxa" w:w="100"/>
              <w:bottom w:type="dxa" w:w="80"/>
              <w:right w:type="dxa" w:w="100"/>
            </w:tcMar>
          </w:tcPr>
          <w:p>
            <w:pPr>
              <w:spacing w:after="40"/>
            </w:pPr>
            <w:hyperlink w:history="1" r:id="rId_rxvwvoaiiioiq0fwlblm">
              <w:r>
                <w:rPr>
                  <w:rStyle w:val="Hyperlink"/>
                  <w:rFonts w:ascii="Calibri" w:cs="Calibri" w:eastAsia="Calibri" w:hAnsi="Calibri"/>
                  <w:sz w:val="16"/>
                  <w:szCs w:val="16"/>
                </w:rPr>
                <w:t xml:space="preserve">arxiv.org/abs/1804.06788</w:t>
              </w:r>
            </w:hyperlink>
          </w:p>
        </w:tc>
        <w:tc>
          <w:tcPr>
            <w:tcW w:type="dxa" w:w="2900"/>
            <w:tcMar>
              <w:top w:type="dxa" w:w="80"/>
              <w:left w:type="dxa" w:w="100"/>
              <w:bottom w:type="dxa" w:w="80"/>
              <w:right w:type="dxa" w:w="100"/>
            </w:tcMar>
          </w:tcPr>
          <w:p>
            <w:pPr>
              <w:spacing w:after="40"/>
            </w:pPr>
            <w:r>
              <w:rPr>
                <w:rFonts w:ascii="Calibri" w:cs="Calibri" w:eastAsia="Calibri" w:hAnsi="Calibri"/>
                <w:sz w:val="18"/>
                <w:szCs w:val="18"/>
              </w:rPr>
              <w:t xml:space="preserve">Calibração baseada em simulação — alternativa metodológica caso a rota bayesiana volte à mesa (D-12).</w:t>
            </w:r>
          </w:p>
        </w:tc>
        <w:tc>
          <w:tcPr>
            <w:tcW w:type="dxa" w:w="1900"/>
            <w:tcMar>
              <w:top w:type="dxa" w:w="80"/>
              <w:left w:type="dxa" w:w="100"/>
              <w:bottom w:type="dxa" w:w="80"/>
              <w:right w:type="dxa" w:w="100"/>
            </w:tcMar>
          </w:tcPr>
          <w:p>
            <w:pPr>
              <w:spacing w:after="40"/>
            </w:pPr>
            <w:r>
              <w:rPr>
                <w:rFonts w:ascii="Calibri" w:cs="Calibri" w:eastAsia="Calibri" w:hAnsi="Calibri"/>
                <w:b/>
                <w:bCs/>
                <w:color w:val="8A6300"/>
                <w:sz w:val="18"/>
                <w:szCs w:val="18"/>
              </w:rPr>
              <w:t xml:space="preserve">METADADOS CONFERIDOS</w:t>
            </w:r>
          </w:p>
          <w:p>
            <w:pPr>
              <w:spacing w:after="40"/>
            </w:pPr>
            <w:r>
              <w:rPr>
                <w:rFonts w:ascii="Calibri" w:cs="Calibri" w:eastAsia="Calibri" w:hAnsi="Calibri"/>
                <w:i/>
                <w:iCs/>
                <w:sz w:val="20"/>
                <w:szCs w:val="20"/>
              </w:rPr>
              <w:t xml:space="preserve">Pré-print. Verificar se saiu versão em periódico.</w:t>
            </w:r>
          </w:p>
        </w:tc>
      </w:tr>
    </w:tbl>
    <w:p>
      <w:r>
        <w:br w:type="page"/>
      </w:r>
    </w:p>
    <w:p>
      <w:pPr>
        <w:pStyle w:val="Heading2"/>
        <w:spacing w:after="140" w:before="280"/>
      </w:pPr>
      <w:r>
        <w:rPr>
          <w:rFonts w:ascii="Calibri" w:cs="Calibri" w:eastAsia="Calibri" w:hAnsi="Calibri"/>
          <w:b/>
          <w:bCs/>
          <w:color w:val="5E1B39"/>
          <w:sz w:val="24"/>
          <w:szCs w:val="24"/>
        </w:rPr>
        <w:t xml:space="preserve">2.2 Fontes NÃO verificadas por mim — não citar antes de obter</w:t>
      </w:r>
    </w:p>
    <w:p>
      <w:pPr>
        <w:spacing w:after="120" w:before="0"/>
      </w:pPr>
      <w:r>
        <w:rPr>
          <w:rFonts w:ascii="Calibri" w:cs="Calibri" w:eastAsia="Calibri" w:hAnsi="Calibri"/>
          <w:sz w:val="20"/>
          <w:szCs w:val="20"/>
        </w:rPr>
        <w:t xml:space="preserve">Todas as referências abaixo entraram na discussão por indicação sua, por compilação secundária ou por saída de outra ferramenta. Nenhuma foi conferida na origem por mim. Elas estão aqui para você localizar, baixar e ler — não para serem citadas no estado atual.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50"/>
        <w:gridCol w:w="2150"/>
        <w:gridCol w:w="2900"/>
        <w:gridCol w:w="1900"/>
      </w:tblGrid>
      <w:tr>
        <w:trPr>
          <w:tblHeader/>
        </w:trPr>
        <w:tc>
          <w:tcPr>
            <w:tcW w:type="dxa" w:w="2750"/>
            <w:shd w:fill="7A3550" w:color="auto" w:val="clear"/>
            <w:tcMar>
              <w:top w:type="dxa" w:w="80"/>
              <w:left w:type="dxa" w:w="100"/>
              <w:bottom w:type="dxa" w:w="80"/>
              <w:right w:type="dxa" w:w="100"/>
            </w:tcMar>
          </w:tcPr>
          <w:p>
            <w:r>
              <w:rPr>
                <w:rFonts w:ascii="Calibri" w:cs="Calibri" w:eastAsia="Calibri" w:hAnsi="Calibri"/>
                <w:b/>
                <w:bCs/>
                <w:color w:val="FFFFFF"/>
                <w:sz w:val="18"/>
                <w:szCs w:val="18"/>
              </w:rPr>
              <w:t xml:space="preserve">Fonte</w:t>
            </w:r>
          </w:p>
        </w:tc>
        <w:tc>
          <w:tcPr>
            <w:tcW w:type="dxa" w:w="2150"/>
            <w:shd w:fill="7A3550" w:color="auto" w:val="clear"/>
            <w:tcMar>
              <w:top w:type="dxa" w:w="80"/>
              <w:left w:type="dxa" w:w="100"/>
              <w:bottom w:type="dxa" w:w="80"/>
              <w:right w:type="dxa" w:w="100"/>
            </w:tcMar>
          </w:tcPr>
          <w:p>
            <w:r>
              <w:rPr>
                <w:rFonts w:ascii="Calibri" w:cs="Calibri" w:eastAsia="Calibri" w:hAnsi="Calibri"/>
                <w:b/>
                <w:bCs/>
                <w:color w:val="FFFFFF"/>
                <w:sz w:val="18"/>
                <w:szCs w:val="18"/>
              </w:rPr>
              <w:t xml:space="preserve">Como chegou / onde procurar</w:t>
            </w:r>
          </w:p>
        </w:tc>
        <w:tc>
          <w:tcPr>
            <w:tcW w:type="dxa" w:w="2900"/>
            <w:shd w:fill="7A3550" w:color="auto" w:val="clear"/>
            <w:tcMar>
              <w:top w:type="dxa" w:w="80"/>
              <w:left w:type="dxa" w:w="100"/>
              <w:bottom w:type="dxa" w:w="80"/>
              <w:right w:type="dxa" w:w="100"/>
            </w:tcMar>
          </w:tcPr>
          <w:p>
            <w:r>
              <w:rPr>
                <w:rFonts w:ascii="Calibri" w:cs="Calibri" w:eastAsia="Calibri" w:hAnsi="Calibri"/>
                <w:b/>
                <w:bCs/>
                <w:color w:val="FFFFFF"/>
                <w:sz w:val="18"/>
                <w:szCs w:val="18"/>
              </w:rPr>
              <w:t xml:space="preserve">Para que serviria</w:t>
            </w:r>
          </w:p>
        </w:tc>
        <w:tc>
          <w:tcPr>
            <w:tcW w:type="dxa" w:w="1900"/>
            <w:shd w:fill="7A3550" w:color="auto" w:val="clear"/>
            <w:tcMar>
              <w:top w:type="dxa" w:w="80"/>
              <w:left w:type="dxa" w:w="100"/>
              <w:bottom w:type="dxa" w:w="80"/>
              <w:right w:type="dxa" w:w="100"/>
            </w:tcMar>
          </w:tcPr>
          <w:p>
            <w:r>
              <w:rPr>
                <w:rFonts w:ascii="Calibri" w:cs="Calibri" w:eastAsia="Calibri" w:hAnsi="Calibri"/>
                <w:b/>
                <w:bCs/>
                <w:color w:val="FFFFFF"/>
                <w:sz w:val="18"/>
                <w:szCs w:val="18"/>
              </w:rPr>
              <w:t xml:space="preserve">Alerta</w:t>
            </w:r>
          </w:p>
        </w:tc>
      </w:tr>
      <w:tr>
        <w:trPr>
          <w:cantSplit/>
        </w:trPr>
        <w:tc>
          <w:tcPr>
            <w:tcW w:type="dxa" w:w="2750"/>
            <w:tcMar>
              <w:top w:type="dxa" w:w="80"/>
              <w:left w:type="dxa" w:w="100"/>
              <w:bottom w:type="dxa" w:w="80"/>
              <w:right w:type="dxa" w:w="100"/>
            </w:tcMar>
          </w:tcPr>
          <w:p>
            <w:pPr>
              <w:spacing w:after="40"/>
            </w:pPr>
            <w:r>
              <w:rPr>
                <w:rFonts w:ascii="Calibri" w:cs="Calibri" w:eastAsia="Calibri" w:hAnsi="Calibri"/>
                <w:b/>
                <w:bCs/>
                <w:sz w:val="20"/>
                <w:szCs w:val="20"/>
              </w:rPr>
              <w:t xml:space="preserve">Compilação CMAA de custo de retrabalho</w:t>
            </w:r>
            <w:r>
              <w:rPr>
                <w:rFonts w:ascii="Calibri" w:cs="Calibri" w:eastAsia="Calibri" w:hAnsi="Calibri"/>
                <w:sz w:val="18"/>
                <w:szCs w:val="18"/>
              </w:rPr>
              <w:t xml:space="preserve"> e seus estudos primários: CII Research Summary 10-1 (1989); Burati, Farrington &amp; Ledbetter (1992); Benchmarking &amp; Metrics Data Report (1997); Love (2002); Hwang, Thomas, Haas &amp; Caldas (2009); CII Research Report 153-11 (2011).</w:t>
            </w:r>
          </w:p>
        </w:tc>
        <w:tc>
          <w:tcPr>
            <w:tcW w:type="dxa" w:w="2150"/>
            <w:tcMar>
              <w:top w:type="dxa" w:w="80"/>
              <w:left w:type="dxa" w:w="100"/>
              <w:bottom w:type="dxa" w:w="80"/>
              <w:right w:type="dxa" w:w="100"/>
            </w:tcMar>
          </w:tcPr>
          <w:p>
            <w:pPr>
              <w:spacing w:after="40"/>
            </w:pPr>
            <w:r>
              <w:rPr>
                <w:rFonts w:ascii="Calibri" w:cs="Calibri" w:eastAsia="Calibri" w:hAnsi="Calibri"/>
                <w:sz w:val="18"/>
                <w:szCs w:val="18"/>
              </w:rPr>
              <w:t xml:space="preserve">Números lidos na compilação secundária da CMAA. Os primários precisam ser obtidos um a um (CII: construction-institute.org; ASCE Library para JCEM).</w:t>
            </w:r>
          </w:p>
        </w:tc>
        <w:tc>
          <w:tcPr>
            <w:tcW w:type="dxa" w:w="2900"/>
            <w:tcMar>
              <w:top w:type="dxa" w:w="80"/>
              <w:left w:type="dxa" w:w="100"/>
              <w:bottom w:type="dxa" w:w="80"/>
              <w:right w:type="dxa" w:w="100"/>
            </w:tcMar>
          </w:tcPr>
          <w:p>
            <w:pPr>
              <w:spacing w:after="40"/>
            </w:pPr>
            <w:r>
              <w:rPr>
                <w:rFonts w:ascii="Calibri" w:cs="Calibri" w:eastAsia="Calibri" w:hAnsi="Calibri"/>
                <w:sz w:val="18"/>
                <w:szCs w:val="18"/>
              </w:rPr>
              <w:t xml:space="preserve">Restrição externa sobre o produto F_ancora × f_retrabalho (D-07). Mediana direta 4,03%; corrigido 4,03–6,05%; total 7,25–10,89%.</w:t>
            </w:r>
          </w:p>
        </w:tc>
        <w:tc>
          <w:tcPr>
            <w:tcW w:type="dxa" w:w="1900"/>
            <w:tcMar>
              <w:top w:type="dxa" w:w="80"/>
              <w:left w:type="dxa" w:w="100"/>
              <w:bottom w:type="dxa" w:w="80"/>
              <w:right w:type="dxa" w:w="100"/>
            </w:tcMar>
          </w:tcPr>
          <w:p>
            <w:pPr>
              <w:spacing w:after="40"/>
            </w:pPr>
            <w:r>
              <w:rPr>
                <w:rFonts w:ascii="Calibri" w:cs="Calibri" w:eastAsia="Calibri" w:hAnsi="Calibri"/>
                <w:b/>
                <w:bCs/>
                <w:color w:val="9C2B1B"/>
                <w:sz w:val="18"/>
                <w:szCs w:val="18"/>
              </w:rPr>
              <w:t xml:space="preserve">PRIMÁRIOS NÃO LIDOS</w:t>
            </w:r>
          </w:p>
          <w:p>
            <w:pPr>
              <w:spacing w:after="40"/>
            </w:pPr>
            <w:r>
              <w:rPr>
                <w:rFonts w:ascii="Calibri" w:cs="Calibri" w:eastAsia="Calibri" w:hAnsi="Calibri"/>
                <w:i/>
                <w:iCs/>
                <w:sz w:val="20"/>
                <w:szCs w:val="20"/>
              </w:rPr>
              <w:t xml:space="preserve">Citar a compilação é citar fonte secundária. Para o TCC, obter cada primário.</w:t>
            </w:r>
          </w:p>
        </w:tc>
      </w:tr>
      <w:tr>
        <w:trPr>
          <w:cantSplit/>
        </w:trPr>
        <w:tc>
          <w:tcPr>
            <w:tcW w:type="dxa" w:w="2750"/>
            <w:shd w:fill="F2F2F2" w:color="auto" w:val="clear"/>
            <w:tcMar>
              <w:top w:type="dxa" w:w="80"/>
              <w:left w:type="dxa" w:w="100"/>
              <w:bottom w:type="dxa" w:w="80"/>
              <w:right w:type="dxa" w:w="100"/>
            </w:tcMar>
          </w:tcPr>
          <w:p>
            <w:pPr>
              <w:spacing w:after="40"/>
            </w:pPr>
            <w:r>
              <w:rPr>
                <w:rFonts w:ascii="Calibri" w:cs="Calibri" w:eastAsia="Calibri" w:hAnsi="Calibri"/>
                <w:b/>
                <w:bCs/>
                <w:sz w:val="20"/>
                <w:szCs w:val="20"/>
              </w:rPr>
              <w:t xml:space="preserve">HEART — Human Error Assessment and Reduction Technique.</w:t>
            </w:r>
            <w:r>
              <w:rPr>
                <w:rFonts w:ascii="Calibri" w:cs="Calibri" w:eastAsia="Calibri" w:hAnsi="Calibri"/>
                <w:sz w:val="18"/>
                <w:szCs w:val="18"/>
              </w:rPr>
              <w:t xml:space="preserve"> Williams, J. C. (origem, 1986) e consolidações posteriores (Williams &amp; Bell, 2017/2023). Validação: Kirwan, B. et al. (1997).</w:t>
            </w:r>
          </w:p>
        </w:tc>
        <w:tc>
          <w:tcPr>
            <w:tcW w:type="dxa" w:w="215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Procurar em Safety and Reliability (Taylor &amp; Francis) e Applied Ergonomics. A tabela de tipos genéricos precisa vir da fonte primária.</w:t>
            </w:r>
          </w:p>
        </w:tc>
        <w:tc>
          <w:tcPr>
            <w:tcW w:type="dxa" w:w="29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Restrição externa sobre F_ancora (D-07). Estrutura: confiabilidade nominal por tipo genérico × multiplicadores de condições produtoras de erro.</w:t>
            </w:r>
          </w:p>
        </w:tc>
        <w:tc>
          <w:tcPr>
            <w:tcW w:type="dxa" w:w="1900"/>
            <w:shd w:fill="F2F2F2" w:color="auto" w:val="clear"/>
            <w:tcMar>
              <w:top w:type="dxa" w:w="80"/>
              <w:left w:type="dxa" w:w="100"/>
              <w:bottom w:type="dxa" w:w="80"/>
              <w:right w:type="dxa" w:w="100"/>
            </w:tcMar>
          </w:tcPr>
          <w:p>
            <w:pPr>
              <w:spacing w:after="40"/>
            </w:pPr>
            <w:r>
              <w:rPr>
                <w:rFonts w:ascii="Calibri" w:cs="Calibri" w:eastAsia="Calibri" w:hAnsi="Calibri"/>
                <w:b/>
                <w:bCs/>
                <w:color w:val="9C2B1B"/>
                <w:sz w:val="18"/>
                <w:szCs w:val="18"/>
              </w:rPr>
              <w:t xml:space="preserve">TABELA NÃO VERIFICADA</w:t>
            </w:r>
          </w:p>
          <w:p>
            <w:pPr>
              <w:spacing w:after="40"/>
            </w:pPr>
            <w:r>
              <w:rPr>
                <w:rFonts w:ascii="Calibri" w:cs="Calibri" w:eastAsia="Calibri" w:hAnsi="Calibri"/>
                <w:i/>
                <w:iCs/>
                <w:sz w:val="20"/>
                <w:szCs w:val="20"/>
              </w:rPr>
              <w:t xml:space="preserve">Verifiquei só a ESTRUTURA e alguns multiplicadores (falta de tempo ×11; situação infrequente ×17; sobrecarga de canal ×6) em documento de aplicação, não na fonte primária.</w:t>
            </w:r>
          </w:p>
        </w:tc>
      </w:tr>
      <w:tr>
        <w:trPr>
          <w:cantSplit/>
        </w:trPr>
        <w:tc>
          <w:tcPr>
            <w:tcW w:type="dxa" w:w="2750"/>
            <w:tcMar>
              <w:top w:type="dxa" w:w="80"/>
              <w:left w:type="dxa" w:w="100"/>
              <w:bottom w:type="dxa" w:w="80"/>
              <w:right w:type="dxa" w:w="100"/>
            </w:tcMar>
          </w:tcPr>
          <w:p>
            <w:pPr>
              <w:spacing w:after="40"/>
            </w:pPr>
            <w:r>
              <w:rPr>
                <w:rFonts w:ascii="Calibri" w:cs="Calibri" w:eastAsia="Calibri" w:hAnsi="Calibri"/>
                <w:b/>
                <w:bCs/>
                <w:sz w:val="20"/>
                <w:szCs w:val="20"/>
              </w:rPr>
              <w:t xml:space="preserve">Soluções ótimas / melhores conhecidas do PSPLIB para o conjunto J60.</w:t>
            </w:r>
            <w:r>
              <w:rPr>
                <w:rFonts w:ascii="Calibri" w:cs="Calibri" w:eastAsia="Calibri" w:hAnsi="Calibri"/>
                <w:sz w:val="18"/>
                <w:szCs w:val="18"/>
              </w:rPr>
              <w:t xml:space="preserve"> O PSPLIB em si já está catalogado no 04_FONTES (Kolisch &amp; Sprecher, 1995/1996/1997); o que falta conferir é especificamente a publicação dos ótimos.</w:t>
            </w:r>
          </w:p>
        </w:tc>
        <w:tc>
          <w:tcPr>
            <w:tcW w:type="dxa" w:w="2150"/>
            <w:tcMar>
              <w:top w:type="dxa" w:w="80"/>
              <w:left w:type="dxa" w:w="100"/>
              <w:bottom w:type="dxa" w:w="80"/>
              <w:right w:type="dxa" w:w="100"/>
            </w:tcMar>
          </w:tcPr>
          <w:p>
            <w:pPr>
              <w:spacing w:after="40"/>
            </w:pPr>
            <w:hyperlink w:history="1" r:id="rId0cd3onuh7ydmgqsri5fyu">
              <w:r>
                <w:rPr>
                  <w:rStyle w:val="Hyperlink"/>
                  <w:rFonts w:ascii="Calibri" w:cs="Calibri" w:eastAsia="Calibri" w:hAnsi="Calibri"/>
                  <w:sz w:val="16"/>
                  <w:szCs w:val="16"/>
                </w:rPr>
                <w:t xml:space="preserve">Biblioteca PSPLIB (conjuntos J30/J60/J120 e melhores soluções conhecidas)</w:t>
              </w:r>
            </w:hyperlink>
          </w:p>
        </w:tc>
        <w:tc>
          <w:tcPr>
            <w:tcW w:type="dxa" w:w="2900"/>
            <w:tcMar>
              <w:top w:type="dxa" w:w="80"/>
              <w:left w:type="dxa" w:w="100"/>
              <w:bottom w:type="dxa" w:w="80"/>
              <w:right w:type="dxa" w:w="100"/>
            </w:tcMar>
          </w:tcPr>
          <w:p>
            <w:pPr>
              <w:spacing w:after="40"/>
            </w:pPr>
            <w:r>
              <w:rPr>
                <w:rFonts w:ascii="Calibri" w:cs="Calibri" w:eastAsia="Calibri" w:hAnsi="Calibri"/>
                <w:sz w:val="18"/>
                <w:szCs w:val="18"/>
              </w:rPr>
              <w:t xml:space="preserve">Linha de base viável para tornar atraso_relativo comparável à literatura (D-10).</w:t>
            </w:r>
          </w:p>
        </w:tc>
        <w:tc>
          <w:tcPr>
            <w:tcW w:type="dxa" w:w="1900"/>
            <w:tcMar>
              <w:top w:type="dxa" w:w="80"/>
              <w:left w:type="dxa" w:w="100"/>
              <w:bottom w:type="dxa" w:w="80"/>
              <w:right w:type="dxa" w:w="100"/>
            </w:tcMar>
          </w:tcPr>
          <w:p>
            <w:pPr>
              <w:spacing w:after="40"/>
            </w:pPr>
            <w:r>
              <w:rPr>
                <w:rFonts w:ascii="Calibri" w:cs="Calibri" w:eastAsia="Calibri" w:hAnsi="Calibri"/>
                <w:b/>
                <w:bCs/>
                <w:color w:val="9C2B1B"/>
                <w:sz w:val="18"/>
                <w:szCs w:val="18"/>
              </w:rPr>
              <w:t xml:space="preserve">CONFERIR NA FONTE</w:t>
            </w:r>
          </w:p>
          <w:p>
            <w:pPr>
              <w:spacing w:after="40"/>
            </w:pPr>
            <w:r>
              <w:rPr>
                <w:rFonts w:ascii="Calibri" w:cs="Calibri" w:eastAsia="Calibri" w:hAnsi="Calibri"/>
                <w:i/>
                <w:iCs/>
                <w:sz w:val="20"/>
                <w:szCs w:val="20"/>
              </w:rPr>
              <w:t xml:space="preserve">Plausível e amplamente sabido, mas não conferido.</w:t>
            </w:r>
          </w:p>
        </w:tc>
      </w:tr>
      <w:tr>
        <w:trPr>
          <w:cantSplit/>
        </w:trPr>
        <w:tc>
          <w:tcPr>
            <w:tcW w:type="dxa" w:w="2750"/>
            <w:shd w:fill="F2F2F2" w:color="auto" w:val="clear"/>
            <w:tcMar>
              <w:top w:type="dxa" w:w="80"/>
              <w:left w:type="dxa" w:w="100"/>
              <w:bottom w:type="dxa" w:w="80"/>
              <w:right w:type="dxa" w:w="100"/>
            </w:tcMar>
          </w:tcPr>
          <w:p>
            <w:pPr>
              <w:spacing w:after="40"/>
            </w:pPr>
            <w:r>
              <w:rPr>
                <w:rFonts w:ascii="Calibri" w:cs="Calibri" w:eastAsia="Calibri" w:hAnsi="Calibri"/>
                <w:b/>
                <w:bCs/>
                <w:sz w:val="20"/>
                <w:szCs w:val="20"/>
              </w:rPr>
              <w:t xml:space="preserve">Setayesh et al. (2022); Levine et al. (2024); Zhang et al. (2012); Kam et al. (2025); Zou et al. (2021); Serva et al. (2005); Li et al. (2019); Bjorvatn &amp; Wald (2020); Kalluri (2026).</w:t>
            </w:r>
            <w:r>
              <w:rPr>
                <w:rFonts w:ascii="Calibri" w:cs="Calibri" w:eastAsia="Calibri" w:hAnsi="Calibri"/>
                <w:sz w:val="18"/>
                <w:szCs w:val="18"/>
              </w:rPr>
              <w:t xml:space="preserve"> (Love, 2026, saiu desta lista: já está verificada no 04_FONTES.)</w:t>
            </w:r>
          </w:p>
        </w:tc>
        <w:tc>
          <w:tcPr>
            <w:tcW w:type="dxa" w:w="215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Lista levantada em busca de literatura de apoio (parte por sua indicação, parte por busca). Identificadores não conferidos.</w:t>
            </w:r>
          </w:p>
        </w:tc>
        <w:tc>
          <w:tcPr>
            <w:tcW w:type="dxa" w:w="29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Candidatas para carga de trabalho, confiança em equipes, complexidade de projeto e retrabalho.</w:t>
            </w:r>
          </w:p>
        </w:tc>
        <w:tc>
          <w:tcPr>
            <w:tcW w:type="dxa" w:w="1900"/>
            <w:shd w:fill="F2F2F2" w:color="auto" w:val="clear"/>
            <w:tcMar>
              <w:top w:type="dxa" w:w="80"/>
              <w:left w:type="dxa" w:w="100"/>
              <w:bottom w:type="dxa" w:w="80"/>
              <w:right w:type="dxa" w:w="100"/>
            </w:tcMar>
          </w:tcPr>
          <w:p>
            <w:pPr>
              <w:spacing w:after="40"/>
            </w:pPr>
            <w:r>
              <w:rPr>
                <w:rFonts w:ascii="Calibri" w:cs="Calibri" w:eastAsia="Calibri" w:hAnsi="Calibri"/>
                <w:b/>
                <w:bCs/>
                <w:color w:val="9C2B1B"/>
                <w:sz w:val="18"/>
                <w:szCs w:val="18"/>
              </w:rPr>
              <w:t xml:space="preserve">NÃO VERIFICADAS</w:t>
            </w:r>
          </w:p>
          <w:p>
            <w:pPr>
              <w:spacing w:after="40"/>
            </w:pPr>
            <w:r>
              <w:rPr>
                <w:rFonts w:ascii="Calibri" w:cs="Calibri" w:eastAsia="Calibri" w:hAnsi="Calibri"/>
                <w:i/>
                <w:iCs/>
                <w:sz w:val="20"/>
                <w:szCs w:val="20"/>
              </w:rPr>
              <w:t xml:space="preserve">Nenhuma delas deve entrar na monografia no estado atual.</w:t>
            </w:r>
          </w:p>
        </w:tc>
      </w:tr>
      <w:tr>
        <w:trPr>
          <w:cantSplit/>
        </w:trPr>
        <w:tc>
          <w:tcPr>
            <w:tcW w:type="dxa" w:w="2750"/>
            <w:tcMar>
              <w:top w:type="dxa" w:w="80"/>
              <w:left w:type="dxa" w:w="100"/>
              <w:bottom w:type="dxa" w:w="80"/>
              <w:right w:type="dxa" w:w="100"/>
            </w:tcMar>
          </w:tcPr>
          <w:p>
            <w:pPr>
              <w:spacing w:after="40"/>
            </w:pPr>
            <w:r>
              <w:rPr>
                <w:rFonts w:ascii="Calibri" w:cs="Calibri" w:eastAsia="Calibri" w:hAnsi="Calibri"/>
                <w:b/>
                <w:bCs/>
                <w:sz w:val="20"/>
                <w:szCs w:val="20"/>
              </w:rPr>
              <w:t xml:space="preserve">Meta-análise de auditoria (publicação indonésia) e estudo de tarefa de conhecimento de 2025.</w:t>
            </w:r>
          </w:p>
        </w:tc>
        <w:tc>
          <w:tcPr>
            <w:tcW w:type="dxa" w:w="2150"/>
            <w:tcMar>
              <w:top w:type="dxa" w:w="80"/>
              <w:left w:type="dxa" w:w="100"/>
              <w:bottom w:type="dxa" w:w="80"/>
              <w:right w:type="dxa" w:w="100"/>
            </w:tcMar>
          </w:tcPr>
          <w:p>
            <w:pPr>
              <w:spacing w:after="40"/>
            </w:pPr>
            <w:r>
              <w:rPr>
                <w:rFonts w:ascii="Calibri" w:cs="Calibri" w:eastAsia="Calibri" w:hAnsi="Calibri"/>
                <w:sz w:val="18"/>
                <w:szCs w:val="18"/>
              </w:rPr>
              <w:t xml:space="preserve">Chegaram por busca de literatura de humanas.</w:t>
            </w:r>
          </w:p>
        </w:tc>
        <w:tc>
          <w:tcPr>
            <w:tcW w:type="dxa" w:w="2900"/>
            <w:tcMar>
              <w:top w:type="dxa" w:w="80"/>
              <w:left w:type="dxa" w:w="100"/>
              <w:bottom w:type="dxa" w:w="80"/>
              <w:right w:type="dxa" w:w="100"/>
            </w:tcMar>
          </w:tcPr>
          <w:p>
            <w:pPr>
              <w:spacing w:after="40"/>
            </w:pPr>
            <w:r>
              <w:rPr>
                <w:rFonts w:ascii="Calibri" w:cs="Calibri" w:eastAsia="Calibri" w:hAnsi="Calibri"/>
                <w:sz w:val="18"/>
                <w:szCs w:val="18"/>
              </w:rPr>
              <w:t xml:space="preserve">Tentativa de cobrir P(heurístico | pressão, dificuldade).</w:t>
            </w:r>
          </w:p>
        </w:tc>
        <w:tc>
          <w:tcPr>
            <w:tcW w:type="dxa" w:w="1900"/>
            <w:tcMar>
              <w:top w:type="dxa" w:w="80"/>
              <w:left w:type="dxa" w:w="100"/>
              <w:bottom w:type="dxa" w:w="80"/>
              <w:right w:type="dxa" w:w="100"/>
            </w:tcMar>
          </w:tcPr>
          <w:p>
            <w:pPr>
              <w:spacing w:after="40"/>
            </w:pPr>
            <w:r>
              <w:rPr>
                <w:rFonts w:ascii="Calibri" w:cs="Calibri" w:eastAsia="Calibri" w:hAnsi="Calibri"/>
                <w:b/>
                <w:bCs/>
                <w:color w:val="9C2B1B"/>
                <w:sz w:val="18"/>
                <w:szCs w:val="18"/>
              </w:rPr>
              <w:t xml:space="preserve">DESACONSELHADAS</w:t>
            </w:r>
          </w:p>
          <w:p>
            <w:pPr>
              <w:spacing w:after="40"/>
            </w:pPr>
            <w:r>
              <w:rPr>
                <w:rFonts w:ascii="Calibri" w:cs="Calibri" w:eastAsia="Calibri" w:hAnsi="Calibri"/>
                <w:i/>
                <w:iCs/>
                <w:sz w:val="20"/>
                <w:szCs w:val="20"/>
              </w:rPr>
              <w:t xml:space="preserve">Veículo de baixa confiabilidade editorial. Sugestão de substituto para o mesmo construto: Soobaroyen (2006), International Journal of Auditing.</w:t>
            </w:r>
          </w:p>
        </w:tc>
      </w:tr>
    </w:tbl>
    <w:p>
      <w:r>
        <w:br w:type="page"/>
      </w:r>
    </w:p>
    <w:p>
      <w:pPr>
        <w:pStyle w:val="Heading1"/>
        <w:spacing w:after="200" w:before="360"/>
      </w:pPr>
      <w:r>
        <w:rPr>
          <w:rFonts w:ascii="Calibri" w:cs="Calibri" w:eastAsia="Calibri" w:hAnsi="Calibri"/>
          <w:b/>
          <w:bCs/>
          <w:color w:val="9B2C5E"/>
          <w:sz w:val="30"/>
          <w:szCs w:val="30"/>
        </w:rPr>
        <w:t xml:space="preserve">3. Achados da revisão independente</w:t>
      </w:r>
    </w:p>
    <w:p>
      <w:pPr>
        <w:spacing w:after="120" w:before="0"/>
      </w:pPr>
      <w:r>
        <w:rPr>
          <w:rFonts w:ascii="Calibri" w:cs="Calibri" w:eastAsia="Calibri" w:hAnsi="Calibri"/>
          <w:sz w:val="20"/>
          <w:szCs w:val="20"/>
        </w:rPr>
        <w:t xml:space="preserve">Verificações feitas por recomputação própria sobre o código e as saídas — não por aceitação do que foi reportado. Todo item abaixo foi reproduzido independentemente.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3000"/>
      </w:tblGrid>
      <w:tr>
        <w:trPr>
          <w:tblHeader/>
        </w:trPr>
        <w:tc>
          <w:tcPr>
            <w:tcW w:type="dxa" w:w="2400"/>
            <w:shd w:fill="5E1B39" w:color="auto" w:val="clear"/>
            <w:tcMar>
              <w:top w:type="dxa" w:w="80"/>
              <w:left w:type="dxa" w:w="100"/>
              <w:bottom w:type="dxa" w:w="80"/>
              <w:right w:type="dxa" w:w="100"/>
            </w:tcMar>
          </w:tcPr>
          <w:p>
            <w:r>
              <w:rPr>
                <w:rFonts w:ascii="Calibri" w:cs="Calibri" w:eastAsia="Calibri" w:hAnsi="Calibri"/>
                <w:b/>
                <w:bCs/>
                <w:color w:val="FFFFFF"/>
                <w:sz w:val="18"/>
                <w:szCs w:val="18"/>
              </w:rPr>
              <w:t xml:space="preserve">Achado</w:t>
            </w:r>
          </w:p>
        </w:tc>
        <w:tc>
          <w:tcPr>
            <w:tcW w:type="dxa" w:w="4300"/>
            <w:shd w:fill="5E1B39" w:color="auto" w:val="clear"/>
            <w:tcMar>
              <w:top w:type="dxa" w:w="80"/>
              <w:left w:type="dxa" w:w="100"/>
              <w:bottom w:type="dxa" w:w="80"/>
              <w:right w:type="dxa" w:w="100"/>
            </w:tcMar>
          </w:tcPr>
          <w:p>
            <w:r>
              <w:rPr>
                <w:rFonts w:ascii="Calibri" w:cs="Calibri" w:eastAsia="Calibri" w:hAnsi="Calibri"/>
                <w:b/>
                <w:bCs/>
                <w:color w:val="FFFFFF"/>
                <w:sz w:val="18"/>
                <w:szCs w:val="18"/>
              </w:rPr>
              <w:t xml:space="preserve">Evidência (recomputada)</w:t>
            </w:r>
          </w:p>
        </w:tc>
        <w:tc>
          <w:tcPr>
            <w:tcW w:type="dxa" w:w="3000"/>
            <w:shd w:fill="5E1B39" w:color="auto" w:val="clear"/>
            <w:tcMar>
              <w:top w:type="dxa" w:w="80"/>
              <w:left w:type="dxa" w:w="100"/>
              <w:bottom w:type="dxa" w:w="80"/>
              <w:right w:type="dxa" w:w="100"/>
            </w:tcMar>
          </w:tcPr>
          <w:p>
            <w:r>
              <w:rPr>
                <w:rFonts w:ascii="Calibri" w:cs="Calibri" w:eastAsia="Calibri" w:hAnsi="Calibri"/>
                <w:b/>
                <w:bCs/>
                <w:color w:val="FFFFFF"/>
                <w:sz w:val="18"/>
                <w:szCs w:val="18"/>
              </w:rPr>
              <w:t xml:space="preserve">Estado</w:t>
            </w:r>
          </w:p>
        </w:tc>
      </w:tr>
      <w:tr>
        <w:trPr>
          <w:cantSplit/>
        </w:trPr>
        <w:tc>
          <w:tcPr>
            <w:tcW w:type="dxa" w:w="2400"/>
            <w:tcMar>
              <w:top w:type="dxa" w:w="80"/>
              <w:left w:type="dxa" w:w="100"/>
              <w:bottom w:type="dxa" w:w="80"/>
              <w:right w:type="dxa" w:w="100"/>
            </w:tcMar>
          </w:tcPr>
          <w:p>
            <w:pPr>
              <w:spacing w:after="40"/>
            </w:pPr>
            <w:r>
              <w:rPr>
                <w:rFonts w:ascii="Calibri" w:cs="Calibri" w:eastAsia="Calibri" w:hAnsi="Calibri"/>
                <w:b/>
                <w:bCs/>
                <w:sz w:val="20"/>
                <w:szCs w:val="20"/>
              </w:rPr>
              <w:t xml:space="preserve">A-01 · CRÍTICO — Confusão de F_ancora com f_retrabalho</w:t>
            </w:r>
          </w:p>
        </w:tc>
        <w:tc>
          <w:tcPr>
            <w:tcW w:type="dxa" w:w="4300"/>
            <w:tcMar>
              <w:top w:type="dxa" w:w="80"/>
              <w:left w:type="dxa" w:w="100"/>
              <w:bottom w:type="dxa" w:w="80"/>
              <w:right w:type="dxa" w:w="100"/>
            </w:tcMar>
          </w:tcPr>
          <w:p>
            <w:pPr>
              <w:spacing w:after="40"/>
            </w:pPr>
            <w:r>
              <w:rPr>
                <w:rFonts w:ascii="Calibri" w:cs="Calibri" w:eastAsia="Calibri" w:hAnsi="Calibri"/>
                <w:sz w:val="18"/>
                <w:szCs w:val="18"/>
              </w:rPr>
              <w:t xml:space="preserve">Os observáveis agregados enxergam apenas o produto F_ancora × f_retrabalho; nenhum canal separa os fatores. Correlações medidas: taxa_omissao × F_ancora, r = 0,950; taxa_omissao × f_retrabalho, r = 0,022.</w:t>
            </w:r>
          </w:p>
        </w:tc>
        <w:tc>
          <w:tcPr>
            <w:tcW w:type="dxa" w:w="3000"/>
            <w:tcMar>
              <w:top w:type="dxa" w:w="80"/>
              <w:left w:type="dxa" w:w="100"/>
              <w:bottom w:type="dxa" w:w="80"/>
              <w:right w:type="dxa" w:w="100"/>
            </w:tcMar>
          </w:tcPr>
          <w:p>
            <w:pPr>
              <w:spacing w:after="40"/>
            </w:pPr>
            <w:r>
              <w:rPr>
                <w:rFonts w:ascii="Calibri" w:cs="Calibri" w:eastAsia="Calibri" w:hAnsi="Calibri"/>
                <w:sz w:val="18"/>
                <w:szCs w:val="18"/>
              </w:rPr>
              <w:t xml:space="preserve">Aberto. Rota de solução: ancoragem externa (D-07).</w:t>
            </w:r>
          </w:p>
        </w:tc>
      </w:tr>
      <w:tr>
        <w:trPr>
          <w:cantSplit/>
        </w:trPr>
        <w:tc>
          <w:tcPr>
            <w:tcW w:type="dxa" w:w="2400"/>
            <w:shd w:fill="F2F2F2" w:color="auto" w:val="clear"/>
            <w:tcMar>
              <w:top w:type="dxa" w:w="80"/>
              <w:left w:type="dxa" w:w="100"/>
              <w:bottom w:type="dxa" w:w="80"/>
              <w:right w:type="dxa" w:w="100"/>
            </w:tcMar>
          </w:tcPr>
          <w:p>
            <w:pPr>
              <w:spacing w:after="40"/>
            </w:pPr>
            <w:r>
              <w:rPr>
                <w:rFonts w:ascii="Calibri" w:cs="Calibri" w:eastAsia="Calibri" w:hAnsi="Calibri"/>
                <w:b/>
                <w:bCs/>
                <w:sz w:val="20"/>
                <w:szCs w:val="20"/>
              </w:rPr>
              <w:t xml:space="preserve">A-02 · CRÍTICO — O NROY esvazia, não estreita</w:t>
            </w:r>
          </w:p>
        </w:tc>
        <w:tc>
          <w:tcPr>
            <w:tcW w:type="dxa" w:w="43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Piloto de fronteira em K = 64: 4 de 4 pontos do NROY legado são rejeitados. V_obs responde por 74–86% do denominador; I(vetor verdadeiro) → 3,594 em atraso_relativo no limite — o alvo verdadeiro seria rejeitado.</w:t>
            </w:r>
          </w:p>
        </w:tc>
        <w:tc>
          <w:tcPr>
            <w:tcW w:type="dxa" w:w="30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Aberto. Minha previsão quantitativa anterior (larguras a 60%/42%) foi RETIRADA — era conservadora. Ver R-03.</w:t>
            </w:r>
          </w:p>
        </w:tc>
      </w:tr>
      <w:tr>
        <w:trPr>
          <w:cantSplit/>
        </w:trPr>
        <w:tc>
          <w:tcPr>
            <w:tcW w:type="dxa" w:w="2400"/>
            <w:tcMar>
              <w:top w:type="dxa" w:w="80"/>
              <w:left w:type="dxa" w:w="100"/>
              <w:bottom w:type="dxa" w:w="80"/>
              <w:right w:type="dxa" w:w="100"/>
            </w:tcMar>
          </w:tcPr>
          <w:p>
            <w:pPr>
              <w:spacing w:after="40"/>
            </w:pPr>
            <w:r>
              <w:rPr>
                <w:rFonts w:ascii="Calibri" w:cs="Calibri" w:eastAsia="Calibri" w:hAnsi="Calibri"/>
                <w:b/>
                <w:bCs/>
                <w:sz w:val="20"/>
                <w:szCs w:val="20"/>
              </w:rPr>
              <w:t xml:space="preserve">A-03 · CRÍTICO — μ_cognitivo não depende da porta</w:t>
            </w:r>
          </w:p>
        </w:tc>
        <w:tc>
          <w:tcPr>
            <w:tcW w:type="dxa" w:w="4300"/>
            <w:tcMar>
              <w:top w:type="dxa" w:w="80"/>
              <w:left w:type="dxa" w:w="100"/>
              <w:bottom w:type="dxa" w:w="80"/>
              <w:right w:type="dxa" w:w="100"/>
            </w:tcMar>
          </w:tcPr>
          <w:p>
            <w:pPr>
              <w:spacing w:after="40"/>
            </w:pPr>
            <w:r>
              <w:rPr>
                <w:rFonts w:ascii="Calibri" w:cs="Calibri" w:eastAsia="Calibri" w:hAnsi="Calibri"/>
                <w:sz w:val="18"/>
                <w:szCs w:val="18"/>
              </w:rPr>
              <w:t xml:space="preserve">Em simulador.py, multiplicadores() devolve (fuzzy(fadiga,P), fuzzy(desconfiança,carga)) e é chamado ANTES do sorteio da porta (linha 456; sorteio na 460). O docstring das linhas 29–30 afirma o contrário. Os coeficientes k_heuristico = 0,10 e k_analitico = 0,04 não chegam a atuar.</w:t>
            </w:r>
          </w:p>
        </w:tc>
        <w:tc>
          <w:tcPr>
            <w:tcW w:type="dxa" w:w="3000"/>
            <w:tcMar>
              <w:top w:type="dxa" w:w="80"/>
              <w:left w:type="dxa" w:w="100"/>
              <w:bottom w:type="dxa" w:w="80"/>
              <w:right w:type="dxa" w:w="100"/>
            </w:tcMar>
          </w:tcPr>
          <w:p>
            <w:pPr>
              <w:spacing w:after="40"/>
            </w:pPr>
            <w:r>
              <w:rPr>
                <w:rFonts w:ascii="Calibri" w:cs="Calibri" w:eastAsia="Calibri" w:hAnsi="Calibri"/>
                <w:sz w:val="18"/>
                <w:szCs w:val="18"/>
              </w:rPr>
              <w:t xml:space="preserve">Aberto no legado. Metade de qualidade da Porta 1 ausente também no MVP.</w:t>
            </w:r>
          </w:p>
        </w:tc>
      </w:tr>
      <w:tr>
        <w:trPr>
          <w:cantSplit/>
        </w:trPr>
        <w:tc>
          <w:tcPr>
            <w:tcW w:type="dxa" w:w="2400"/>
            <w:shd w:fill="F2F2F2" w:color="auto" w:val="clear"/>
            <w:tcMar>
              <w:top w:type="dxa" w:w="80"/>
              <w:left w:type="dxa" w:w="100"/>
              <w:bottom w:type="dxa" w:w="80"/>
              <w:right w:type="dxa" w:w="100"/>
            </w:tcMar>
          </w:tcPr>
          <w:p>
            <w:pPr>
              <w:spacing w:after="40"/>
            </w:pPr>
            <w:r>
              <w:rPr>
                <w:rFonts w:ascii="Calibri" w:cs="Calibri" w:eastAsia="Calibri" w:hAnsi="Calibri"/>
                <w:b/>
                <w:bCs/>
                <w:sz w:val="20"/>
                <w:szCs w:val="20"/>
              </w:rPr>
              <w:t xml:space="preserve">A-04 · CRÍTICO — Teste do gêmeo idêntico inválido</w:t>
            </w:r>
          </w:p>
        </w:tc>
        <w:tc>
          <w:tcPr>
            <w:tcW w:type="dxa" w:w="43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Em 04_gemeo_identico.py, rng_desenho = default_rng(20260905) é re-semeado a cada invocação, então o desenho da onda 2 é imagem afim exata do da onda 1 — max |u₁ − u₂| = 1,22 × 10⁻¹⁵. O script imprimia “as ondas CONVERGIRAM” incondicionalmente.</w:t>
            </w:r>
          </w:p>
        </w:tc>
        <w:tc>
          <w:tcPr>
            <w:tcW w:type="dxa" w:w="30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Confirmado e retratado pelo autor (Codex).</w:t>
            </w:r>
          </w:p>
        </w:tc>
      </w:tr>
      <w:tr>
        <w:trPr>
          <w:cantSplit/>
        </w:trPr>
        <w:tc>
          <w:tcPr>
            <w:tcW w:type="dxa" w:w="2400"/>
            <w:tcMar>
              <w:top w:type="dxa" w:w="80"/>
              <w:left w:type="dxa" w:w="100"/>
              <w:bottom w:type="dxa" w:w="80"/>
              <w:right w:type="dxa" w:w="100"/>
            </w:tcMar>
          </w:tcPr>
          <w:p>
            <w:pPr>
              <w:spacing w:after="40"/>
            </w:pPr>
            <w:r>
              <w:rPr>
                <w:rFonts w:ascii="Calibri" w:cs="Calibri" w:eastAsia="Calibri" w:hAnsi="Calibri"/>
                <w:b/>
                <w:bCs/>
                <w:sz w:val="20"/>
                <w:szCs w:val="20"/>
              </w:rPr>
              <w:t xml:space="preserve">A-05 · GRAVE — Porta de confiança degenerada</w:t>
            </w:r>
          </w:p>
        </w:tc>
        <w:tc>
          <w:tcPr>
            <w:tcW w:type="dxa" w:w="4300"/>
            <w:tcMar>
              <w:top w:type="dxa" w:w="80"/>
              <w:left w:type="dxa" w:w="100"/>
              <w:bottom w:type="dxa" w:w="80"/>
              <w:right w:type="dxa" w:w="100"/>
            </w:tcMar>
          </w:tcPr>
          <w:p>
            <w:pPr>
              <w:spacing w:after="40"/>
            </w:pPr>
            <w:r>
              <w:rPr>
                <w:rFonts w:ascii="Calibri" w:cs="Calibri" w:eastAsia="Calibri" w:hAnsi="Calibri"/>
                <w:sz w:val="18"/>
                <w:szCs w:val="18"/>
              </w:rPr>
              <w:t xml:space="preserve">Arranjo centralizado: 0,25 &gt; 0,60 é sempre falso. Arranjo adaptativo: 0,80 &gt; 0,25 é sempre verdadeiro. A porta nunca decide nada. Agravante: τ alimenta simultaneamente a porta e a entrada fuzzy (desconfianca = 1 − confianca), confundindo os dois canais.</w:t>
            </w:r>
          </w:p>
        </w:tc>
        <w:tc>
          <w:tcPr>
            <w:tcW w:type="dxa" w:w="3000"/>
            <w:tcMar>
              <w:top w:type="dxa" w:w="80"/>
              <w:left w:type="dxa" w:w="100"/>
              <w:bottom w:type="dxa" w:w="80"/>
              <w:right w:type="dxa" w:w="100"/>
            </w:tcMar>
          </w:tcPr>
          <w:p>
            <w:pPr>
              <w:spacing w:after="40"/>
            </w:pPr>
            <w:r>
              <w:rPr>
                <w:rFonts w:ascii="Calibri" w:cs="Calibri" w:eastAsia="Calibri" w:hAnsi="Calibri"/>
                <w:sz w:val="18"/>
                <w:szCs w:val="18"/>
              </w:rPr>
              <w:t xml:space="preserve">Decomposição 2×2 feita: TL porta +10,60 / rede 0,00 exato; TW porta −27,27 / rede −110,23; atraso porta −0,3085 / rede −0,3180; E_total com sinais opostos.</w:t>
            </w:r>
          </w:p>
        </w:tc>
      </w:tr>
      <w:tr>
        <w:trPr>
          <w:cantSplit/>
        </w:trPr>
        <w:tc>
          <w:tcPr>
            <w:tcW w:type="dxa" w:w="2400"/>
            <w:shd w:fill="F2F2F2" w:color="auto" w:val="clear"/>
            <w:tcMar>
              <w:top w:type="dxa" w:w="80"/>
              <w:left w:type="dxa" w:w="100"/>
              <w:bottom w:type="dxa" w:w="80"/>
              <w:right w:type="dxa" w:w="100"/>
            </w:tcMar>
          </w:tcPr>
          <w:p>
            <w:pPr>
              <w:spacing w:after="40"/>
            </w:pPr>
            <w:r>
              <w:rPr>
                <w:rFonts w:ascii="Calibri" w:cs="Calibri" w:eastAsia="Calibri" w:hAnsi="Calibri"/>
                <w:b/>
                <w:bCs/>
                <w:sz w:val="20"/>
                <w:szCs w:val="20"/>
              </w:rPr>
              <w:t xml:space="preserve">A-06 · GRAVE — atraso_relativo domina a implausibilidade sem carregar informação</w:t>
            </w:r>
          </w:p>
        </w:tc>
        <w:tc>
          <w:tcPr>
            <w:tcW w:type="dxa" w:w="43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atraso_relativo é o observável de máximo em 205 de 400 pontos, carregando |r| ≈ 0,01 com os parâmetros em disputa. Ele governa a rejeição sem informar sobre os parâmetros.</w:t>
            </w:r>
          </w:p>
        </w:tc>
        <w:tc>
          <w:tcPr>
            <w:tcW w:type="dxa" w:w="30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Ligado a D-10 (linha de base errada).</w:t>
            </w:r>
          </w:p>
        </w:tc>
      </w:tr>
      <w:tr>
        <w:trPr>
          <w:cantSplit/>
        </w:trPr>
        <w:tc>
          <w:tcPr>
            <w:tcW w:type="dxa" w:w="2400"/>
            <w:tcMar>
              <w:top w:type="dxa" w:w="80"/>
              <w:left w:type="dxa" w:w="100"/>
              <w:bottom w:type="dxa" w:w="80"/>
              <w:right w:type="dxa" w:w="100"/>
            </w:tcMar>
          </w:tcPr>
          <w:p>
            <w:pPr>
              <w:spacing w:after="40"/>
            </w:pPr>
            <w:r>
              <w:rPr>
                <w:rFonts w:ascii="Calibri" w:cs="Calibri" w:eastAsia="Calibri" w:hAnsi="Calibri"/>
                <w:b/>
                <w:bCs/>
                <w:sz w:val="20"/>
                <w:szCs w:val="20"/>
              </w:rPr>
              <w:t xml:space="preserve">A-07 · GRAVE — MVP efd81b7: bloqueio contado como recusa</w:t>
            </w:r>
          </w:p>
        </w:tc>
        <w:tc>
          <w:tcPr>
            <w:tcW w:type="dxa" w:w="4300"/>
            <w:tcMar>
              <w:top w:type="dxa" w:w="80"/>
              <w:left w:type="dxa" w:w="100"/>
              <w:bottom w:type="dxa" w:w="80"/>
              <w:right w:type="dxa" w:w="100"/>
            </w:tcMar>
          </w:tcPr>
          <w:p>
            <w:pPr>
              <w:spacing w:after="40"/>
            </w:pPr>
            <w:r>
              <w:rPr>
                <w:rFonts w:ascii="Calibri" w:cs="Calibri" w:eastAsia="Calibri" w:hAnsi="Calibri"/>
                <w:sz w:val="18"/>
                <w:szCs w:val="18"/>
              </w:rPr>
              <w:t xml:space="preserve">No ramo else, self.cnt['p2_bloqueio'] += 1 e, se houver capazes, eventos_tau.append((a, False)) — registrando o bloqueio como recusa E imputando-o ao solicitante, não a quem bloqueou.</w:t>
            </w:r>
          </w:p>
        </w:tc>
        <w:tc>
          <w:tcPr>
            <w:tcW w:type="dxa" w:w="3000"/>
            <w:tcMar>
              <w:top w:type="dxa" w:w="80"/>
              <w:left w:type="dxa" w:w="100"/>
              <w:bottom w:type="dxa" w:w="80"/>
              <w:right w:type="dxa" w:w="100"/>
            </w:tcMar>
          </w:tcPr>
          <w:p>
            <w:pPr>
              <w:spacing w:after="40"/>
            </w:pPr>
            <w:r>
              <w:rPr>
                <w:rFonts w:ascii="Calibri" w:cs="Calibri" w:eastAsia="Calibri" w:hAnsi="Calibri"/>
                <w:sz w:val="18"/>
                <w:szCs w:val="18"/>
              </w:rPr>
              <w:t xml:space="preserve">Reportado ao autor. Corrige-se junto com D-01 (três contadores separados).</w:t>
            </w:r>
          </w:p>
        </w:tc>
      </w:tr>
      <w:tr>
        <w:trPr>
          <w:cantSplit/>
        </w:trPr>
        <w:tc>
          <w:tcPr>
            <w:tcW w:type="dxa" w:w="2400"/>
            <w:shd w:fill="F2F2F2" w:color="auto" w:val="clear"/>
            <w:tcMar>
              <w:top w:type="dxa" w:w="80"/>
              <w:left w:type="dxa" w:w="100"/>
              <w:bottom w:type="dxa" w:w="80"/>
              <w:right w:type="dxa" w:w="100"/>
            </w:tcMar>
          </w:tcPr>
          <w:p>
            <w:pPr>
              <w:spacing w:after="40"/>
            </w:pPr>
            <w:r>
              <w:rPr>
                <w:rFonts w:ascii="Calibri" w:cs="Calibri" w:eastAsia="Calibri" w:hAnsi="Calibri"/>
                <w:b/>
                <w:bCs/>
                <w:sz w:val="20"/>
                <w:szCs w:val="20"/>
              </w:rPr>
              <w:t xml:space="preserve">A-08 · GRAVE — MVP sem controle de identidade bit a bit</w:t>
            </w:r>
          </w:p>
        </w:tc>
        <w:tc>
          <w:tcPr>
            <w:tcW w:type="dxa" w:w="43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executar() foi reimplementado em simulador_mvp.py (225 linhas novas) sem nenhum teste que demonstre reprodução idêntica do legado sob as opções neutras. Sem isso, não se sabe se as diferenças observadas vêm das mudanças pretendidas ou de efeitos colaterais.</w:t>
            </w:r>
          </w:p>
        </w:tc>
        <w:tc>
          <w:tcPr>
            <w:tcW w:type="dxa" w:w="30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Primeiro item da fila do Codex.</w:t>
            </w:r>
          </w:p>
        </w:tc>
      </w:tr>
      <w:tr>
        <w:trPr>
          <w:cantSplit/>
        </w:trPr>
        <w:tc>
          <w:tcPr>
            <w:tcW w:type="dxa" w:w="2400"/>
            <w:tcMar>
              <w:top w:type="dxa" w:w="80"/>
              <w:left w:type="dxa" w:w="100"/>
              <w:bottom w:type="dxa" w:w="80"/>
              <w:right w:type="dxa" w:w="100"/>
            </w:tcMar>
          </w:tcPr>
          <w:p>
            <w:pPr>
              <w:spacing w:after="40"/>
            </w:pPr>
            <w:r>
              <w:rPr>
                <w:rFonts w:ascii="Calibri" w:cs="Calibri" w:eastAsia="Calibri" w:hAnsi="Calibri"/>
                <w:b/>
                <w:bCs/>
                <w:sz w:val="20"/>
                <w:szCs w:val="20"/>
              </w:rPr>
              <w:t xml:space="preserve">A-09 · NOTA — O que o MVP acertou</w:t>
            </w:r>
          </w:p>
        </w:tc>
        <w:tc>
          <w:tcPr>
            <w:tcW w:type="dxa" w:w="4300"/>
            <w:tcMar>
              <w:top w:type="dxa" w:w="80"/>
              <w:left w:type="dxa" w:w="100"/>
              <w:bottom w:type="dxa" w:w="80"/>
              <w:right w:type="dxa" w:w="100"/>
            </w:tcMar>
          </w:tcPr>
          <w:p>
            <w:pPr>
              <w:spacing w:after="40"/>
            </w:pPr>
            <w:r>
              <w:rPr>
                <w:rFonts w:ascii="Calibri" w:cs="Calibri" w:eastAsia="Calibri" w:hAnsi="Calibri"/>
                <w:sz w:val="18"/>
                <w:szCs w:val="18"/>
              </w:rPr>
              <w:t xml:space="preserve">A fila de retrabalho (C1) está bem feita: ocupa agente e recurso e mantém invariante de conservação em tempo de execução. Legado e main não foram tocados.</w:t>
            </w:r>
          </w:p>
        </w:tc>
        <w:tc>
          <w:tcPr>
            <w:tcW w:type="dxa" w:w="3000"/>
            <w:tcMar>
              <w:top w:type="dxa" w:w="80"/>
              <w:left w:type="dxa" w:w="100"/>
              <w:bottom w:type="dxa" w:w="80"/>
              <w:right w:type="dxa" w:w="100"/>
            </w:tcMar>
          </w:tcPr>
          <w:p>
            <w:pPr>
              <w:spacing w:after="40"/>
            </w:pPr>
            <w:r>
              <w:rPr>
                <w:rFonts w:ascii="Calibri" w:cs="Calibri" w:eastAsia="Calibri" w:hAnsi="Calibri"/>
                <w:sz w:val="18"/>
                <w:szCs w:val="18"/>
              </w:rPr>
              <w:t xml:space="preserve">Registrado como crédito.</w:t>
            </w:r>
          </w:p>
        </w:tc>
      </w:tr>
      <w:tr>
        <w:trPr>
          <w:cantSplit/>
        </w:trPr>
        <w:tc>
          <w:tcPr>
            <w:tcW w:type="dxa" w:w="2400"/>
            <w:shd w:fill="F2F2F2" w:color="auto" w:val="clear"/>
            <w:tcMar>
              <w:top w:type="dxa" w:w="80"/>
              <w:left w:type="dxa" w:w="100"/>
              <w:bottom w:type="dxa" w:w="80"/>
              <w:right w:type="dxa" w:w="100"/>
            </w:tcMar>
          </w:tcPr>
          <w:p>
            <w:pPr>
              <w:spacing w:after="40"/>
            </w:pPr>
            <w:r>
              <w:rPr>
                <w:rFonts w:ascii="Calibri" w:cs="Calibri" w:eastAsia="Calibri" w:hAnsi="Calibri"/>
                <w:b/>
                <w:bCs/>
                <w:sz w:val="20"/>
                <w:szCs w:val="20"/>
              </w:rPr>
              <w:t xml:space="preserve">A-10 · NOTA — Di não mede o que o nome dizia</w:t>
            </w:r>
          </w:p>
        </w:tc>
        <w:tc>
          <w:tcPr>
            <w:tcW w:type="dxa" w:w="43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Di dominado por duracao_norm (r = +0,710). criticidade_sucessores tem r = +0,068 e não aparece na fórmula. Contra o conteúdo de trabalho WC: Pearson +0,647, mas concordância de faixa de apenas 49,7%.</w:t>
            </w:r>
          </w:p>
        </w:tc>
        <w:tc>
          <w:tcPr>
            <w:tcW w:type="dxa" w:w="30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Resolvido por D-05 (renomeação + redescrição).</w:t>
            </w:r>
          </w:p>
        </w:tc>
      </w:tr>
      <w:tr>
        <w:trPr>
          <w:cantSplit/>
        </w:trPr>
        <w:tc>
          <w:tcPr>
            <w:tcW w:type="dxa" w:w="2400"/>
            <w:tcMar>
              <w:top w:type="dxa" w:w="80"/>
              <w:left w:type="dxa" w:w="100"/>
              <w:bottom w:type="dxa" w:w="80"/>
              <w:right w:type="dxa" w:w="100"/>
            </w:tcMar>
          </w:tcPr>
          <w:p>
            <w:pPr>
              <w:spacing w:after="40"/>
            </w:pPr>
            <w:r>
              <w:rPr>
                <w:rFonts w:ascii="Calibri" w:cs="Calibri" w:eastAsia="Calibri" w:hAnsi="Calibri"/>
                <w:b/>
                <w:bCs/>
                <w:sz w:val="20"/>
                <w:szCs w:val="20"/>
              </w:rPr>
              <w:t xml:space="preserve">A-11 · GRAVE — A inversão de E_total era artefato da convenção de TL</w:t>
            </w:r>
            <w:r>
              <w:rPr>
                <w:rFonts w:ascii="Calibri" w:cs="Calibri" w:eastAsia="Calibri" w:hAnsi="Calibri"/>
                <w:sz w:val="18"/>
                <w:szCs w:val="18"/>
              </w:rPr>
              <w:t xml:space="preserve"> (16–17/09/2026)</w:t>
            </w:r>
          </w:p>
        </w:tc>
        <w:tc>
          <w:tcPr>
            <w:tcW w:type="dxa" w:w="4300"/>
            <w:tcMar>
              <w:top w:type="dxa" w:w="80"/>
              <w:left w:type="dxa" w:w="100"/>
              <w:bottom w:type="dxa" w:w="80"/>
              <w:right w:type="dxa" w:w="100"/>
            </w:tcMar>
          </w:tcPr>
          <w:p>
            <w:pPr>
              <w:spacing w:after="40"/>
            </w:pPr>
            <w:r>
              <w:rPr>
                <w:rFonts w:ascii="Calibri" w:cs="Calibri" w:eastAsia="Calibri" w:hAnsi="Calibri"/>
                <w:sz w:val="18"/>
                <w:szCs w:val="18"/>
              </w:rPr>
              <w:t xml:space="preserve">E_total = TW/(TW+TL+TU+TR). O código contava TL += 1 por ajuda bem-sucedida; a equação (3) de Crowder (p. 1431) é TL += 0,5·ΔC_r, cerca de 9,5× menor com ΔC ≈ 0,21. Teste discriminante: o contraste passa de −0,050845 para +0,051973 entre as duas convenções. Previsão de mesa feita antes da rodada: +0,106; deslocamento observado: +0,102818.</w:t>
            </w:r>
          </w:p>
        </w:tc>
        <w:tc>
          <w:tcPr>
            <w:tcW w:type="dxa" w:w="3000"/>
            <w:tcMar>
              <w:top w:type="dxa" w:w="80"/>
              <w:left w:type="dxa" w:w="100"/>
              <w:bottom w:type="dxa" w:w="80"/>
              <w:right w:type="dxa" w:w="100"/>
            </w:tcMar>
          </w:tcPr>
          <w:p>
            <w:pPr>
              <w:spacing w:after="40"/>
            </w:pPr>
            <w:r>
              <w:rPr>
                <w:rFonts w:ascii="Calibri" w:cs="Calibri" w:eastAsia="Calibri" w:hAnsi="Calibri"/>
                <w:sz w:val="18"/>
                <w:szCs w:val="18"/>
              </w:rPr>
              <w:t xml:space="preserve">CONFIRMADO e resolvido. Ver D-14. O achado de governança sobre E_total foi retirado; a convenção passou a ser alternativa varrida em vez de escolha implícita.</w:t>
            </w:r>
          </w:p>
        </w:tc>
      </w:tr>
      <w:tr>
        <w:trPr>
          <w:cantSplit/>
        </w:trPr>
        <w:tc>
          <w:tcPr>
            <w:tcW w:type="dxa" w:w="2400"/>
            <w:shd w:fill="F2F2F2" w:color="auto" w:val="clear"/>
            <w:tcMar>
              <w:top w:type="dxa" w:w="80"/>
              <w:left w:type="dxa" w:w="100"/>
              <w:bottom w:type="dxa" w:w="80"/>
              <w:right w:type="dxa" w:w="100"/>
            </w:tcMar>
          </w:tcPr>
          <w:p>
            <w:pPr>
              <w:spacing w:after="40"/>
            </w:pPr>
            <w:r>
              <w:rPr>
                <w:rFonts w:ascii="Calibri" w:cs="Calibri" w:eastAsia="Calibri" w:hAnsi="Calibri"/>
                <w:b/>
                <w:bCs/>
                <w:sz w:val="20"/>
                <w:szCs w:val="20"/>
              </w:rPr>
              <w:t xml:space="preserve">A-12 · MENOR — Escala da fórmula de competência no braço legado</w:t>
            </w:r>
          </w:p>
        </w:tc>
        <w:tc>
          <w:tcPr>
            <w:tcW w:type="dxa" w:w="43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O caminho de ajuda legado aplica (15+3(C_k−C_a))/100 com competências normalizadas 0–1 numa fórmula calibrada para 0–5, sem dividir por 5: +0,162 contra +0,042 do caminho correto. Na escala errada a constante 15 domina 3·(C_k−C_a)=1,2, então o incremento é quase fixo e o mecanismo “aprender mais com quem é mais competente” fica desligado. O teto é 0,98 em vez da dificuldade da subtarefa (Eq. 2).</w:t>
            </w:r>
          </w:p>
        </w:tc>
        <w:tc>
          <w:tcPr>
            <w:tcW w:type="dxa" w:w="30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Preservação deliberada — sustenta o controle exato de identidade. Não recodificar. Declarado na leitura da tabela incremental, porque o degrau de comunicação muda protocolo E escala ao mesmo tempo.</w:t>
            </w:r>
          </w:p>
        </w:tc>
      </w:tr>
    </w:tbl>
    <w:p>
      <w:r>
        <w:br w:type="page"/>
      </w:r>
    </w:p>
    <w:p>
      <w:pPr>
        <w:pStyle w:val="Heading1"/>
        <w:spacing w:after="200" w:before="360"/>
      </w:pPr>
      <w:r>
        <w:rPr>
          <w:rFonts w:ascii="Calibri" w:cs="Calibri" w:eastAsia="Calibri" w:hAnsi="Calibri"/>
          <w:b/>
          <w:bCs/>
          <w:color w:val="9B2C5E"/>
          <w:sz w:val="30"/>
          <w:szCs w:val="30"/>
        </w:rPr>
        <w:t xml:space="preserve">4. Retratações do revisor</w:t>
      </w:r>
    </w:p>
    <w:p>
      <w:pPr>
        <w:spacing w:after="120" w:before="0"/>
      </w:pPr>
      <w:r>
        <w:rPr>
          <w:rFonts w:ascii="Calibri" w:cs="Calibri" w:eastAsia="Calibri" w:hAnsi="Calibri"/>
          <w:sz w:val="20"/>
          <w:szCs w:val="20"/>
        </w:rPr>
        <w:t xml:space="preserve">Afirmações que eu fiz e depois tive de retirar. Ficam registradas em vez de apagadas, porque uma afirmação retirada pode ter circulado antes da retirada — e porque saber onde o revisor errou é informação sobre o quanto confiar no resto.</w:t>
      </w:r>
    </w:p>
    <w:p>
      <w:pPr>
        <w:pStyle w:val="Heading3"/>
        <w:spacing w:after="100" w:before="220"/>
      </w:pPr>
      <w:r>
        <w:rPr>
          <w:rFonts w:ascii="Calibri" w:cs="Calibri" w:eastAsia="Calibri" w:hAnsi="Calibri"/>
          <w:b/>
          <w:bCs/>
          <w:color w:val="333333"/>
          <w:sz w:val="21"/>
          <w:szCs w:val="21"/>
        </w:rPr>
        <w:t xml:space="preserve">R-01 — f_atalho ≈ 0,87 derivado do estudo de leitura</w:t>
      </w:r>
    </w:p>
    <w:p>
      <w:pPr>
        <w:spacing w:after="90"/>
        <w:ind w:left="200"/>
      </w:pPr>
      <w:r>
        <w:rPr>
          <w:rFonts w:ascii="Calibri" w:cs="Calibri" w:eastAsia="Calibri" w:hAnsi="Calibri"/>
          <w:b/>
          <w:bCs/>
          <w:color w:val="9B2C5E"/>
          <w:sz w:val="20"/>
          <w:szCs w:val="20"/>
        </w:rPr>
        <w:t xml:space="preserve">O que eu disse:  </w:t>
      </w:r>
      <w:r>
        <w:rPr>
          <w:rFonts w:ascii="Calibri" w:cs="Calibri" w:eastAsia="Calibri" w:hAnsi="Calibri"/>
          <w:sz w:val="20"/>
          <w:szCs w:val="20"/>
        </w:rPr>
        <w:t xml:space="preserve">que o estudo de leitura sob restrição de tempo permitia estimar o fator de encurtamento de duração da heurística em cerca de 0,87.</w:t>
      </w:r>
    </w:p>
    <w:p>
      <w:pPr>
        <w:spacing w:after="90"/>
        <w:ind w:left="200"/>
      </w:pPr>
      <w:r>
        <w:rPr>
          <w:rFonts w:ascii="Calibri" w:cs="Calibri" w:eastAsia="Calibri" w:hAnsi="Calibri"/>
          <w:b/>
          <w:bCs/>
          <w:color w:val="9B2C5E"/>
          <w:sz w:val="20"/>
          <w:szCs w:val="20"/>
        </w:rPr>
        <w:t xml:space="preserve">Por que está errado:  </w:t>
      </w:r>
      <w:r>
        <w:rPr>
          <w:rFonts w:ascii="Calibri" w:cs="Calibri" w:eastAsia="Calibri" w:hAnsi="Calibri"/>
          <w:sz w:val="20"/>
          <w:szCs w:val="20"/>
        </w:rPr>
        <w:t xml:space="preserve">obtive o texto integral e o orçamento de tempo é fixado pelo experimentador (30 / 60 / 90 s). A velocidade ali é resposta a um prazo imposto, não ganho intrínseco da estratégia. A direção causal é inversa à do modelo.</w:t>
      </w:r>
    </w:p>
    <w:p>
      <w:pPr>
        <w:spacing w:after="90"/>
        <w:ind w:left="200"/>
      </w:pPr>
      <w:r>
        <w:rPr>
          <w:rFonts w:ascii="Calibri" w:cs="Calibri" w:eastAsia="Calibri" w:hAnsi="Calibri"/>
          <w:b/>
          <w:bCs/>
          <w:color w:val="9B2C5E"/>
          <w:sz w:val="20"/>
          <w:szCs w:val="20"/>
        </w:rPr>
        <w:t xml:space="preserve">Estado:  </w:t>
      </w:r>
      <w:r>
        <w:rPr>
          <w:rFonts w:ascii="Calibri" w:cs="Calibri" w:eastAsia="Calibri" w:hAnsi="Calibri"/>
          <w:sz w:val="20"/>
          <w:szCs w:val="20"/>
        </w:rPr>
        <w:t xml:space="preserve">f_atalho volta a ser parâmetro sem fonte (D-03).</w:t>
      </w:r>
    </w:p>
    <w:p>
      <w:pPr>
        <w:pStyle w:val="Heading3"/>
        <w:spacing w:after="100" w:before="220"/>
      </w:pPr>
      <w:r>
        <w:rPr>
          <w:rFonts w:ascii="Calibri" w:cs="Calibri" w:eastAsia="Calibri" w:hAnsi="Calibri"/>
          <w:b/>
          <w:bCs/>
          <w:color w:val="333333"/>
          <w:sz w:val="21"/>
          <w:szCs w:val="21"/>
        </w:rPr>
        <w:t xml:space="preserve">R-02 — “46% está fora de qualquer leitura razoável”</w:t>
      </w:r>
    </w:p>
    <w:p>
      <w:pPr>
        <w:spacing w:after="90"/>
        <w:ind w:left="200"/>
      </w:pPr>
      <w:r>
        <w:rPr>
          <w:rFonts w:ascii="Calibri" w:cs="Calibri" w:eastAsia="Calibri" w:hAnsi="Calibri"/>
          <w:b/>
          <w:bCs/>
          <w:color w:val="9B2C5E"/>
          <w:sz w:val="20"/>
          <w:szCs w:val="20"/>
        </w:rPr>
        <w:t xml:space="preserve">O que eu disse:  </w:t>
      </w:r>
      <w:r>
        <w:rPr>
          <w:rFonts w:ascii="Calibri" w:cs="Calibri" w:eastAsia="Calibri" w:hAnsi="Calibri"/>
          <w:sz w:val="20"/>
          <w:szCs w:val="20"/>
        </w:rPr>
        <w:t xml:space="preserve">que 46% de retrabalho contra a faixa empírica de 4–11% estava fora de qualquer leitura razoável.</w:t>
      </w:r>
    </w:p>
    <w:p>
      <w:pPr>
        <w:spacing w:after="90"/>
        <w:ind w:left="200"/>
      </w:pPr>
      <w:r>
        <w:rPr>
          <w:rFonts w:ascii="Calibri" w:cs="Calibri" w:eastAsia="Calibri" w:hAnsi="Calibri"/>
          <w:b/>
          <w:bCs/>
          <w:color w:val="9B2C5E"/>
          <w:sz w:val="20"/>
          <w:szCs w:val="20"/>
        </w:rPr>
        <w:t xml:space="preserve">Por que está errado:  </w:t>
      </w:r>
      <w:r>
        <w:rPr>
          <w:rFonts w:ascii="Calibri" w:cs="Calibri" w:eastAsia="Calibri" w:hAnsi="Calibri"/>
          <w:sz w:val="20"/>
          <w:szCs w:val="20"/>
        </w:rPr>
        <w:t xml:space="preserve">exagero. Você contrapôs com Boehm &amp; Basili (40–50% do esforço de software em retrabalho evitável) e o contraponto é legítimo.</w:t>
      </w:r>
    </w:p>
    <w:p>
      <w:pPr>
        <w:spacing w:after="90"/>
        <w:ind w:left="200"/>
      </w:pPr>
      <w:r>
        <w:rPr>
          <w:rFonts w:ascii="Calibri" w:cs="Calibri" w:eastAsia="Calibri" w:hAnsi="Calibri"/>
          <w:b/>
          <w:bCs/>
          <w:color w:val="9B2C5E"/>
          <w:sz w:val="20"/>
          <w:szCs w:val="20"/>
        </w:rPr>
        <w:t xml:space="preserve">Posição corrigida:  </w:t>
      </w:r>
      <w:r>
        <w:rPr>
          <w:rFonts w:ascii="Calibri" w:cs="Calibri" w:eastAsia="Calibri" w:hAnsi="Calibri"/>
          <w:sz w:val="20"/>
          <w:szCs w:val="20"/>
        </w:rPr>
        <w:t xml:space="preserve">concedo o exagero, mas mantenho que o contraponto desloca o problema em vez de resolvê-lo — ele reintroduz empréstimo entre domínios. A posição honesta é que 46% hoje não é defensável nem refutável, por falta de comparador na mesma unidade (D-08).</w:t>
      </w:r>
    </w:p>
    <w:p>
      <w:pPr>
        <w:pStyle w:val="Heading3"/>
        <w:spacing w:after="100" w:before="220"/>
      </w:pPr>
      <w:r>
        <w:rPr>
          <w:rFonts w:ascii="Calibri" w:cs="Calibri" w:eastAsia="Calibri" w:hAnsi="Calibri"/>
          <w:b/>
          <w:bCs/>
          <w:color w:val="333333"/>
          <w:sz w:val="21"/>
          <w:szCs w:val="21"/>
        </w:rPr>
        <w:t xml:space="preserve">R-03 — Previsão quantitativa do estreitamento do NROY</w:t>
      </w:r>
    </w:p>
    <w:p>
      <w:pPr>
        <w:spacing w:after="90"/>
        <w:ind w:left="200"/>
      </w:pPr>
      <w:r>
        <w:rPr>
          <w:rFonts w:ascii="Calibri" w:cs="Calibri" w:eastAsia="Calibri" w:hAnsi="Calibri"/>
          <w:b/>
          <w:bCs/>
          <w:color w:val="9B2C5E"/>
          <w:sz w:val="20"/>
          <w:szCs w:val="20"/>
        </w:rPr>
        <w:t xml:space="preserve">O que eu disse:  </w:t>
      </w:r>
      <w:r>
        <w:rPr>
          <w:rFonts w:ascii="Calibri" w:cs="Calibri" w:eastAsia="Calibri" w:hAnsi="Calibri"/>
          <w:sz w:val="20"/>
          <w:szCs w:val="20"/>
        </w:rPr>
        <w:t xml:space="preserve">que sob CRITICAL-2 as larguras do NROY apertariam para cerca de 60% e 42%.</w:t>
      </w:r>
    </w:p>
    <w:p>
      <w:pPr>
        <w:spacing w:after="90"/>
        <w:ind w:left="200"/>
      </w:pPr>
      <w:r>
        <w:rPr>
          <w:rFonts w:ascii="Calibri" w:cs="Calibri" w:eastAsia="Calibri" w:hAnsi="Calibri"/>
          <w:b/>
          <w:bCs/>
          <w:color w:val="9B2C5E"/>
          <w:sz w:val="20"/>
          <w:szCs w:val="20"/>
        </w:rPr>
        <w:t xml:space="preserve">Por que está errado:  </w:t>
      </w:r>
      <w:r>
        <w:rPr>
          <w:rFonts w:ascii="Calibri" w:cs="Calibri" w:eastAsia="Calibri" w:hAnsi="Calibri"/>
          <w:sz w:val="20"/>
          <w:szCs w:val="20"/>
        </w:rPr>
        <w:t xml:space="preserve">o piloto de fronteira mostrou 4 de 4 pontos do NROY legado rejeitados em K = 64. O NROY esvazia, não estreita. Minha aproximação de mesa era conservadora demais.</w:t>
      </w:r>
    </w:p>
    <w:p>
      <w:pPr>
        <w:pStyle w:val="Heading3"/>
        <w:spacing w:after="100" w:before="220"/>
      </w:pPr>
      <w:r>
        <w:rPr>
          <w:rFonts w:ascii="Calibri" w:cs="Calibri" w:eastAsia="Calibri" w:hAnsi="Calibri"/>
          <w:b/>
          <w:bCs/>
          <w:color w:val="333333"/>
          <w:sz w:val="21"/>
          <w:szCs w:val="21"/>
        </w:rPr>
        <w:t xml:space="preserve">R-04 — “Renomear” o gradiente</w:t>
      </w:r>
    </w:p>
    <w:p>
      <w:pPr>
        <w:spacing w:after="90"/>
        <w:ind w:left="200"/>
      </w:pPr>
      <w:r>
        <w:rPr>
          <w:rFonts w:ascii="Calibri" w:cs="Calibri" w:eastAsia="Calibri" w:hAnsi="Calibri"/>
          <w:b/>
          <w:bCs/>
          <w:color w:val="9B2C5E"/>
          <w:sz w:val="20"/>
          <w:szCs w:val="20"/>
        </w:rPr>
        <w:t xml:space="preserve">O que eu disse:  </w:t>
      </w:r>
      <w:r>
        <w:rPr>
          <w:rFonts w:ascii="Calibri" w:cs="Calibri" w:eastAsia="Calibri" w:hAnsi="Calibri"/>
          <w:sz w:val="20"/>
          <w:szCs w:val="20"/>
        </w:rPr>
        <w:t xml:space="preserve">que trocar o eixo de complexidade ciclomática por tamanho era, na prática, renomear o gradiente.</w:t>
      </w:r>
    </w:p>
    <w:p>
      <w:pPr>
        <w:spacing w:after="90"/>
        <w:ind w:left="200"/>
      </w:pPr>
      <w:r>
        <w:rPr>
          <w:rFonts w:ascii="Calibri" w:cs="Calibri" w:eastAsia="Calibri" w:hAnsi="Calibri"/>
          <w:b/>
          <w:bCs/>
          <w:color w:val="9B2C5E"/>
          <w:sz w:val="20"/>
          <w:szCs w:val="20"/>
        </w:rPr>
        <w:t xml:space="preserve">Por que está errado:  </w:t>
      </w:r>
      <w:r>
        <w:rPr>
          <w:rFonts w:ascii="Calibri" w:cs="Calibri" w:eastAsia="Calibri" w:hAnsi="Calibri"/>
          <w:sz w:val="20"/>
          <w:szCs w:val="20"/>
        </w:rPr>
        <w:t xml:space="preserve">você apontou corretamente que multiplicadores calculados sobre quartis de complexidade ciclomática não podem ser rerrotulados como gradiente de tamanho depois do fato. O recálculo sobre linhas de código é necessário, não opcional — e os próprios números que eu havia reportado (2,99 contra 5,37) já mostravam que o resultado muda.</w:t>
      </w:r>
    </w:p>
    <w:p>
      <w:pPr>
        <w:pStyle w:val="Heading3"/>
        <w:spacing w:after="100" w:before="220"/>
      </w:pPr>
      <w:r>
        <w:rPr>
          <w:rFonts w:ascii="Calibri" w:cs="Calibri" w:eastAsia="Calibri" w:hAnsi="Calibri"/>
          <w:b/>
          <w:bCs/>
          <w:color w:val="333333"/>
          <w:sz w:val="21"/>
          <w:szCs w:val="21"/>
        </w:rPr>
        <w:t xml:space="preserve">R-07 — “Reset da confiança por subtarefa” (D-01)</w:t>
      </w:r>
    </w:p>
    <w:p>
      <w:pPr>
        <w:spacing w:after="90"/>
        <w:ind w:left="200"/>
      </w:pPr>
      <w:r>
        <w:rPr>
          <w:rFonts w:ascii="Calibri" w:cs="Calibri" w:eastAsia="Calibri" w:hAnsi="Calibri"/>
          <w:b/>
          <w:bCs/>
          <w:color w:val="9B2C5E"/>
          <w:sz w:val="20"/>
          <w:szCs w:val="20"/>
        </w:rPr>
        <w:t xml:space="preserve">O que eu escrevi:  </w:t>
      </w:r>
      <w:r>
        <w:rPr>
          <w:rFonts w:ascii="Calibri" w:cs="Calibri" w:eastAsia="Calibri" w:hAnsi="Calibri"/>
          <w:sz w:val="20"/>
          <w:szCs w:val="20"/>
        </w:rPr>
        <w:t xml:space="preserve">no campo de decisão do D-01, “reset da confiança por subtarefa”.</w:t>
      </w:r>
    </w:p>
    <w:p>
      <w:pPr>
        <w:spacing w:after="90"/>
        <w:ind w:left="200"/>
      </w:pPr>
      <w:r>
        <w:rPr>
          <w:rFonts w:ascii="Calibri" w:cs="Calibri" w:eastAsia="Calibri" w:hAnsi="Calibri"/>
          <w:b/>
          <w:bCs/>
          <w:color w:val="9B2C5E"/>
          <w:sz w:val="20"/>
          <w:szCs w:val="20"/>
        </w:rPr>
        <w:t xml:space="preserve">Por que está errado:  </w:t>
      </w:r>
      <w:r>
        <w:rPr>
          <w:rFonts w:ascii="Calibri" w:cs="Calibri" w:eastAsia="Calibri" w:hAnsi="Calibri"/>
          <w:sz w:val="20"/>
          <w:szCs w:val="20"/>
        </w:rPr>
        <w:t xml:space="preserve">o artigo de Crowder, p. 1431, logo abaixo da equação (2), diz o contrário, sobre competência: “Note that although a DesignerAgent's competency value may increase during a subtask, once completed, this value reverts to its originally inputted level for the next subtask.” É a COMPETÊNCIA que reinicia. A confiança não tem reset em Crowder — a equação (4) não prevê nenhum.</w:t>
      </w:r>
    </w:p>
    <w:p>
      <w:pPr>
        <w:spacing w:after="90"/>
        <w:ind w:left="200"/>
      </w:pPr>
      <w:r>
        <w:rPr>
          <w:rFonts w:ascii="Calibri" w:cs="Calibri" w:eastAsia="Calibri" w:hAnsi="Calibri"/>
          <w:b/>
          <w:bCs/>
          <w:color w:val="9B2C5E"/>
          <w:sz w:val="20"/>
          <w:szCs w:val="20"/>
        </w:rPr>
        <w:t xml:space="preserve">Como foi pego:  </w:t>
      </w:r>
      <w:r>
        <w:rPr>
          <w:rFonts w:ascii="Calibri" w:cs="Calibri" w:eastAsia="Calibri" w:hAnsi="Calibri"/>
          <w:sz w:val="20"/>
          <w:szCs w:val="20"/>
        </w:rPr>
        <w:t xml:space="preserve">pelo autor (Codex), no parecer 19, indo à fonte primária em vez de seguir o revisor. O meu próprio documento se contradizia: o campo de condições de contorno do mesmo D-01 já dizia corretamente “a competência volta ao valor inicial”. Corrigido aqui e no código, que implementa reset de competência e nenhum de confiança.</w:t>
      </w:r>
    </w:p>
    <w:p>
      <w:pPr>
        <w:pStyle w:val="Heading3"/>
        <w:spacing w:after="100" w:before="220"/>
      </w:pPr>
      <w:r>
        <w:rPr>
          <w:rFonts w:ascii="Calibri" w:cs="Calibri" w:eastAsia="Calibri" w:hAnsi="Calibri"/>
          <w:b/>
          <w:bCs/>
          <w:color w:val="333333"/>
          <w:sz w:val="21"/>
          <w:szCs w:val="21"/>
        </w:rPr>
        <w:t xml:space="preserve">R-06 — “Falta um comparador na mesma unidade”</w:t>
      </w:r>
    </w:p>
    <w:p>
      <w:pPr>
        <w:spacing w:after="90"/>
        <w:ind w:left="200"/>
      </w:pPr>
      <w:r>
        <w:rPr>
          <w:rFonts w:ascii="Calibri" w:cs="Calibri" w:eastAsia="Calibri" w:hAnsi="Calibri"/>
          <w:b/>
          <w:bCs/>
          <w:color w:val="9B2C5E"/>
          <w:sz w:val="20"/>
          <w:szCs w:val="20"/>
        </w:rPr>
        <w:t xml:space="preserve">O que eu disse:  </w:t>
      </w:r>
      <w:r>
        <w:rPr>
          <w:rFonts w:ascii="Calibri" w:cs="Calibri" w:eastAsia="Calibri" w:hAnsi="Calibri"/>
          <w:sz w:val="20"/>
          <w:szCs w:val="20"/>
        </w:rPr>
        <w:t xml:space="preserve">que os 46% de retrabalho do modelo não eram nem defensáveis nem refutáveis por falta de um comparador na mesma unidade, e que o primeiro gargalo do trabalho era construir esse comparador.</w:t>
      </w:r>
    </w:p>
    <w:p>
      <w:pPr>
        <w:spacing w:after="90"/>
        <w:ind w:left="200"/>
      </w:pPr>
      <w:r>
        <w:rPr>
          <w:rFonts w:ascii="Calibri" w:cs="Calibri" w:eastAsia="Calibri" w:hAnsi="Calibri"/>
          <w:b/>
          <w:bCs/>
          <w:color w:val="9B2C5E"/>
          <w:sz w:val="20"/>
          <w:szCs w:val="20"/>
        </w:rPr>
        <w:t xml:space="preserve">Por que está errado:  </w:t>
      </w:r>
      <w:r>
        <w:rPr>
          <w:rFonts w:ascii="Calibri" w:cs="Calibri" w:eastAsia="Calibri" w:hAnsi="Calibri"/>
          <w:sz w:val="20"/>
          <w:szCs w:val="20"/>
        </w:rPr>
        <w:t xml:space="preserve">o comparador existe e já estava catalogado no próprio repositório. O 04_FONTES.md registra Boehm &amp; Basili (2001) como verificada, com link que abre, e anota explicitamente que ela mede ESFORÇO e que é “a única referência na mesma unidade da saída do modelo”. Eu afirmei uma ausência sem ter lido o arquivo de fontes do trabalho que estava revisando.</w:t>
      </w:r>
    </w:p>
    <w:p>
      <w:pPr>
        <w:spacing w:after="90"/>
        <w:ind w:left="200"/>
      </w:pPr>
      <w:r>
        <w:rPr>
          <w:rFonts w:ascii="Calibri" w:cs="Calibri" w:eastAsia="Calibri" w:hAnsi="Calibri"/>
          <w:b/>
          <w:bCs/>
          <w:color w:val="9B2C5E"/>
          <w:sz w:val="20"/>
          <w:szCs w:val="20"/>
        </w:rPr>
        <w:t xml:space="preserve">Posição corrigida:  </w:t>
      </w:r>
      <w:r>
        <w:rPr>
          <w:rFonts w:ascii="Calibri" w:cs="Calibri" w:eastAsia="Calibri" w:hAnsi="Calibri"/>
          <w:sz w:val="20"/>
          <w:szCs w:val="20"/>
        </w:rPr>
        <w:t xml:space="preserve">a unidade bate; o que não bate é o domínio (software contra projeto de engenharia genérico). G-01 muda de natureza — ver D-08 e seção 5.</w:t>
      </w:r>
    </w:p>
    <w:p>
      <w:pPr>
        <w:spacing w:after="90"/>
        <w:ind w:left="200"/>
      </w:pPr>
      <w:r>
        <w:rPr>
          <w:rFonts w:ascii="Calibri" w:cs="Calibri" w:eastAsia="Calibri" w:hAnsi="Calibri"/>
          <w:b/>
          <w:bCs/>
          <w:color w:val="9B2C5E"/>
          <w:sz w:val="20"/>
          <w:szCs w:val="20"/>
        </w:rPr>
        <w:t xml:space="preserve">Lição de processo, não só de conteúdo:  </w:t>
      </w:r>
      <w:r>
        <w:rPr>
          <w:rFonts w:ascii="Calibri" w:cs="Calibri" w:eastAsia="Calibri" w:hAnsi="Calibri"/>
          <w:sz w:val="20"/>
          <w:szCs w:val="20"/>
        </w:rPr>
        <w:t xml:space="preserve">essa retratação só apareceu porque os arquivos do repositório foram finalmente lidos. Um revisor independente que não lê o registro de fontes do trabalho </w:t>
      </w:r>
      <w:r>
        <w:rPr>
          <w:rFonts w:ascii="Calibri" w:cs="Calibri" w:eastAsia="Calibri" w:hAnsi="Calibri"/>
          <w:b/>
          <w:bCs/>
          <w:sz w:val="20"/>
          <w:szCs w:val="20"/>
        </w:rPr>
        <w:t xml:space="preserve">inventa lacunas</w:t>
      </w:r>
      <w:r>
        <w:rPr>
          <w:rFonts w:ascii="Calibri" w:cs="Calibri" w:eastAsia="Calibri" w:hAnsi="Calibri"/>
          <w:sz w:val="20"/>
          <w:szCs w:val="20"/>
        </w:rPr>
        <w:t xml:space="preserve"> — e uma lacuna inventada custa tanto tempo quanto uma afirmação falsa. Daqui em diante, 04_FONTES.md e docs/registro_de_decisoes.md são leitura obrigatória antes de eu declarar qualquer coisa como “em aberto”.</w:t>
      </w:r>
    </w:p>
    <w:p>
      <w:pPr>
        <w:pStyle w:val="Heading3"/>
        <w:spacing w:after="100" w:before="220"/>
      </w:pPr>
      <w:r>
        <w:rPr>
          <w:rFonts w:ascii="Calibri" w:cs="Calibri" w:eastAsia="Calibri" w:hAnsi="Calibri"/>
          <w:b/>
          <w:bCs/>
          <w:color w:val="333333"/>
          <w:sz w:val="21"/>
          <w:szCs w:val="21"/>
        </w:rPr>
        <w:t xml:space="preserve">R-05 — “History Matching identifica o vetor verdadeiro”</w:t>
      </w:r>
    </w:p>
    <w:p>
      <w:pPr>
        <w:spacing w:after="90"/>
        <w:ind w:left="200"/>
      </w:pPr>
      <w:r>
        <w:rPr>
          <w:rFonts w:ascii="Calibri" w:cs="Calibri" w:eastAsia="Calibri" w:hAnsi="Calibri"/>
          <w:b/>
          <w:bCs/>
          <w:color w:val="9B2C5E"/>
          <w:sz w:val="20"/>
          <w:szCs w:val="20"/>
        </w:rPr>
        <w:t xml:space="preserve">O que eu disse:  </w:t>
      </w:r>
      <w:r>
        <w:rPr>
          <w:rFonts w:ascii="Calibri" w:cs="Calibri" w:eastAsia="Calibri" w:hAnsi="Calibri"/>
          <w:sz w:val="20"/>
          <w:szCs w:val="20"/>
        </w:rPr>
        <w:t xml:space="preserve">que o History Matching identificaria o vetor verdadeiro de parâmetros.</w:t>
      </w:r>
    </w:p>
    <w:p>
      <w:pPr>
        <w:spacing w:after="90"/>
        <w:ind w:left="200"/>
      </w:pPr>
      <w:r>
        <w:rPr>
          <w:rFonts w:ascii="Calibri" w:cs="Calibri" w:eastAsia="Calibri" w:hAnsi="Calibri"/>
          <w:b/>
          <w:bCs/>
          <w:color w:val="9B2C5E"/>
          <w:sz w:val="20"/>
          <w:szCs w:val="20"/>
        </w:rPr>
        <w:t xml:space="preserve">Por que está errado:  </w:t>
      </w:r>
      <w:r>
        <w:rPr>
          <w:rFonts w:ascii="Calibri" w:cs="Calibri" w:eastAsia="Calibri" w:hAnsi="Calibri"/>
          <w:sz w:val="20"/>
          <w:szCs w:val="20"/>
        </w:rPr>
        <w:t xml:space="preserve">o HM elimina regiões implausíveis e devolve o NROY. Não aponta o verdadeiro. A correção precisa chegar também à linguagem impressa pelos scripts, não só aos textos (D-09).</w:t>
      </w:r>
    </w:p>
    <w:p>
      <w:r>
        <w:br w:type="page"/>
      </w:r>
    </w:p>
    <w:p>
      <w:pPr>
        <w:pStyle w:val="Heading1"/>
        <w:spacing w:after="200" w:before="360"/>
      </w:pPr>
      <w:r>
        <w:rPr>
          <w:rFonts w:ascii="Calibri" w:cs="Calibri" w:eastAsia="Calibri" w:hAnsi="Calibri"/>
          <w:b/>
          <w:bCs/>
          <w:color w:val="9B2C5E"/>
          <w:sz w:val="30"/>
          <w:szCs w:val="30"/>
        </w:rPr>
        <w:t xml:space="preserve">5. Gargalos abertos</w:t>
      </w:r>
    </w:p>
    <w:p>
      <w:pPr>
        <w:spacing w:after="120" w:before="0"/>
      </w:pPr>
      <w:r>
        <w:rPr>
          <w:rFonts w:ascii="Calibri" w:cs="Calibri" w:eastAsia="Calibri" w:hAnsi="Calibri"/>
          <w:sz w:val="20"/>
          <w:szCs w:val="20"/>
        </w:rPr>
        <w:t xml:space="preserve">Três pontos ainda sem fonte que os sustente. São o que falta para o trabalho fechar o argumento empírico.</w:t>
      </w:r>
    </w:p>
    <w:p>
      <w:pPr>
        <w:pStyle w:val="Heading2"/>
        <w:spacing w:after="140" w:before="280"/>
      </w:pPr>
      <w:r>
        <w:rPr>
          <w:rFonts w:ascii="Calibri" w:cs="Calibri" w:eastAsia="Calibri" w:hAnsi="Calibri"/>
          <w:b/>
          <w:bCs/>
          <w:color w:val="5E1B39"/>
          <w:sz w:val="24"/>
          <w:szCs w:val="24"/>
        </w:rPr>
        <w:t xml:space="preserve">G-01 — O empréstimo de domínio no comparador de retrabalho</w:t>
      </w:r>
    </w:p>
    <w:p>
      <w:pPr>
        <w:spacing w:after="90"/>
        <w:ind w:left="200"/>
      </w:pPr>
      <w:r>
        <w:rPr>
          <w:rFonts w:ascii="Calibri" w:cs="Calibri" w:eastAsia="Calibri" w:hAnsi="Calibri"/>
          <w:b/>
          <w:bCs/>
          <w:color w:val="9B2C5E"/>
          <w:sz w:val="20"/>
          <w:szCs w:val="20"/>
        </w:rPr>
        <w:t xml:space="preserve">Reformulado em 16/09/2026.  </w:t>
      </w:r>
      <w:r>
        <w:rPr>
          <w:rFonts w:ascii="Calibri" w:cs="Calibri" w:eastAsia="Calibri" w:hAnsi="Calibri"/>
          <w:sz w:val="20"/>
          <w:szCs w:val="20"/>
        </w:rPr>
        <w:t xml:space="preserve">A formulação anterior deste gargalo — “falta um comparador na mesma unidade” — </w:t>
      </w:r>
      <w:r>
        <w:rPr>
          <w:rFonts w:ascii="Calibri" w:cs="Calibri" w:eastAsia="Calibri" w:hAnsi="Calibri"/>
          <w:b/>
          <w:bCs/>
          <w:color w:val="9C2B1B"/>
          <w:sz w:val="20"/>
          <w:szCs w:val="20"/>
        </w:rPr>
        <w:t xml:space="preserve">estava errada</w:t>
      </w:r>
      <w:r>
        <w:rPr>
          <w:rFonts w:ascii="Calibri" w:cs="Calibri" w:eastAsia="Calibri" w:hAnsi="Calibri"/>
          <w:sz w:val="20"/>
          <w:szCs w:val="20"/>
        </w:rPr>
        <w:t xml:space="preserve"> e foi retratada em R-06. O comparador de unidade existe: Boehm &amp; Basili (2001) medem esforço, como o modelo, e já estava catalogado no 04_FONTES.</w:t>
      </w:r>
    </w:p>
    <w:p>
      <w:pPr>
        <w:spacing w:after="90"/>
        <w:ind w:left="200"/>
      </w:pPr>
      <w:r>
        <w:rPr>
          <w:rFonts w:ascii="Calibri" w:cs="Calibri" w:eastAsia="Calibri" w:hAnsi="Calibri"/>
          <w:b/>
          <w:bCs/>
          <w:color w:val="9B2C5E"/>
          <w:sz w:val="20"/>
          <w:szCs w:val="20"/>
        </w:rPr>
        <w:t xml:space="preserve">O problema real:  </w:t>
      </w:r>
      <w:r>
        <w:rPr>
          <w:rFonts w:ascii="Calibri" w:cs="Calibri" w:eastAsia="Calibri" w:hAnsi="Calibri"/>
          <w:sz w:val="20"/>
          <w:szCs w:val="20"/>
        </w:rPr>
        <w:t xml:space="preserve">Boehm &amp; Basili medem desenvolvimento de software; o modelo simula execução de projeto genérico sobre instâncias do PSPLIB J60. A comparação é entre domínios. E a literatura de construção, que é o domínio mais próximo, mede custo sobre valor de contrato — outro denominador ainda. Não há hoje uma cifra de retrabalho em esforço, em projeto de engenharia não-software, contra a qual os 46% possam ser postos.</w:t>
      </w:r>
    </w:p>
    <w:p>
      <w:pPr>
        <w:spacing w:after="90"/>
        <w:ind w:left="200"/>
      </w:pPr>
      <w:r>
        <w:rPr>
          <w:rFonts w:ascii="Calibri" w:cs="Calibri" w:eastAsia="Calibri" w:hAnsi="Calibri"/>
          <w:b/>
          <w:bCs/>
          <w:color w:val="9B2C5E"/>
          <w:sz w:val="20"/>
          <w:szCs w:val="20"/>
        </w:rPr>
        <w:t xml:space="preserve">Duas saídas, e as duas servem:  </w:t>
      </w:r>
      <w:r>
        <w:rPr>
          <w:rFonts w:ascii="Calibri" w:cs="Calibri" w:eastAsia="Calibri" w:hAnsi="Calibri"/>
          <w:sz w:val="20"/>
          <w:szCs w:val="20"/>
        </w:rPr>
        <w:t xml:space="preserve">(a) declarar o empréstimo — comparar com Boehm &amp; Basili, dizendo que a unidade bate e o domínio não, e tratar a cifra como ordem de grandeza e não como validação; (b) achar a cifra em esforço fora de software. A saída (a) é escrevível hoje e já melhora a monografia; a (b) é a que fecharia o argumento.</w:t>
      </w:r>
    </w:p>
    <w:p>
      <w:pPr>
        <w:spacing w:after="90"/>
        <w:ind w:left="200"/>
      </w:pPr>
      <w:r>
        <w:rPr>
          <w:rFonts w:ascii="Calibri" w:cs="Calibri" w:eastAsia="Calibri" w:hAnsi="Calibri"/>
          <w:b/>
          <w:bCs/>
          <w:color w:val="9B2C5E"/>
          <w:sz w:val="20"/>
          <w:szCs w:val="20"/>
        </w:rPr>
        <w:t xml:space="preserve">Onde procurar para a saída (b):  </w:t>
      </w:r>
      <w:r>
        <w:rPr>
          <w:rFonts w:ascii="Calibri" w:cs="Calibri" w:eastAsia="Calibri" w:hAnsi="Calibri"/>
          <w:sz w:val="20"/>
          <w:szCs w:val="20"/>
        </w:rPr>
        <w:t xml:space="preserve">relatórios do CII com dados de homem-hora (não os de custo, que são os que a compilação CMAA usa); literatura de medição de produtividade em desenvolvimento de produto e em engenharia de projeto; a própria literatura de SYDPIM e dinâmica de sistemas aplicada a projeto, que trabalha nativamente em esforço — Rodrigues (2000), já catalogado, é o ponto de partida natural e ninguém olhou ainda com essa pergunta na mão.</w:t>
      </w:r>
    </w:p>
    <w:p>
      <w:pPr>
        <w:pStyle w:val="Heading2"/>
        <w:spacing w:after="140" w:before="280"/>
      </w:pPr>
      <w:r>
        <w:rPr>
          <w:rFonts w:ascii="Calibri" w:cs="Calibri" w:eastAsia="Calibri" w:hAnsi="Calibri"/>
          <w:b/>
          <w:bCs/>
          <w:color w:val="5E1B39"/>
          <w:sz w:val="24"/>
          <w:szCs w:val="24"/>
        </w:rPr>
        <w:t xml:space="preserve">G-02 — A ponte de agregação do HEART</w:t>
      </w:r>
    </w:p>
    <w:p>
      <w:pPr>
        <w:spacing w:after="90"/>
        <w:ind w:left="200"/>
      </w:pPr>
      <w:r>
        <w:rPr>
          <w:rFonts w:ascii="Calibri" w:cs="Calibri" w:eastAsia="Calibri" w:hAnsi="Calibri"/>
          <w:b/>
          <w:bCs/>
          <w:color w:val="9B2C5E"/>
          <w:sz w:val="20"/>
          <w:szCs w:val="20"/>
        </w:rPr>
        <w:t xml:space="preserve">O problema:  </w:t>
      </w:r>
      <w:r>
        <w:rPr>
          <w:rFonts w:ascii="Calibri" w:cs="Calibri" w:eastAsia="Calibri" w:hAnsi="Calibri"/>
          <w:sz w:val="20"/>
          <w:szCs w:val="20"/>
        </w:rPr>
        <w:t xml:space="preserve">a probabilidade de erro humano do HEART é definida por passo elementar. Uma atividade do conjunto J60 agrega muitos passos. Sem uma regra de composição explícita — quantos passos elementares há numa atividade, e como as probabilidades se combinam — o número do HEART não pode ser lido como F_ancora.</w:t>
      </w:r>
    </w:p>
    <w:p>
      <w:pPr>
        <w:spacing w:after="90"/>
        <w:ind w:left="200"/>
      </w:pPr>
      <w:r>
        <w:rPr>
          <w:rFonts w:ascii="Calibri" w:cs="Calibri" w:eastAsia="Calibri" w:hAnsi="Calibri"/>
          <w:b/>
          <w:bCs/>
          <w:color w:val="9B2C5E"/>
          <w:sz w:val="20"/>
          <w:szCs w:val="20"/>
        </w:rPr>
        <w:t xml:space="preserve">O que resolveria:  </w:t>
      </w:r>
      <w:r>
        <w:rPr>
          <w:rFonts w:ascii="Calibri" w:cs="Calibri" w:eastAsia="Calibri" w:hAnsi="Calibri"/>
          <w:sz w:val="20"/>
          <w:szCs w:val="20"/>
        </w:rPr>
        <w:t xml:space="preserve">uma regra de composição justificada (por exemplo, 1 − Π(1 − pₖ) sobre k passos, com k estimado a partir de decomposição de tarefa), OU uma fonte de confiabilidade humana que já reporte no nível de pacote de trabalho.</w:t>
      </w:r>
    </w:p>
    <w:p>
      <w:pPr>
        <w:spacing w:after="90"/>
        <w:ind w:left="200"/>
      </w:pPr>
      <w:r>
        <w:rPr>
          <w:rFonts w:ascii="Calibri" w:cs="Calibri" w:eastAsia="Calibri" w:hAnsi="Calibri"/>
          <w:b/>
          <w:bCs/>
          <w:color w:val="9B2C5E"/>
          <w:sz w:val="20"/>
          <w:szCs w:val="20"/>
        </w:rPr>
        <w:t xml:space="preserve">Registrado em:  </w:t>
      </w:r>
      <w:r>
        <w:rPr>
          <w:rFonts w:ascii="Calibri" w:cs="Calibri" w:eastAsia="Calibri" w:hAnsi="Calibri"/>
          <w:sz w:val="20"/>
          <w:szCs w:val="20"/>
        </w:rPr>
        <w:t xml:space="preserve">§9 do parecer 12.</w:t>
      </w:r>
    </w:p>
    <w:p>
      <w:pPr>
        <w:pStyle w:val="Heading2"/>
        <w:spacing w:after="140" w:before="280"/>
      </w:pPr>
      <w:r>
        <w:rPr>
          <w:rFonts w:ascii="Calibri" w:cs="Calibri" w:eastAsia="Calibri" w:hAnsi="Calibri"/>
          <w:b/>
          <w:bCs/>
          <w:color w:val="5E1B39"/>
          <w:sz w:val="24"/>
          <w:szCs w:val="24"/>
        </w:rPr>
        <w:t xml:space="preserve">G-03 — P(heurístico | pressão, dificuldade): a validação dos 64%</w:t>
      </w:r>
    </w:p>
    <w:p>
      <w:pPr>
        <w:spacing w:after="90"/>
        <w:ind w:left="200"/>
      </w:pPr>
      <w:r>
        <w:rPr>
          <w:rFonts w:ascii="Calibri" w:cs="Calibri" w:eastAsia="Calibri" w:hAnsi="Calibri"/>
          <w:b/>
          <w:bCs/>
          <w:color w:val="9B2C5E"/>
          <w:sz w:val="20"/>
          <w:szCs w:val="20"/>
        </w:rPr>
        <w:t xml:space="preserve">O problema:  </w:t>
      </w:r>
      <w:r>
        <w:rPr>
          <w:rFonts w:ascii="Calibri" w:cs="Calibri" w:eastAsia="Calibri" w:hAnsi="Calibri"/>
          <w:sz w:val="20"/>
          <w:szCs w:val="20"/>
        </w:rPr>
        <w:t xml:space="preserve">o modelo produz uma taxa de escolha da rota heurística que ninguém validou externamente. p_heu = σ((E − τ_sat)/s) com E = D·P/B é uma forma funcional escolhida, não medida.</w:t>
      </w:r>
    </w:p>
    <w:p>
      <w:pPr>
        <w:spacing w:after="90"/>
        <w:ind w:left="200"/>
      </w:pPr>
      <w:r>
        <w:rPr>
          <w:rFonts w:ascii="Calibri" w:cs="Calibri" w:eastAsia="Calibri" w:hAnsi="Calibri"/>
          <w:b/>
          <w:bCs/>
          <w:color w:val="9B2C5E"/>
          <w:sz w:val="20"/>
          <w:szCs w:val="20"/>
        </w:rPr>
        <w:t xml:space="preserve">O que resolveria:  </w:t>
      </w:r>
      <w:r>
        <w:rPr>
          <w:rFonts w:ascii="Calibri" w:cs="Calibri" w:eastAsia="Calibri" w:hAnsi="Calibri"/>
          <w:sz w:val="20"/>
          <w:szCs w:val="20"/>
        </w:rPr>
        <w:t xml:space="preserve">estudo empírico que reporte a proporção de decisões tomadas por atalho heurístico em função de pressão de prazo e de dificuldade de tarefa, em contexto profissional. A literatura de decisão adaptativa e de seleção de estratégia é o lugar natural.</w:t>
      </w:r>
    </w:p>
    <w:p>
      <w:pPr>
        <w:spacing w:after="90"/>
        <w:ind w:left="200"/>
      </w:pPr>
      <w:r>
        <w:rPr>
          <w:rFonts w:ascii="Calibri" w:cs="Calibri" w:eastAsia="Calibri" w:hAnsi="Calibri"/>
          <w:b/>
          <w:bCs/>
          <w:color w:val="9B2C5E"/>
          <w:sz w:val="20"/>
          <w:szCs w:val="20"/>
        </w:rPr>
        <w:t xml:space="preserve">Estado:  </w:t>
      </w:r>
      <w:r>
        <w:rPr>
          <w:rFonts w:ascii="Calibri" w:cs="Calibri" w:eastAsia="Calibri" w:hAnsi="Calibri"/>
          <w:sz w:val="20"/>
          <w:szCs w:val="20"/>
        </w:rPr>
        <w:t xml:space="preserve">duas candidatas levantadas foram desaconselhadas por baixa confiabilidade editorial (ver 2.2). Continua aberto.</w:t>
      </w:r>
    </w:p>
    <w:p>
      <w:r>
        <w:br w:type="page"/>
      </w:r>
    </w:p>
    <w:p>
      <w:pPr>
        <w:pStyle w:val="Heading1"/>
        <w:spacing w:after="200" w:before="360"/>
      </w:pPr>
      <w:r>
        <w:rPr>
          <w:rFonts w:ascii="Calibri" w:cs="Calibri" w:eastAsia="Calibri" w:hAnsi="Calibri"/>
          <w:b/>
          <w:bCs/>
          <w:color w:val="9B2C5E"/>
          <w:sz w:val="30"/>
          <w:szCs w:val="30"/>
        </w:rPr>
        <w:t xml:space="preserve">6. Onde estão os documentos</w:t>
      </w:r>
    </w:p>
    <w:p>
      <w:pPr>
        <w:spacing w:after="120" w:before="0"/>
      </w:pPr>
      <w:r>
        <w:rPr>
          <w:rFonts w:ascii="Calibri" w:cs="Calibri" w:eastAsia="Calibri" w:hAnsi="Calibri"/>
          <w:sz w:val="20"/>
          <w:szCs w:val="20"/>
        </w:rPr>
        <w:t xml:space="preserve">Rastreabilidade dos pareceres. Os documentos estão no repositório TCC2, pasta projeto/.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3000"/>
      </w:tblGrid>
      <w:tr>
        <w:trPr>
          <w:tblHeader/>
        </w:trPr>
        <w:tc>
          <w:tcPr>
            <w:tcW w:type="dxa" w:w="2400"/>
            <w:shd w:fill="5E1B39" w:color="auto" w:val="clear"/>
            <w:tcMar>
              <w:top w:type="dxa" w:w="80"/>
              <w:left w:type="dxa" w:w="100"/>
              <w:bottom w:type="dxa" w:w="80"/>
              <w:right w:type="dxa" w:w="100"/>
            </w:tcMar>
          </w:tcPr>
          <w:p>
            <w:r>
              <w:rPr>
                <w:rFonts w:ascii="Calibri" w:cs="Calibri" w:eastAsia="Calibri" w:hAnsi="Calibri"/>
                <w:b/>
                <w:bCs/>
                <w:color w:val="FFFFFF"/>
                <w:sz w:val="18"/>
                <w:szCs w:val="18"/>
              </w:rPr>
              <w:t xml:space="preserve">Documento</w:t>
            </w:r>
          </w:p>
        </w:tc>
        <w:tc>
          <w:tcPr>
            <w:tcW w:type="dxa" w:w="4300"/>
            <w:shd w:fill="5E1B39" w:color="auto" w:val="clear"/>
            <w:tcMar>
              <w:top w:type="dxa" w:w="80"/>
              <w:left w:type="dxa" w:w="100"/>
              <w:bottom w:type="dxa" w:w="80"/>
              <w:right w:type="dxa" w:w="100"/>
            </w:tcMar>
          </w:tcPr>
          <w:p>
            <w:r>
              <w:rPr>
                <w:rFonts w:ascii="Calibri" w:cs="Calibri" w:eastAsia="Calibri" w:hAnsi="Calibri"/>
                <w:b/>
                <w:bCs/>
                <w:color w:val="FFFFFF"/>
                <w:sz w:val="18"/>
                <w:szCs w:val="18"/>
              </w:rPr>
              <w:t xml:space="preserve">Conteúdo</w:t>
            </w:r>
          </w:p>
        </w:tc>
        <w:tc>
          <w:tcPr>
            <w:tcW w:type="dxa" w:w="3000"/>
            <w:shd w:fill="5E1B39" w:color="auto" w:val="clear"/>
            <w:tcMar>
              <w:top w:type="dxa" w:w="80"/>
              <w:left w:type="dxa" w:w="100"/>
              <w:bottom w:type="dxa" w:w="80"/>
              <w:right w:type="dxa" w:w="100"/>
            </w:tcMar>
          </w:tcPr>
          <w:p>
            <w:r>
              <w:rPr>
                <w:rFonts w:ascii="Calibri" w:cs="Calibri" w:eastAsia="Calibri" w:hAnsi="Calibri"/>
                <w:b/>
                <w:bCs/>
                <w:color w:val="FFFFFF"/>
                <w:sz w:val="18"/>
                <w:szCs w:val="18"/>
              </w:rPr>
              <w:t xml:space="preserve">Onde está</w:t>
            </w:r>
          </w:p>
        </w:tc>
      </w:tr>
      <w:tr>
        <w:trPr>
          <w:cantSplit/>
        </w:trPr>
        <w:tc>
          <w:tcPr>
            <w:tcW w:type="dxa" w:w="2400"/>
            <w:tcMar>
              <w:top w:type="dxa" w:w="80"/>
              <w:left w:type="dxa" w:w="100"/>
              <w:bottom w:type="dxa" w:w="80"/>
              <w:right w:type="dxa" w:w="100"/>
            </w:tcMar>
          </w:tcPr>
          <w:p>
            <w:r>
              <w:rPr>
                <w:rFonts w:ascii="Calibri" w:cs="Calibri" w:eastAsia="Calibri" w:hAnsi="Calibri"/>
                <w:sz w:val="18"/>
                <w:szCs w:val="18"/>
              </w:rPr>
              <w:t xml:space="preserve">09_REVISAO_INDEPENDENTE_2026-09-15.md</w:t>
            </w:r>
          </w:p>
        </w:tc>
        <w:tc>
          <w:tcPr>
            <w:tcW w:type="dxa" w:w="4300"/>
            <w:tcMar>
              <w:top w:type="dxa" w:w="80"/>
              <w:left w:type="dxa" w:w="100"/>
              <w:bottom w:type="dxa" w:w="80"/>
              <w:right w:type="dxa" w:w="100"/>
            </w:tcMar>
          </w:tcPr>
          <w:p>
            <w:r>
              <w:rPr>
                <w:rFonts w:ascii="Calibri" w:cs="Calibri" w:eastAsia="Calibri" w:hAnsi="Calibri"/>
                <w:sz w:val="18"/>
                <w:szCs w:val="18"/>
              </w:rPr>
              <w:t xml:space="preserve">Primeira rodada de revisão independente.</w:t>
            </w:r>
          </w:p>
        </w:tc>
        <w:tc>
          <w:tcPr>
            <w:tcW w:type="dxa" w:w="3000"/>
            <w:tcMar>
              <w:top w:type="dxa" w:w="80"/>
              <w:left w:type="dxa" w:w="100"/>
              <w:bottom w:type="dxa" w:w="80"/>
              <w:right w:type="dxa" w:w="100"/>
            </w:tcMar>
          </w:tcPr>
          <w:p>
            <w:r>
              <w:rPr>
                <w:rFonts w:ascii="Calibri" w:cs="Calibri" w:eastAsia="Calibri" w:hAnsi="Calibri"/>
                <w:sz w:val="18"/>
                <w:szCs w:val="18"/>
              </w:rPr>
              <w:t xml:space="preserve">Commitado, ramo do Codex.</w:t>
            </w:r>
          </w:p>
        </w:tc>
      </w:tr>
      <w:tr>
        <w:trPr>
          <w:cantSplit/>
        </w:trPr>
        <w:tc>
          <w:tcPr>
            <w:tcW w:type="dxa" w:w="2400"/>
            <w:shd w:fill="F2F2F2" w:color="auto" w:val="clear"/>
            <w:tcMar>
              <w:top w:type="dxa" w:w="80"/>
              <w:left w:type="dxa" w:w="100"/>
              <w:bottom w:type="dxa" w:w="80"/>
              <w:right w:type="dxa" w:w="100"/>
            </w:tcMar>
          </w:tcPr>
          <w:p>
            <w:r>
              <w:rPr>
                <w:rFonts w:ascii="Calibri" w:cs="Calibri" w:eastAsia="Calibri" w:hAnsi="Calibri"/>
                <w:sz w:val="18"/>
                <w:szCs w:val="18"/>
              </w:rPr>
              <w:t xml:space="preserve">10_REVISAO_INDEPENDENTE_RODADA2_2026-09-15.md</w:t>
            </w:r>
          </w:p>
        </w:tc>
        <w:tc>
          <w:tcPr>
            <w:tcW w:type="dxa" w:w="4300"/>
            <w:shd w:fill="F2F2F2" w:color="auto" w:val="clear"/>
            <w:tcMar>
              <w:top w:type="dxa" w:w="80"/>
              <w:left w:type="dxa" w:w="100"/>
              <w:bottom w:type="dxa" w:w="80"/>
              <w:right w:type="dxa" w:w="100"/>
            </w:tcMar>
          </w:tcPr>
          <w:p>
            <w:r>
              <w:rPr>
                <w:rFonts w:ascii="Calibri" w:cs="Calibri" w:eastAsia="Calibri" w:hAnsi="Calibri"/>
                <w:sz w:val="18"/>
                <w:szCs w:val="18"/>
              </w:rPr>
              <w:t xml:space="preserve">Segunda rodada.</w:t>
            </w:r>
          </w:p>
        </w:tc>
        <w:tc>
          <w:tcPr>
            <w:tcW w:type="dxa" w:w="3000"/>
            <w:shd w:fill="F2F2F2" w:color="auto" w:val="clear"/>
            <w:tcMar>
              <w:top w:type="dxa" w:w="80"/>
              <w:left w:type="dxa" w:w="100"/>
              <w:bottom w:type="dxa" w:w="80"/>
              <w:right w:type="dxa" w:w="100"/>
            </w:tcMar>
          </w:tcPr>
          <w:p>
            <w:r>
              <w:rPr>
                <w:rFonts w:ascii="Calibri" w:cs="Calibri" w:eastAsia="Calibri" w:hAnsi="Calibri"/>
                <w:sz w:val="18"/>
                <w:szCs w:val="18"/>
              </w:rPr>
              <w:t xml:space="preserve">Commitado, ramo do Codex.</w:t>
            </w:r>
          </w:p>
        </w:tc>
      </w:tr>
      <w:tr>
        <w:trPr>
          <w:cantSplit/>
        </w:trPr>
        <w:tc>
          <w:tcPr>
            <w:tcW w:type="dxa" w:w="2400"/>
            <w:tcMar>
              <w:top w:type="dxa" w:w="80"/>
              <w:left w:type="dxa" w:w="100"/>
              <w:bottom w:type="dxa" w:w="80"/>
              <w:right w:type="dxa" w:w="100"/>
            </w:tcMar>
          </w:tcPr>
          <w:p>
            <w:r>
              <w:rPr>
                <w:rFonts w:ascii="Calibri" w:cs="Calibri" w:eastAsia="Calibri" w:hAnsi="Calibri"/>
                <w:sz w:val="18"/>
                <w:szCs w:val="18"/>
              </w:rPr>
              <w:t xml:space="preserve">12_ANCORAGEM_EXTERNA_F_ANCORA.md</w:t>
            </w:r>
          </w:p>
        </w:tc>
        <w:tc>
          <w:tcPr>
            <w:tcW w:type="dxa" w:w="4300"/>
            <w:tcMar>
              <w:top w:type="dxa" w:w="80"/>
              <w:left w:type="dxa" w:w="100"/>
              <w:bottom w:type="dxa" w:w="80"/>
              <w:right w:type="dxa" w:w="100"/>
            </w:tcMar>
          </w:tcPr>
          <w:p>
            <w:r>
              <w:rPr>
                <w:rFonts w:ascii="Calibri" w:cs="Calibri" w:eastAsia="Calibri" w:hAnsi="Calibri"/>
                <w:sz w:val="18"/>
                <w:szCs w:val="18"/>
              </w:rPr>
              <w:t xml:space="preserve">Ancoragem externa de F_ancora e do produto F × f; §9 com os quatro descasamentos de unidade e fronteira.</w:t>
            </w:r>
          </w:p>
        </w:tc>
        <w:tc>
          <w:tcPr>
            <w:tcW w:type="dxa" w:w="3000"/>
            <w:tcMar>
              <w:top w:type="dxa" w:w="80"/>
              <w:left w:type="dxa" w:w="100"/>
              <w:bottom w:type="dxa" w:w="80"/>
              <w:right w:type="dxa" w:w="100"/>
            </w:tcMar>
          </w:tcPr>
          <w:p>
            <w:pPr>
              <w:spacing w:after="40"/>
            </w:pPr>
            <w:r>
              <w:rPr>
                <w:rFonts w:ascii="Calibri" w:cs="Calibri" w:eastAsia="Calibri" w:hAnsi="Calibri"/>
                <w:b/>
                <w:bCs/>
                <w:color w:val="9C2B1B"/>
                <w:sz w:val="18"/>
                <w:szCs w:val="18"/>
              </w:rPr>
              <w:t xml:space="preserve">Só no Mac — fora do Git</w:t>
            </w:r>
          </w:p>
          <w:p>
            <w:pPr>
              <w:spacing w:after="40"/>
            </w:pPr>
            <w:r>
              <w:rPr>
                <w:rFonts w:ascii="Calibri" w:cs="Calibri" w:eastAsia="Calibri" w:hAnsi="Calibri"/>
                <w:i/>
                <w:iCs/>
                <w:sz w:val="20"/>
                <w:szCs w:val="20"/>
              </w:rPr>
              <w:t xml:space="preserve">Precisa ser commitado.</w:t>
            </w:r>
          </w:p>
        </w:tc>
      </w:tr>
      <w:tr>
        <w:trPr>
          <w:cantSplit/>
        </w:trPr>
        <w:tc>
          <w:tcPr>
            <w:tcW w:type="dxa" w:w="2400"/>
            <w:shd w:fill="F2F2F2" w:color="auto" w:val="clear"/>
            <w:tcMar>
              <w:top w:type="dxa" w:w="80"/>
              <w:left w:type="dxa" w:w="100"/>
              <w:bottom w:type="dxa" w:w="80"/>
              <w:right w:type="dxa" w:w="100"/>
            </w:tcMar>
          </w:tcPr>
          <w:p>
            <w:r>
              <w:rPr>
                <w:rFonts w:ascii="Calibri" w:cs="Calibri" w:eastAsia="Calibri" w:hAnsi="Calibri"/>
                <w:sz w:val="18"/>
                <w:szCs w:val="18"/>
              </w:rPr>
              <w:t xml:space="preserve">13_GRADIENTE_E_CONSTRUTO.md</w:t>
            </w:r>
          </w:p>
        </w:tc>
        <w:tc>
          <w:tcPr>
            <w:tcW w:type="dxa" w:w="4300"/>
            <w:shd w:fill="F2F2F2" w:color="auto" w:val="clear"/>
            <w:tcMar>
              <w:top w:type="dxa" w:w="80"/>
              <w:left w:type="dxa" w:w="100"/>
              <w:bottom w:type="dxa" w:w="80"/>
              <w:right w:type="dxa" w:w="100"/>
            </w:tcMar>
          </w:tcPr>
          <w:p>
            <w:r>
              <w:rPr>
                <w:rFonts w:ascii="Calibri" w:cs="Calibri" w:eastAsia="Calibri" w:hAnsi="Calibri"/>
                <w:sz w:val="18"/>
                <w:szCs w:val="18"/>
              </w:rPr>
              <w:t xml:space="preserve">Gradiente NASA e o construto por trás de Di.</w:t>
            </w:r>
          </w:p>
        </w:tc>
        <w:tc>
          <w:tcPr>
            <w:tcW w:type="dxa" w:w="3000"/>
            <w:shd w:fill="F2F2F2" w:color="auto" w:val="clear"/>
            <w:tcMar>
              <w:top w:type="dxa" w:w="80"/>
              <w:left w:type="dxa" w:w="100"/>
              <w:bottom w:type="dxa" w:w="80"/>
              <w:right w:type="dxa" w:w="100"/>
            </w:tcMar>
          </w:tcPr>
          <w:p>
            <w:pPr>
              <w:spacing w:after="40"/>
            </w:pPr>
            <w:r>
              <w:rPr>
                <w:rFonts w:ascii="Calibri" w:cs="Calibri" w:eastAsia="Calibri" w:hAnsi="Calibri"/>
                <w:b/>
                <w:bCs/>
                <w:color w:val="9C2B1B"/>
                <w:sz w:val="18"/>
                <w:szCs w:val="18"/>
              </w:rPr>
              <w:t xml:space="preserve">Só no Mac — fora do Git</w:t>
            </w:r>
          </w:p>
          <w:p>
            <w:pPr>
              <w:spacing w:after="40"/>
            </w:pPr>
            <w:r>
              <w:rPr>
                <w:rFonts w:ascii="Calibri" w:cs="Calibri" w:eastAsia="Calibri" w:hAnsi="Calibri"/>
                <w:i/>
                <w:iCs/>
                <w:sz w:val="20"/>
                <w:szCs w:val="20"/>
              </w:rPr>
              <w:t xml:space="preserve">Precisa ser commitado.</w:t>
            </w:r>
          </w:p>
        </w:tc>
      </w:tr>
      <w:tr>
        <w:trPr>
          <w:cantSplit/>
        </w:trPr>
        <w:tc>
          <w:tcPr>
            <w:tcW w:type="dxa" w:w="2400"/>
            <w:tcMar>
              <w:top w:type="dxa" w:w="80"/>
              <w:left w:type="dxa" w:w="100"/>
              <w:bottom w:type="dxa" w:w="80"/>
              <w:right w:type="dxa" w:w="100"/>
            </w:tcMar>
          </w:tcPr>
          <w:p>
            <w:r>
              <w:rPr>
                <w:rFonts w:ascii="Calibri" w:cs="Calibri" w:eastAsia="Calibri" w:hAnsi="Calibri"/>
                <w:sz w:val="18"/>
                <w:szCs w:val="18"/>
              </w:rPr>
              <w:t xml:space="preserve">14_PORTA1_NAO_E_SATISFICING.md</w:t>
            </w:r>
          </w:p>
        </w:tc>
        <w:tc>
          <w:tcPr>
            <w:tcW w:type="dxa" w:w="4300"/>
            <w:tcMar>
              <w:top w:type="dxa" w:w="80"/>
              <w:left w:type="dxa" w:w="100"/>
              <w:bottom w:type="dxa" w:w="80"/>
              <w:right w:type="dxa" w:w="100"/>
            </w:tcMar>
          </w:tcPr>
          <w:p>
            <w:r>
              <w:rPr>
                <w:rFonts w:ascii="Calibri" w:cs="Calibri" w:eastAsia="Calibri" w:hAnsi="Calibri"/>
                <w:sz w:val="18"/>
                <w:szCs w:val="18"/>
              </w:rPr>
              <w:t xml:space="preserve">Por que a Porta 1 não instancia o arquétipo (D-04).</w:t>
            </w:r>
          </w:p>
        </w:tc>
        <w:tc>
          <w:tcPr>
            <w:tcW w:type="dxa" w:w="3000"/>
            <w:tcMar>
              <w:top w:type="dxa" w:w="80"/>
              <w:left w:type="dxa" w:w="100"/>
              <w:bottom w:type="dxa" w:w="80"/>
              <w:right w:type="dxa" w:w="100"/>
            </w:tcMar>
          </w:tcPr>
          <w:p>
            <w:pPr>
              <w:spacing w:after="40"/>
            </w:pPr>
            <w:r>
              <w:rPr>
                <w:rFonts w:ascii="Calibri" w:cs="Calibri" w:eastAsia="Calibri" w:hAnsi="Calibri"/>
                <w:b/>
                <w:bCs/>
                <w:color w:val="8A6300"/>
                <w:sz w:val="18"/>
                <w:szCs w:val="18"/>
              </w:rPr>
              <w:t xml:space="preserve">Staged no Windows — falta commit+push</w:t>
            </w:r>
          </w:p>
        </w:tc>
      </w:tr>
      <w:tr>
        <w:trPr>
          <w:cantSplit/>
        </w:trPr>
        <w:tc>
          <w:tcPr>
            <w:tcW w:type="dxa" w:w="2400"/>
            <w:shd w:fill="F2F2F2" w:color="auto" w:val="clear"/>
            <w:tcMar>
              <w:top w:type="dxa" w:w="80"/>
              <w:left w:type="dxa" w:w="100"/>
              <w:bottom w:type="dxa" w:w="80"/>
              <w:right w:type="dxa" w:w="100"/>
            </w:tcMar>
          </w:tcPr>
          <w:p>
            <w:r>
              <w:rPr>
                <w:rFonts w:ascii="Calibri" w:cs="Calibri" w:eastAsia="Calibri" w:hAnsi="Calibri"/>
                <w:sz w:val="18"/>
                <w:szCs w:val="18"/>
              </w:rPr>
              <w:t xml:space="preserve">15_TESTE_LOCAL_PORTA1.md</w:t>
            </w:r>
          </w:p>
        </w:tc>
        <w:tc>
          <w:tcPr>
            <w:tcW w:type="dxa" w:w="4300"/>
            <w:shd w:fill="F2F2F2" w:color="auto" w:val="clear"/>
            <w:tcMar>
              <w:top w:type="dxa" w:w="80"/>
              <w:left w:type="dxa" w:w="100"/>
              <w:bottom w:type="dxa" w:w="80"/>
              <w:right w:type="dxa" w:w="100"/>
            </w:tcMar>
          </w:tcPr>
          <w:p>
            <w:r>
              <w:rPr>
                <w:rFonts w:ascii="Calibri" w:cs="Calibri" w:eastAsia="Calibri" w:hAnsi="Calibri"/>
                <w:sz w:val="18"/>
                <w:szCs w:val="18"/>
              </w:rPr>
              <w:t xml:space="preserve">Teste local de 256 execuções com controle positivo (D-04).</w:t>
            </w:r>
          </w:p>
        </w:tc>
        <w:tc>
          <w:tcPr>
            <w:tcW w:type="dxa" w:w="3000"/>
            <w:shd w:fill="F2F2F2" w:color="auto" w:val="clear"/>
            <w:tcMar>
              <w:top w:type="dxa" w:w="80"/>
              <w:left w:type="dxa" w:w="100"/>
              <w:bottom w:type="dxa" w:w="80"/>
              <w:right w:type="dxa" w:w="100"/>
            </w:tcMar>
          </w:tcPr>
          <w:p>
            <w:pPr>
              <w:spacing w:after="40"/>
            </w:pPr>
            <w:r>
              <w:rPr>
                <w:rFonts w:ascii="Calibri" w:cs="Calibri" w:eastAsia="Calibri" w:hAnsi="Calibri"/>
                <w:b/>
                <w:bCs/>
                <w:color w:val="8A6300"/>
                <w:sz w:val="18"/>
                <w:szCs w:val="18"/>
              </w:rPr>
              <w:t xml:space="preserve">Staged no Windows — falta commit+push</w:t>
            </w:r>
          </w:p>
        </w:tc>
      </w:tr>
      <w:tr>
        <w:trPr>
          <w:cantSplit/>
        </w:trPr>
        <w:tc>
          <w:tcPr>
            <w:tcW w:type="dxa" w:w="2400"/>
            <w:tcMar>
              <w:top w:type="dxa" w:w="80"/>
              <w:left w:type="dxa" w:w="100"/>
              <w:bottom w:type="dxa" w:w="80"/>
              <w:right w:type="dxa" w:w="100"/>
            </w:tcMar>
          </w:tcPr>
          <w:p>
            <w:r>
              <w:rPr>
                <w:rFonts w:ascii="Calibri" w:cs="Calibri" w:eastAsia="Calibri" w:hAnsi="Calibri"/>
                <w:sz w:val="18"/>
                <w:szCs w:val="18"/>
              </w:rPr>
              <w:t xml:space="preserve">16_AUDITORIA_MVP_efd81b7.md</w:t>
            </w:r>
          </w:p>
        </w:tc>
        <w:tc>
          <w:tcPr>
            <w:tcW w:type="dxa" w:w="4300"/>
            <w:tcMar>
              <w:top w:type="dxa" w:w="80"/>
              <w:left w:type="dxa" w:w="100"/>
              <w:bottom w:type="dxa" w:w="80"/>
              <w:right w:type="dxa" w:w="100"/>
            </w:tcMar>
          </w:tcPr>
          <w:p>
            <w:r>
              <w:rPr>
                <w:rFonts w:ascii="Calibri" w:cs="Calibri" w:eastAsia="Calibri" w:hAnsi="Calibri"/>
                <w:sz w:val="18"/>
                <w:szCs w:val="18"/>
              </w:rPr>
              <w:t xml:space="preserve">Auditoria do MVP (A-07, A-08, A-09).</w:t>
            </w:r>
          </w:p>
        </w:tc>
        <w:tc>
          <w:tcPr>
            <w:tcW w:type="dxa" w:w="3000"/>
            <w:tcMar>
              <w:top w:type="dxa" w:w="80"/>
              <w:left w:type="dxa" w:w="100"/>
              <w:bottom w:type="dxa" w:w="80"/>
              <w:right w:type="dxa" w:w="100"/>
            </w:tcMar>
          </w:tcPr>
          <w:p>
            <w:pPr>
              <w:spacing w:after="40"/>
            </w:pPr>
            <w:r>
              <w:rPr>
                <w:rFonts w:ascii="Calibri" w:cs="Calibri" w:eastAsia="Calibri" w:hAnsi="Calibri"/>
                <w:b/>
                <w:bCs/>
                <w:color w:val="8A6300"/>
                <w:sz w:val="18"/>
                <w:szCs w:val="18"/>
              </w:rPr>
              <w:t xml:space="preserve">Staged no Windows — falta commit+push</w:t>
            </w:r>
          </w:p>
        </w:tc>
      </w:tr>
      <w:tr>
        <w:trPr>
          <w:cantSplit/>
        </w:trPr>
        <w:tc>
          <w:tcPr>
            <w:tcW w:type="dxa" w:w="2400"/>
            <w:shd w:fill="F2F2F2" w:color="auto" w:val="clear"/>
            <w:tcMar>
              <w:top w:type="dxa" w:w="80"/>
              <w:left w:type="dxa" w:w="100"/>
              <w:bottom w:type="dxa" w:w="80"/>
              <w:right w:type="dxa" w:w="100"/>
            </w:tcMar>
          </w:tcPr>
          <w:p>
            <w:r>
              <w:rPr>
                <w:rFonts w:ascii="Calibri" w:cs="Calibri" w:eastAsia="Calibri" w:hAnsi="Calibri"/>
                <w:sz w:val="18"/>
                <w:szCs w:val="18"/>
              </w:rPr>
              <w:t xml:space="preserve">17_RHO_OMISSAO_DADOS_HUMANOS.md</w:t>
            </w:r>
          </w:p>
        </w:tc>
        <w:tc>
          <w:tcPr>
            <w:tcW w:type="dxa" w:w="4300"/>
            <w:shd w:fill="F2F2F2" w:color="auto" w:val="clear"/>
            <w:tcMar>
              <w:top w:type="dxa" w:w="80"/>
              <w:left w:type="dxa" w:w="100"/>
              <w:bottom w:type="dxa" w:w="80"/>
              <w:right w:type="dxa" w:w="100"/>
            </w:tcMar>
          </w:tcPr>
          <w:p>
            <w:r>
              <w:rPr>
                <w:rFonts w:ascii="Calibri" w:cs="Calibri" w:eastAsia="Calibri" w:hAnsi="Calibri"/>
                <w:sz w:val="18"/>
                <w:szCs w:val="18"/>
              </w:rPr>
              <w:t xml:space="preserve">Derivação de ρ_omissão a partir do depósito OSF (D-02).</w:t>
            </w:r>
          </w:p>
        </w:tc>
        <w:tc>
          <w:tcPr>
            <w:tcW w:type="dxa" w:w="3000"/>
            <w:shd w:fill="F2F2F2" w:color="auto" w:val="clear"/>
            <w:tcMar>
              <w:top w:type="dxa" w:w="80"/>
              <w:left w:type="dxa" w:w="100"/>
              <w:bottom w:type="dxa" w:w="80"/>
              <w:right w:type="dxa" w:w="100"/>
            </w:tcMar>
          </w:tcPr>
          <w:p>
            <w:pPr>
              <w:spacing w:after="40"/>
            </w:pPr>
            <w:r>
              <w:rPr>
                <w:rFonts w:ascii="Calibri" w:cs="Calibri" w:eastAsia="Calibri" w:hAnsi="Calibri"/>
                <w:b/>
                <w:bCs/>
                <w:color w:val="8A6300"/>
                <w:sz w:val="18"/>
                <w:szCs w:val="18"/>
              </w:rPr>
              <w:t xml:space="preserve">Staged no Windows — falta commit+push</w:t>
            </w:r>
          </w:p>
        </w:tc>
      </w:tr>
    </w:tbl>
    <w:p>
      <w:pPr>
        <w:pStyle w:val="Heading2"/>
        <w:spacing w:after="140" w:before="280"/>
      </w:pPr>
      <w:r>
        <w:rPr>
          <w:rFonts w:ascii="Calibri" w:cs="Calibri" w:eastAsia="Calibri" w:hAnsi="Calibri"/>
          <w:b/>
          <w:bCs/>
          <w:color w:val="5E1B39"/>
          <w:sz w:val="24"/>
          <w:szCs w:val="24"/>
        </w:rPr>
        <w:t xml:space="preserve">Comandos para destravar (rodar no terminal do Windows)</w:t>
      </w:r>
    </w:p>
    <w:p>
      <w:pPr>
        <w:spacing w:after="120" w:before="0"/>
      </w:pPr>
      <w:r>
        <w:rPr>
          <w:rFonts w:ascii="Calibri" w:cs="Calibri" w:eastAsia="Calibri" w:hAnsi="Calibri"/>
          <w:sz w:val="20"/>
          <w:szCs w:val="20"/>
        </w:rPr>
        <w:t xml:space="preserve">Os quatro arquivos já estão no índice do Git. Falta apenas confirmar e enviar — precisa ser do seu terminal, porque a identidade e as credenciais do GitHub estão lá, não no ambiente de onde eu opero.</w:t>
      </w:r>
    </w:p>
    <w:p>
      <w:pPr>
        <w:shd w:fill="F5F5F5" w:color="auto" w:val="clear"/>
        <w:spacing w:after="100" w:before="100"/>
      </w:pPr>
      <w:r>
        <w:rPr>
          <w:rFonts w:ascii="Consolas" w:cs="Consolas" w:eastAsia="Consolas" w:hAnsi="Consolas"/>
          <w:sz w:val="18"/>
          <w:szCs w:val="18"/>
        </w:rPr>
        <w:t xml:space="preserve">cd C:\Users\Isadora\Dev\TCC2</w:t>
      </w:r>
    </w:p>
    <w:p>
      <w:pPr>
        <w:shd w:fill="F5F5F5" w:color="auto" w:val="clear"/>
        <w:spacing w:after="100"/>
      </w:pPr>
      <w:r>
        <w:rPr>
          <w:rFonts w:ascii="Consolas" w:cs="Consolas" w:eastAsia="Consolas" w:hAnsi="Consolas"/>
          <w:sz w:val="18"/>
          <w:szCs w:val="18"/>
        </w:rPr>
        <w:t xml:space="preserve">git commit -m "Pareceres do revisor: Porta 1, teste local, auditoria do MVP e rho_omissao"</w:t>
      </w:r>
    </w:p>
    <w:p>
      <w:pPr>
        <w:shd w:fill="F5F5F5" w:color="auto" w:val="clear"/>
        <w:spacing w:after="160"/>
      </w:pPr>
      <w:r>
        <w:rPr>
          <w:rFonts w:ascii="Consolas" w:cs="Consolas" w:eastAsia="Consolas" w:hAnsi="Consolas"/>
          <w:sz w:val="18"/>
          <w:szCs w:val="18"/>
        </w:rPr>
        <w:t xml:space="preserve">git push origin revisao-auditoria</w:t>
      </w:r>
    </w:p>
    <w:p>
      <w:pPr>
        <w:spacing w:after="120" w:before="0"/>
      </w:pPr>
      <w:r>
        <w:rPr>
          <w:rFonts w:ascii="Calibri" w:cs="Calibri" w:eastAsia="Calibri" w:hAnsi="Calibri"/>
          <w:sz w:val="20"/>
          <w:szCs w:val="20"/>
        </w:rPr>
        <w:t xml:space="preserve">Existe uma pasta _to_delete na raiz do repositório com arquivos de trava (index.lock) que eu precisei remover de dentro de .git/. Pode apagar essa pasta à vontade — é lixo, não entra em nenhum commit.</w:t>
      </w:r>
    </w:p>
    <w:p>
      <w:r>
        <w:br w:type="page"/>
      </w:r>
    </w:p>
    <w:p>
      <w:pPr>
        <w:pStyle w:val="Heading1"/>
        <w:spacing w:after="200" w:before="360"/>
      </w:pPr>
      <w:r>
        <w:rPr>
          <w:rFonts w:ascii="Calibri" w:cs="Calibri" w:eastAsia="Calibri" w:hAnsi="Calibri"/>
          <w:b/>
          <w:bCs/>
          <w:color w:val="9B2C5E"/>
          <w:sz w:val="30"/>
          <w:szCs w:val="30"/>
        </w:rPr>
        <w:t xml:space="preserve">7. Como manter este documento</w:t>
      </w:r>
    </w:p>
    <w:p>
      <w:pPr>
        <w:spacing w:after="120" w:before="0"/>
      </w:pPr>
      <w:r>
        <w:rPr>
          <w:rFonts w:ascii="Calibri" w:cs="Calibri" w:eastAsia="Calibri" w:hAnsi="Calibri"/>
          <w:sz w:val="20"/>
          <w:szCs w:val="20"/>
        </w:rPr>
        <w:t xml:space="preserve">A manutenção é por acréscimo. Nada sai.</w:t>
      </w:r>
    </w:p>
    <w:p>
      <w:pPr>
        <w:pStyle w:val="ListParagraph"/>
        <w:numPr>
          <w:ilvl w:val="0"/>
          <w:numId w:val="2"/>
        </w:numPr>
        <w:spacing w:after="70"/>
      </w:pPr>
      <w:r>
        <w:rPr>
          <w:rFonts w:ascii="Calibri" w:cs="Calibri" w:eastAsia="Calibri" w:hAnsi="Calibri"/>
          <w:sz w:val="20"/>
          <w:szCs w:val="20"/>
        </w:rPr>
        <w:t xml:space="preserve">Decisão nova: abrir D-13, D-14 … na seção 1, sempre com os quatro campos — Decisão, Base, Estado, Ressalva. Se não há ressalva, escrever “nenhuma identificada”, em vez de omitir o campo.</w:t>
      </w:r>
    </w:p>
    <w:p>
      <w:pPr>
        <w:pStyle w:val="ListParagraph"/>
        <w:numPr>
          <w:ilvl w:val="0"/>
          <w:numId w:val="2"/>
        </w:numPr>
        <w:spacing w:after="70"/>
      </w:pPr>
      <w:r>
        <w:rPr>
          <w:rFonts w:ascii="Calibri" w:cs="Calibri" w:eastAsia="Calibri" w:hAnsi="Calibri"/>
          <w:sz w:val="20"/>
          <w:szCs w:val="20"/>
        </w:rPr>
        <w:t xml:space="preserve">Decisão revista: NÃO editar a entrada original. Acrescentar abaixo dela um parágrafo “Revisão em &lt;data&gt;:” dizendo o que mudou e por quê. O histórico é o valor do documento.</w:t>
      </w:r>
    </w:p>
    <w:p>
      <w:pPr>
        <w:pStyle w:val="ListParagraph"/>
        <w:numPr>
          <w:ilvl w:val="0"/>
          <w:numId w:val="2"/>
        </w:numPr>
        <w:spacing w:after="70"/>
      </w:pPr>
      <w:r>
        <w:rPr>
          <w:rFonts w:ascii="Calibri" w:cs="Calibri" w:eastAsia="Calibri" w:hAnsi="Calibri"/>
          <w:sz w:val="20"/>
          <w:szCs w:val="20"/>
        </w:rPr>
        <w:t xml:space="preserve">Fonte nova: entra na seção 2.2 por padrão. Só sobe para 2.1 depois que o texto integral for obtido E a afirmação específica for conferida contra o que está escrito nele.</w:t>
      </w:r>
    </w:p>
    <w:p>
      <w:pPr>
        <w:pStyle w:val="ListParagraph"/>
        <w:numPr>
          <w:ilvl w:val="0"/>
          <w:numId w:val="2"/>
        </w:numPr>
        <w:spacing w:after="70"/>
      </w:pPr>
      <w:r>
        <w:rPr>
          <w:rFonts w:ascii="Calibri" w:cs="Calibri" w:eastAsia="Calibri" w:hAnsi="Calibri"/>
          <w:sz w:val="20"/>
          <w:szCs w:val="20"/>
        </w:rPr>
        <w:t xml:space="preserve">Fonte descartada: fica registrada, com o motivo do descarte. Saber o que foi considerado e rejeitado é parte da defesa metodológica.</w:t>
      </w:r>
    </w:p>
    <w:p>
      <w:pPr>
        <w:pStyle w:val="ListParagraph"/>
        <w:numPr>
          <w:ilvl w:val="0"/>
          <w:numId w:val="2"/>
        </w:numPr>
        <w:spacing w:after="70"/>
      </w:pPr>
      <w:r>
        <w:rPr>
          <w:rFonts w:ascii="Calibri" w:cs="Calibri" w:eastAsia="Calibri" w:hAnsi="Calibri"/>
          <w:sz w:val="20"/>
          <w:szCs w:val="20"/>
        </w:rPr>
        <w:t xml:space="preserve">Achado novo do revisor: A-11, A-12 … na seção 3, sempre com a evidência recomputada, nunca com o relato de terceiro.</w:t>
      </w:r>
    </w:p>
    <w:p>
      <w:pPr>
        <w:pStyle w:val="ListParagraph"/>
        <w:numPr>
          <w:ilvl w:val="0"/>
          <w:numId w:val="2"/>
        </w:numPr>
        <w:spacing w:after="70"/>
      </w:pPr>
      <w:r>
        <w:rPr>
          <w:rFonts w:ascii="Calibri" w:cs="Calibri" w:eastAsia="Calibri" w:hAnsi="Calibri"/>
          <w:sz w:val="20"/>
          <w:szCs w:val="20"/>
        </w:rPr>
        <w:t xml:space="preserve">Retratação: sempre em R-xx na seção 4, com o que foi dito, por que está errado e qual é a posição corrigida.</w:t>
      </w:r>
    </w:p>
    <w:p>
      <w:pPr>
        <w:spacing w:after="120" w:before="160"/>
      </w:pPr>
      <w:r>
        <w:rPr>
          <w:rFonts w:ascii="Calibri" w:cs="Calibri" w:eastAsia="Calibri" w:hAnsi="Calibri"/>
          <w:b/>
          <w:bCs/>
          <w:sz w:val="20"/>
          <w:szCs w:val="20"/>
        </w:rPr>
        <w:t xml:space="preserve">Regra que não muda: nenhuma afirmação vai para a monografia apoiada em fonte marcada como NÃO VERIFICADA ou METADADOS CONFERIDOS. Ou o texto é obtido e lido, ou a afirmação sai.</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TCC2 — Histórico de decisões e fontes  ·  v3  ·  17/09/2026  ·  página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color w:val="1155CC"/>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s4ji-kdf3jlcus1khabwz" Type="http://schemas.openxmlformats.org/officeDocument/2006/relationships/hyperlink" Target="https://doi.org/10.1109/TSMCA.2012.2199304" TargetMode="External"/><Relationship Id="rIdbvzibh7qsb3nquri6w0fe" Type="http://schemas.openxmlformats.org/officeDocument/2006/relationships/hyperlink" Target="https://osf.io/q2dm6/" TargetMode="External"/><Relationship Id="rIdfnezqtliijkyuk9dnjrve" Type="http://schemas.openxmlformats.org/officeDocument/2006/relationships/hyperlink" Target="https://doi.org/10.1177/154193120805201944" TargetMode="External"/><Relationship Id="rIdx2vaf4amq3gliemvg7drp" Type="http://schemas.openxmlformats.org/officeDocument/2006/relationships/hyperlink" Target="https://doi.org/10.1016/0749-5978(86)90044-0" TargetMode="External"/><Relationship Id="rId85icvmszpaa9kfmgetv32" Type="http://schemas.openxmlformats.org/officeDocument/2006/relationships/hyperlink" Target="https://doi.org/10.1016/j.ergon.2012.09.001" TargetMode="External"/><Relationship Id="rIdmzf62zykmow-e86i28anc" Type="http://schemas.openxmlformats.org/officeDocument/2006/relationships/hyperlink" Target="https://doi.org/10.1093/bioinformatics/btp358" TargetMode="External"/><Relationship Id="rIdopah55bhasakpmvik8m_k" Type="http://schemas.openxmlformats.org/officeDocument/2006/relationships/hyperlink" Target="https://doi.org/10.1126/science.1116681" TargetMode="External"/><Relationship Id="rId_rxvwvoaiiioiq0fwlblm" Type="http://schemas.openxmlformats.org/officeDocument/2006/relationships/hyperlink" Target="https://arxiv.org/abs/1804.06788" TargetMode="External"/><Relationship Id="rId0cd3onuh7ydmgqsri5fyu" Type="http://schemas.openxmlformats.org/officeDocument/2006/relationships/hyperlink" Target="http://www.om-db.wi.tum.de/psplib/"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TCC2 — Histórico de decisões e fontes</dc:title>
  <dc:creator>Isadora M. Carvalho</dc:creator>
  <dc:description>Registro incremental de decisões e fontes do TCC2</dc:description>
  <cp:lastModifiedBy>Un-named</cp:lastModifiedBy>
  <cp:revision>1</cp:revision>
  <dcterms:created xsi:type="dcterms:W3CDTF">2026-09-17T10:24:20.210Z</dcterms:created>
  <dcterms:modified xsi:type="dcterms:W3CDTF">2026-09-17T10:24:20.218Z</dcterms:modified>
</cp:coreProperties>
</file>

<file path=docProps/custom.xml><?xml version="1.0" encoding="utf-8"?>
<Properties xmlns="http://schemas.openxmlformats.org/officeDocument/2006/custom-properties" xmlns:vt="http://schemas.openxmlformats.org/officeDocument/2006/docPropsVTypes"/>
</file>