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9B2C5E"/>
          <w:sz w:val="56"/>
          <w:szCs w:val="56"/>
        </w:rPr>
        <w:t xml:space="preserve">TCC2</w:t>
      </w:r>
    </w:p>
    <w:p>
      <w:pPr>
        <w:spacing w:after="400"/>
        <w:jc w:val="center"/>
      </w:pPr>
      <w:r>
        <w:rPr>
          <w:rFonts w:ascii="Calibri" w:cs="Calibri" w:eastAsia="Calibri" w:hAnsi="Calibri"/>
          <w:color w:val="5E1B39"/>
          <w:sz w:val="36"/>
          <w:szCs w:val="36"/>
        </w:rPr>
        <w:t xml:space="preserve">Histórico de decisões e fontes</w:t>
      </w:r>
    </w:p>
    <w:p>
      <w:pPr>
        <w:spacing w:after="120"/>
        <w:jc w:val="center"/>
      </w:pPr>
      <w:r>
        <w:rPr>
          <w:rFonts w:ascii="Calibri" w:cs="Calibri" w:eastAsia="Calibri" w:hAnsi="Calibri"/>
          <w:i/>
          <w:iCs/>
          <w:color w:val="666666"/>
          <w:sz w:val="22"/>
          <w:szCs w:val="22"/>
        </w:rPr>
        <w:t xml:space="preserve">Registro incremental, apenas acréscimo — nada é apagado</w:t>
      </w:r>
    </w:p>
    <w:p>
      <w:pPr>
        <w:spacing w:after="800"/>
        <w:jc w:val="center"/>
      </w:pPr>
      <w:r>
        <w:rPr>
          <w:rFonts w:ascii="Calibri" w:cs="Calibri" w:eastAsia="Calibri" w:hAnsi="Calibri"/>
          <w:color w:val="666666"/>
          <w:sz w:val="20"/>
          <w:szCs w:val="20"/>
        </w:rPr>
        <w:t xml:space="preserve">Simulador híbrido ABM + Dinâmica de Sistemas de equipes de engenharia</w:t>
      </w:r>
    </w:p>
    <w:p>
      <w:pPr>
        <w:spacing w:after="60"/>
        <w:jc w:val="center"/>
      </w:pPr>
      <w:r>
        <w:rPr>
          <w:rFonts w:ascii="Calibri" w:cs="Calibri" w:eastAsia="Calibri" w:hAnsi="Calibri"/>
          <w:sz w:val="22"/>
          <w:szCs w:val="22"/>
        </w:rPr>
        <w:t xml:space="preserve">Isadora M. Carvalho — Engenharia de Sistemas, UFMG</w:t>
      </w:r>
    </w:p>
    <w:p>
      <w:pPr>
        <w:spacing w:after="60"/>
        <w:jc w:val="center"/>
      </w:pPr>
      <w:r>
        <w:rPr>
          <w:rFonts w:ascii="Calibri" w:cs="Calibri" w:eastAsia="Calibri" w:hAnsi="Calibri"/>
          <w:color w:val="666666"/>
          <w:sz w:val="20"/>
          <w:szCs w:val="20"/>
        </w:rPr>
        <w:t xml:space="preserve">Autor / implementador: Codex   ·   Revisor independente: Claude</w:t>
      </w:r>
    </w:p>
    <w:p>
      <w:pPr>
        <w:spacing w:after="600"/>
        <w:jc w:val="center"/>
      </w:pPr>
      <w:r>
        <w:rPr>
          <w:rFonts w:ascii="Calibri" w:cs="Calibri" w:eastAsia="Calibri" w:hAnsi="Calibri"/>
          <w:color w:val="666666"/>
          <w:sz w:val="20"/>
          <w:szCs w:val="20"/>
        </w:rPr>
        <w:t xml:space="preserve">Versão 1 — 16 de setembro de 2026</w:t>
      </w:r>
    </w:p>
    <w:p>
      <w:r>
        <w:br w:type="page"/>
      </w:r>
    </w:p>
    <w:p>
      <w:pPr>
        <w:pStyle w:val="Heading1"/>
        <w:spacing w:after="200" w:before="360"/>
      </w:pPr>
      <w:r>
        <w:rPr>
          <w:rFonts w:ascii="Calibri" w:cs="Calibri" w:eastAsia="Calibri" w:hAnsi="Calibri"/>
          <w:b/>
          <w:bCs/>
          <w:color w:val="9B2C5E"/>
          <w:sz w:val="30"/>
          <w:szCs w:val="30"/>
        </w:rPr>
        <w:t xml:space="preserve">0. Como usar este documento</w:t>
      </w:r>
    </w:p>
    <w:p>
      <w:pPr>
        <w:spacing w:after="120" w:before="0"/>
      </w:pPr>
      <w:r>
        <w:rPr>
          <w:rFonts w:ascii="Calibri" w:cs="Calibri" w:eastAsia="Calibri" w:hAnsi="Calibri"/>
          <w:sz w:val="20"/>
          <w:szCs w:val="20"/>
        </w:rPr>
        <w:t xml:space="preserve">Este arquivo existe por um motivo prático: garantir que nada citado no TCC fique sem fonte rastreável, e que nenhuma decisão tomada ao longo do trabalho se perca porque ninguém lembrou de anotar.</w:t>
      </w:r>
    </w:p>
    <w:p>
      <w:pPr>
        <w:spacing w:after="120" w:before="0"/>
      </w:pPr>
      <w:r>
        <w:rPr>
          <w:rFonts w:ascii="Calibri" w:cs="Calibri" w:eastAsia="Calibri" w:hAnsi="Calibri"/>
          <w:sz w:val="20"/>
          <w:szCs w:val="20"/>
        </w:rPr>
        <w:t xml:space="preserve">A regra é simples — o documento só cresce. Decisões revistas não são apagadas: ganham uma linha de revisão. Fontes descartadas ficam registradas com o motivo do descarte, porque saber o que foi considerado e rejeitado é parte do trabalho.</w:t>
      </w:r>
    </w:p>
    <w:p>
      <w:pPr>
        <w:pStyle w:val="Heading3"/>
        <w:spacing w:after="100" w:before="220"/>
      </w:pPr>
      <w:r>
        <w:rPr>
          <w:rFonts w:ascii="Calibri" w:cs="Calibri" w:eastAsia="Calibri" w:hAnsi="Calibri"/>
          <w:b/>
          <w:bCs/>
          <w:color w:val="333333"/>
          <w:sz w:val="21"/>
          <w:szCs w:val="21"/>
        </w:rPr>
        <w:t xml:space="preserve">A coluna que mais importa: estado de verificação</w:t>
      </w:r>
    </w:p>
    <w:p>
      <w:pPr>
        <w:spacing w:after="120" w:before="0"/>
      </w:pPr>
      <w:r>
        <w:rPr>
          <w:rFonts w:ascii="Calibri" w:cs="Calibri" w:eastAsia="Calibri" w:hAnsi="Calibri"/>
          <w:sz w:val="20"/>
          <w:szCs w:val="20"/>
        </w:rPr>
        <w:t xml:space="preserve">Toda fonte deste documento carrega um dos quatro estados abaixo. Nenhuma fonte marcada com os dois últimos estados pode ir para a monografia sem antes ser obtida e lida.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shd w:fill="9B2C5E" w:color="auto" w:val="clear"/>
            <w:tcMar>
              <w:top w:type="dxa" w:w="80"/>
              <w:left w:type="dxa" w:w="100"/>
              <w:bottom w:type="dxa" w:w="80"/>
              <w:right w:type="dxa" w:w="100"/>
            </w:tcMar>
          </w:tcPr>
          <w:p>
            <w:r>
              <w:rPr>
                <w:rFonts w:ascii="Calibri" w:cs="Calibri" w:eastAsia="Calibri" w:hAnsi="Calibri"/>
                <w:b/>
                <w:bCs/>
                <w:color w:val="FFFFFF"/>
                <w:sz w:val="18"/>
                <w:szCs w:val="18"/>
              </w:rPr>
              <w:t xml:space="preserve">Estado</w:t>
            </w:r>
          </w:p>
        </w:tc>
        <w:tc>
          <w:tcPr>
            <w:tcW w:type="dxa" w:w="7100"/>
            <w:shd w:fill="9B2C5E" w:color="auto" w:val="clear"/>
            <w:tcMar>
              <w:top w:type="dxa" w:w="80"/>
              <w:left w:type="dxa" w:w="100"/>
              <w:bottom w:type="dxa" w:w="80"/>
              <w:right w:type="dxa" w:w="100"/>
            </w:tcMar>
          </w:tcPr>
          <w:p>
            <w:r>
              <w:rPr>
                <w:rFonts w:ascii="Calibri" w:cs="Calibri" w:eastAsia="Calibri" w:hAnsi="Calibri"/>
                <w:b/>
                <w:bCs/>
                <w:color w:val="FFFFFF"/>
                <w:sz w:val="18"/>
                <w:szCs w:val="18"/>
              </w:rPr>
              <w:t xml:space="preserve">Significado</w:t>
            </w:r>
          </w:p>
        </w:tc>
      </w:tr>
      <w:tr>
        <w:trPr>
          <w:cantSplit/>
        </w:trPr>
        <w:tc>
          <w:tcPr>
            <w:tcW w:type="dxa" w:w="2600"/>
            <w:tcMar>
              <w:top w:type="dxa" w:w="80"/>
              <w:left w:type="dxa" w:w="100"/>
              <w:bottom w:type="dxa" w:w="80"/>
              <w:right w:type="dxa" w:w="100"/>
            </w:tcMar>
          </w:tcPr>
          <w:p>
            <w:pPr>
              <w:spacing w:after="40"/>
            </w:pPr>
            <w:r>
              <w:rPr>
                <w:rFonts w:ascii="Calibri" w:cs="Calibri" w:eastAsia="Calibri" w:hAnsi="Calibri"/>
                <w:b/>
                <w:bCs/>
                <w:color w:val="1E6B3A"/>
                <w:sz w:val="18"/>
                <w:szCs w:val="18"/>
              </w:rPr>
              <w:t xml:space="preserve">TEXTO LIDO</w:t>
            </w:r>
          </w:p>
        </w:tc>
        <w:tc>
          <w:tcPr>
            <w:tcW w:type="dxa" w:w="7100"/>
            <w:tcMar>
              <w:top w:type="dxa" w:w="80"/>
              <w:left w:type="dxa" w:w="100"/>
              <w:bottom w:type="dxa" w:w="80"/>
              <w:right w:type="dxa" w:w="100"/>
            </w:tcMar>
          </w:tcPr>
          <w:p>
            <w:pPr>
              <w:spacing w:after="40"/>
            </w:pPr>
            <w:r>
              <w:rPr>
                <w:rFonts w:ascii="Calibri" w:cs="Calibri" w:eastAsia="Calibri" w:hAnsi="Calibri"/>
                <w:sz w:val="18"/>
                <w:szCs w:val="18"/>
              </w:rPr>
              <w:t xml:space="preserve">O texto integral foi obtido e a afirmação que a fonte sustenta foi conferida contra o que está escrito nele. Pode ser citada.</w:t>
            </w:r>
          </w:p>
        </w:tc>
      </w:tr>
      <w:tr>
        <w:trPr>
          <w:cantSplit/>
        </w:trPr>
        <w:tc>
          <w:tcPr>
            <w:tcW w:type="dxa" w:w="2600"/>
            <w:shd w:fill="F2F2F2" w:color="auto" w:val="clear"/>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DADO RECALCULADO</w:t>
            </w:r>
          </w:p>
        </w:tc>
        <w:tc>
          <w:tcPr>
            <w:tcW w:type="dxa" w:w="71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Além do texto, os dados depositados foram baixados e reanalisados de forma independente, reproduzindo os números publicados. É o estado mais forte.</w:t>
            </w:r>
          </w:p>
        </w:tc>
      </w:tr>
      <w:tr>
        <w:trPr>
          <w:cantSplit/>
        </w:trPr>
        <w:tc>
          <w:tcPr>
            <w:tcW w:type="dxa" w:w="2600"/>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METADADOS CONFERIDOS</w:t>
            </w:r>
          </w:p>
        </w:tc>
        <w:tc>
          <w:tcPr>
            <w:tcW w:type="dxa" w:w="7100"/>
            <w:tcMar>
              <w:top w:type="dxa" w:w="80"/>
              <w:left w:type="dxa" w:w="100"/>
              <w:bottom w:type="dxa" w:w="80"/>
              <w:right w:type="dxa" w:w="100"/>
            </w:tcMar>
          </w:tcPr>
          <w:p>
            <w:pPr>
              <w:spacing w:after="40"/>
            </w:pPr>
            <w:r>
              <w:rPr>
                <w:rFonts w:ascii="Calibri" w:cs="Calibri" w:eastAsia="Calibri" w:hAnsi="Calibri"/>
                <w:sz w:val="18"/>
                <w:szCs w:val="18"/>
              </w:rPr>
              <w:t xml:space="preserve">Autoria, ano, veículo e identificador foram conferidos, mas o conteúdo não foi lido por inteiro. Serve para localizar e baixar; NÃO serve para citar uma afirmação específica.</w:t>
            </w:r>
          </w:p>
        </w:tc>
      </w:tr>
      <w:tr>
        <w:trPr>
          <w:cantSplit/>
        </w:trPr>
        <w:tc>
          <w:tcPr>
            <w:tcW w:type="dxa" w:w="2600"/>
            <w:shd w:fill="F2F2F2" w:color="auto" w:val="clear"/>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NÃO VERIFICADA</w:t>
            </w:r>
          </w:p>
        </w:tc>
        <w:tc>
          <w:tcPr>
            <w:tcW w:type="dxa" w:w="71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A referência chegou por terceiros (indicação, resumo de outra ferramenta, compilação secundária) e não foi conferida na origem. Não citar.</w:t>
            </w:r>
          </w:p>
        </w:tc>
      </w:tr>
    </w:tbl>
    <w:p>
      <w:pPr>
        <w:spacing w:after="120" w:before="0"/>
      </w:pPr>
      <w:r>
        <w:rPr>
          <w:rFonts w:ascii="Calibri" w:cs="Calibri" w:eastAsia="Calibri" w:hAnsi="Calibri"/>
          <w:i/>
          <w:iCs/>
          <w:color w:val="666666"/>
          <w:sz w:val="20"/>
          <w:szCs w:val="20"/>
        </w:rPr>
        <w:t xml:space="preserve">Observação de honestidade metodológica: eu marquei como NÃO VERIFICADA toda referência cujo identificador eu não consegui conferir na origem, mesmo quando a referência é conhecida e provavelmente correta. Preferi um documento com mais alertas do que um documento que induz você a citar algo que não foi checado.</w:t>
      </w:r>
    </w:p>
    <w:p>
      <w:r>
        <w:br w:type="page"/>
      </w:r>
    </w:p>
    <w:p>
      <w:pPr>
        <w:pStyle w:val="Heading1"/>
        <w:spacing w:after="200" w:before="360"/>
      </w:pPr>
      <w:r>
        <w:rPr>
          <w:rFonts w:ascii="Calibri" w:cs="Calibri" w:eastAsia="Calibri" w:hAnsi="Calibri"/>
          <w:b/>
          <w:bCs/>
          <w:color w:val="9B2C5E"/>
          <w:sz w:val="30"/>
          <w:szCs w:val="30"/>
        </w:rPr>
        <w:t xml:space="preserve">1. Registro de decisões</w:t>
      </w:r>
    </w:p>
    <w:p>
      <w:pPr>
        <w:spacing w:after="120" w:before="0"/>
      </w:pPr>
      <w:r>
        <w:rPr>
          <w:rFonts w:ascii="Calibri" w:cs="Calibri" w:eastAsia="Calibri" w:hAnsi="Calibri"/>
          <w:sz w:val="20"/>
          <w:szCs w:val="20"/>
        </w:rPr>
        <w:t xml:space="preserve">Ordem aproximada de quando cada ponto foi fechado. Cada decisão traz a base que a sustenta e, quando existe, a ressalva que limita o quanto ela pode ser afirmada.</w:t>
      </w:r>
    </w:p>
    <w:p>
      <w:pPr>
        <w:pStyle w:val="Heading2"/>
        <w:spacing w:after="140" w:before="280"/>
      </w:pPr>
      <w:r>
        <w:rPr>
          <w:rFonts w:ascii="Calibri" w:cs="Calibri" w:eastAsia="Calibri" w:hAnsi="Calibri"/>
          <w:b/>
          <w:bCs/>
          <w:color w:val="5E1B39"/>
          <w:sz w:val="24"/>
          <w:szCs w:val="24"/>
        </w:rPr>
        <w:t xml:space="preserve">D-01 — A lei de confiança τ(t) passa a ser a Eq. (4) de Crowder et al. (2012)</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Adotar a equação (4) de Crowder et al. (2012) como lei de atualização da confiança entre agentes, na forma normalizada, com quatro condições de contorno: ΔC limitado a no máximo 0,30 por evento; reset da confiança por subtarefa; três contadores separados de evento (sucesso, recusa, bloqueio); e a MESMA lei aplicada nos dois braços de governança, para que a diferença entre arranjos venha do arranjo e não da lei.</w:t>
      </w:r>
    </w:p>
    <w:p>
      <w:pPr>
        <w:spacing w:after="90"/>
        <w:ind w:left="200"/>
      </w:pPr>
      <w:r>
        <w:rPr>
          <w:rFonts w:ascii="Calibri" w:cs="Calibri" w:eastAsia="Calibri" w:hAnsi="Calibri"/>
          <w:b/>
          <w:bCs/>
          <w:color w:val="9B2C5E"/>
          <w:sz w:val="20"/>
          <w:szCs w:val="20"/>
        </w:rPr>
        <w:t xml:space="preserve">Base:  </w:t>
      </w:r>
      <w:r>
        <w:rPr>
          <w:rFonts w:ascii="Calibri" w:cs="Calibri" w:eastAsia="Calibri" w:hAnsi="Calibri"/>
          <w:sz w:val="20"/>
          <w:szCs w:val="20"/>
        </w:rPr>
        <w:t xml:space="preserve">Crowder, Robinson, Hughes &amp; Sim (2012), equação (4). O PDF está nos arquivos do projeto e a equação foi lida literalmente — não parafraseada de resumo.</w:t>
      </w:r>
    </w:p>
    <w:p>
      <w:pPr>
        <w:spacing w:after="120" w:before="0"/>
      </w:pPr>
      <w:r>
        <w:rPr>
          <w:rFonts w:ascii="Calibri" w:cs="Calibri" w:eastAsia="Calibri" w:hAnsi="Calibri"/>
          <w:b/>
          <w:bCs/>
          <w:color w:val="9B2C5E"/>
          <w:sz w:val="20"/>
          <w:szCs w:val="20"/>
        </w:rPr>
        <w:t xml:space="preserve">Estado:  </w:t>
      </w:r>
      <w:r>
        <w:rPr>
          <w:rFonts w:ascii="Calibri" w:cs="Calibri" w:eastAsia="Calibri" w:hAnsi="Calibri"/>
          <w:sz w:val="20"/>
          <w:szCs w:val="20"/>
        </w:rPr>
        <w:t xml:space="preserve">decidida. Implementação encaminhada ao Codex; ainda não conferida no código.</w:t>
      </w:r>
    </w:p>
    <w:p>
      <w:pPr>
        <w:spacing w:after="90"/>
        <w:ind w:left="200"/>
      </w:pPr>
      <w:r>
        <w:rPr>
          <w:rFonts w:ascii="Calibri" w:cs="Calibri" w:eastAsia="Calibri" w:hAnsi="Calibri"/>
          <w:b/>
          <w:bCs/>
          <w:color w:val="9B2C5E"/>
          <w:sz w:val="20"/>
          <w:szCs w:val="20"/>
        </w:rPr>
        <w:t xml:space="preserve">Ressalva (importante):  </w:t>
      </w:r>
      <w:r>
        <w:rPr>
          <w:rFonts w:ascii="Calibri" w:cs="Calibri" w:eastAsia="Calibri" w:hAnsi="Calibri"/>
          <w:sz w:val="20"/>
          <w:szCs w:val="20"/>
        </w:rPr>
        <w:t xml:space="preserve">as duas “leis de confiança” presentes no MVP </w:t>
      </w:r>
      <w:r>
        <w:rPr>
          <w:rFonts w:ascii="Calibri" w:cs="Calibri" w:eastAsia="Calibri" w:hAnsi="Calibri"/>
          <w:i/>
          <w:iCs/>
          <w:sz w:val="20"/>
          <w:szCs w:val="20"/>
        </w:rPr>
        <w:t xml:space="preserve">efd81b7</w:t>
      </w:r>
      <w:r>
        <w:rPr>
          <w:rFonts w:ascii="Calibri" w:cs="Calibri" w:eastAsia="Calibri" w:hAnsi="Calibri"/>
          <w:sz w:val="20"/>
          <w:szCs w:val="20"/>
        </w:rPr>
        <w:t xml:space="preserve"> — parametrizadas por taxa_aprendizado = 0,05, incremento_sucesso = 0,02 e decremento_recusa = 0,01 — </w:t>
      </w:r>
      <w:r>
        <w:rPr>
          <w:rFonts w:ascii="Calibri" w:cs="Calibri" w:eastAsia="Calibri" w:hAnsi="Calibri"/>
          <w:b/>
          <w:bCs/>
          <w:sz w:val="20"/>
          <w:szCs w:val="20"/>
        </w:rPr>
        <w:t xml:space="preserve">não vêm de Crowder</w:t>
      </w:r>
      <w:r>
        <w:rPr>
          <w:rFonts w:ascii="Calibri" w:cs="Calibri" w:eastAsia="Calibri" w:hAnsi="Calibri"/>
          <w:sz w:val="20"/>
          <w:szCs w:val="20"/>
        </w:rPr>
        <w:t xml:space="preserve">. São invenção do simulador. Não podem ser citadas como derivadas desse artigo nem de qualquer outro. Ou são substituídas pela Eq. (4), ou são declaradas como escolha arbitrária do modelo.</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D-02 — ρ_omissão fixado em 0,35, com faixa de sensibilidade [0,20 ; 0,50]</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O acréscimo de risco de erro atribuído à Porta 1 (omissão/heurística) entra como ρ_omissão = 0,35, varrido entre 0,20 e 0,50 na análise de sensibilidade. A formulação é q = max(0, 2·p_heu − 1); p_falha,P1 = 1 − (1 − p₀)(1 − ρ_omissão·q); p_falha,P3 = p₀ — o que dá, algebraicamente, (p_falha − p₀)/(1 − p₀) = ρ·q.</w:t>
      </w:r>
    </w:p>
    <w:p>
      <w:pPr>
        <w:spacing w:after="90"/>
        <w:ind w:left="200"/>
      </w:pPr>
      <w:r>
        <w:rPr>
          <w:rFonts w:ascii="Calibri" w:cs="Calibri" w:eastAsia="Calibri" w:hAnsi="Calibri"/>
          <w:b/>
          <w:bCs/>
          <w:color w:val="9B2C5E"/>
          <w:sz w:val="20"/>
          <w:szCs w:val="20"/>
        </w:rPr>
        <w:t xml:space="preserve">Base:  </w:t>
      </w:r>
      <w:r>
        <w:rPr>
          <w:rFonts w:ascii="Calibri" w:cs="Calibri" w:eastAsia="Calibri" w:hAnsi="Calibri"/>
          <w:sz w:val="20"/>
          <w:szCs w:val="20"/>
        </w:rPr>
        <w:t xml:space="preserve">Dados humanos depositados no OSF q2dm6, acompanhando o estudo de leitura sob restrição de tempo. Recalculei o efeito a partir do CSV bruto: a queda de compreensão sob o prazo mais apertado é ε(30 s) = 0,2680, IC95% pareado [0,1973 ; 0,3387], n = 32; sob prazo intermediário, ε(60 s) = 0,1014 [0,0357 ; 0,1671]. Em 29 dos 32 participantes o efeito é positivo. A razão de forma ε(30)/ε(60) = 2,489.</w:t>
      </w:r>
    </w:p>
    <w:p>
      <w:pPr>
        <w:spacing w:after="90"/>
        <w:ind w:left="200"/>
      </w:pPr>
      <w:r>
        <w:rPr>
          <w:rFonts w:ascii="Calibri" w:cs="Calibri" w:eastAsia="Calibri" w:hAnsi="Calibri"/>
          <w:b/>
          <w:bCs/>
          <w:color w:val="9B2C5E"/>
          <w:sz w:val="20"/>
          <w:szCs w:val="20"/>
        </w:rPr>
        <w:t xml:space="preserve">Reprodução independente:  </w:t>
      </w:r>
      <w:r>
        <w:rPr>
          <w:rFonts w:ascii="Calibri" w:cs="Calibri" w:eastAsia="Calibri" w:hAnsi="Calibri"/>
          <w:sz w:val="20"/>
          <w:szCs w:val="20"/>
        </w:rPr>
        <w:t xml:space="preserve">o arquivo depositado tem 32 participantes × 9 estímulos = 288 ensaios, com 96/96/96 por condição e exatamente 3 ensaios por célula. As médias que eu calculei reproduzem as publicadas (0,5917 contra 0,59; 0,8250 contra 0,83). Ou seja: o depósito reproduz o artigo. Esse é o teste de confiabilidade que importa.</w:t>
      </w:r>
    </w:p>
    <w:p>
      <w:pPr>
        <w:spacing w:after="90"/>
        <w:ind w:left="200"/>
      </w:pPr>
      <w:r>
        <w:rPr>
          <w:rFonts w:ascii="Calibri" w:cs="Calibri" w:eastAsia="Calibri" w:hAnsi="Calibri"/>
          <w:b/>
          <w:bCs/>
          <w:color w:val="9B2C5E"/>
          <w:sz w:val="20"/>
          <w:szCs w:val="20"/>
        </w:rPr>
        <w:t xml:space="preserve">Suporte de construto (não de valor):  </w:t>
      </w:r>
      <w:r>
        <w:rPr>
          <w:rFonts w:ascii="Calibri" w:cs="Calibri" w:eastAsia="Calibri" w:hAnsi="Calibri"/>
          <w:sz w:val="20"/>
          <w:szCs w:val="20"/>
        </w:rPr>
        <w:t xml:space="preserve">Szalma, Hancock &amp; Quinn (2008) — meta-análise de 125 estudos e 827 tamanhos de efeito — registra que a pressão de tempo facilita velocidade e prejudica acurácia em tarefas perceptuais e cognitivas, com variabilidade substancial entre estudos. Essa variabilidade é, por si só, o argumento para tratar ρ como faixa e não como ponto.</w:t>
      </w:r>
    </w:p>
    <w:p>
      <w:pPr>
        <w:spacing w:after="90"/>
        <w:ind w:left="200"/>
      </w:pPr>
      <w:r>
        <w:rPr>
          <w:rFonts w:ascii="Calibri" w:cs="Calibri" w:eastAsia="Calibri" w:hAnsi="Calibri"/>
          <w:b/>
          <w:bCs/>
          <w:color w:val="9B2C5E"/>
          <w:sz w:val="20"/>
          <w:szCs w:val="20"/>
        </w:rPr>
        <w:t xml:space="preserve">Ressalva:  </w:t>
      </w:r>
      <w:r>
        <w:rPr>
          <w:rFonts w:ascii="Calibri" w:cs="Calibri" w:eastAsia="Calibri" w:hAnsi="Calibri"/>
          <w:sz w:val="20"/>
          <w:szCs w:val="20"/>
        </w:rPr>
        <w:t xml:space="preserve">o dado mede compreensão de leitura sob prazo imposto por experimentador, não execução de tarefa de engenharia por equipe. A transferência de domínio é real e </w:t>
      </w:r>
      <w:r>
        <w:rPr>
          <w:rFonts w:ascii="Calibri" w:cs="Calibri" w:eastAsia="Calibri" w:hAnsi="Calibri"/>
          <w:b/>
          <w:bCs/>
          <w:sz w:val="20"/>
          <w:szCs w:val="20"/>
        </w:rPr>
        <w:t xml:space="preserve">deve aparecer como limitação declarada</w:t>
      </w:r>
      <w:r>
        <w:rPr>
          <w:rFonts w:ascii="Calibri" w:cs="Calibri" w:eastAsia="Calibri" w:hAnsi="Calibri"/>
          <w:sz w:val="20"/>
          <w:szCs w:val="20"/>
        </w:rPr>
        <w:t xml:space="preserve"> na monografia, não ser escondida atrás do número.</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D-03 — f_atalho permanece EM ABERTO (sem fonte)</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nenhum valor externo sustenta hoje o fator de encurtamento de duração da Porta 1. O default </w:t>
      </w:r>
      <w:r>
        <w:rPr>
          <w:rFonts w:ascii="Calibri" w:cs="Calibri" w:eastAsia="Calibri" w:hAnsi="Calibri"/>
          <w:i/>
          <w:iCs/>
          <w:sz w:val="20"/>
          <w:szCs w:val="20"/>
        </w:rPr>
        <w:t xml:space="preserve">fator_omissao = 0,75</w:t>
      </w:r>
      <w:r>
        <w:rPr>
          <w:rFonts w:ascii="Calibri" w:cs="Calibri" w:eastAsia="Calibri" w:hAnsi="Calibri"/>
          <w:sz w:val="20"/>
          <w:szCs w:val="20"/>
        </w:rPr>
        <w:t xml:space="preserve"> do MVP é escolha do implementador, sem base empírica. Entra como parâmetro de sensibilidade explicitamente declarado, </w:t>
      </w:r>
      <w:r>
        <w:rPr>
          <w:rFonts w:ascii="Calibri" w:cs="Calibri" w:eastAsia="Calibri" w:hAnsi="Calibri"/>
          <w:b/>
          <w:bCs/>
          <w:sz w:val="20"/>
          <w:szCs w:val="20"/>
        </w:rPr>
        <w:t xml:space="preserve">nunca</w:t>
      </w:r>
      <w:r>
        <w:rPr>
          <w:rFonts w:ascii="Calibri" w:cs="Calibri" w:eastAsia="Calibri" w:hAnsi="Calibri"/>
          <w:sz w:val="20"/>
          <w:szCs w:val="20"/>
        </w:rPr>
        <w:t xml:space="preserve"> como valor calibrado ou ancorado.</w:t>
      </w:r>
    </w:p>
    <w:p>
      <w:pPr>
        <w:spacing w:after="90"/>
        <w:ind w:left="200"/>
      </w:pPr>
      <w:r>
        <w:rPr>
          <w:rFonts w:ascii="Calibri" w:cs="Calibri" w:eastAsia="Calibri" w:hAnsi="Calibri"/>
          <w:b/>
          <w:bCs/>
          <w:color w:val="9B2C5E"/>
          <w:sz w:val="20"/>
          <w:szCs w:val="20"/>
        </w:rPr>
        <w:t xml:space="preserve">Retratação associada:  </w:t>
      </w:r>
      <w:r>
        <w:rPr>
          <w:rFonts w:ascii="Calibri" w:cs="Calibri" w:eastAsia="Calibri" w:hAnsi="Calibri"/>
          <w:sz w:val="20"/>
          <w:szCs w:val="20"/>
        </w:rPr>
        <w:t xml:space="preserve">eu havia derivado f_atalho ≈ 0,87 do mesmo estudo de leitura. </w:t>
      </w:r>
      <w:r>
        <w:rPr>
          <w:rFonts w:ascii="Calibri" w:cs="Calibri" w:eastAsia="Calibri" w:hAnsi="Calibri"/>
          <w:b/>
          <w:bCs/>
          <w:color w:val="9C2B1B"/>
          <w:sz w:val="20"/>
          <w:szCs w:val="20"/>
        </w:rPr>
        <w:t xml:space="preserve">Esse valor está retirado.</w:t>
      </w:r>
      <w:r>
        <w:rPr>
          <w:rFonts w:ascii="Calibri" w:cs="Calibri" w:eastAsia="Calibri" w:hAnsi="Calibri"/>
          <w:sz w:val="20"/>
          <w:szCs w:val="20"/>
        </w:rPr>
        <w:t xml:space="preserve"> Ao obter o texto integral, confirmei que o orçamento de tempo era fixado pelo experimentador (30 / 60 / 90 s). A velocidade, ali, é resposta a um prazo imposto — não é o ganho intrínseco de adotar uma estratégia heurística. A direção causal é inversa à do modelo, onde o agente escolhe o atalho e o prazo é consequência. Ver R-01.</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D-04 — A Porta 1 não é “Soluções Sintomáticas” no sentido do arquétipo</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O texto deixa de apresentar a Porta 1 como instância do arquétipo de Soluções Sintomáticas. O arquétipo exige alívio imediato acompanhado de custo diferido; o que o modelo produz hoje não satisfaz essa estrutura.</w:t>
      </w:r>
    </w:p>
    <w:p>
      <w:pPr>
        <w:spacing w:after="90"/>
        <w:ind w:left="200"/>
      </w:pPr>
      <w:r>
        <w:rPr>
          <w:rFonts w:ascii="Calibri" w:cs="Calibri" w:eastAsia="Calibri" w:hAnsi="Calibri"/>
          <w:b/>
          <w:bCs/>
          <w:color w:val="9B2C5E"/>
          <w:sz w:val="20"/>
          <w:szCs w:val="20"/>
        </w:rPr>
        <w:t xml:space="preserve">Base conceitual:  </w:t>
      </w:r>
      <w:r>
        <w:rPr>
          <w:rFonts w:ascii="Calibri" w:cs="Calibri" w:eastAsia="Calibri" w:hAnsi="Calibri"/>
          <w:sz w:val="20"/>
          <w:szCs w:val="20"/>
        </w:rPr>
        <w:t xml:space="preserve">Kim, Systems Thinking Tools (o PDF está nos arquivos do projeto) — definição do arquétipo.</w:t>
      </w:r>
    </w:p>
    <w:p>
      <w:pPr>
        <w:spacing w:after="90"/>
        <w:ind w:left="200"/>
      </w:pPr>
      <w:r>
        <w:rPr>
          <w:rFonts w:ascii="Calibri" w:cs="Calibri" w:eastAsia="Calibri" w:hAnsi="Calibri"/>
          <w:b/>
          <w:bCs/>
          <w:color w:val="9B2C5E"/>
          <w:sz w:val="20"/>
          <w:szCs w:val="20"/>
        </w:rPr>
        <w:t xml:space="preserve">Base empírica própria:  </w:t>
      </w:r>
      <w:r>
        <w:rPr>
          <w:rFonts w:ascii="Calibri" w:cs="Calibri" w:eastAsia="Calibri" w:hAnsi="Calibri"/>
          <w:sz w:val="20"/>
          <w:szCs w:val="20"/>
        </w:rPr>
        <w:t xml:space="preserve">teste local com 256 execuções, com controle positivo aprovado (a versão V0 reproduziu o cenário nominal exatamente: makespan 214, TW 663,0, TU 118,0, TR 55,2, taxa_omissao 0,15). A variante com apenas o atalho de tempo melhora todos os indicadores — sem custo diferido algum. A variante com atalho + erro garantido leva taxa_omissao a 0,51 e retrabalho a 46%. A direção do contraste nunca inverte; os contrastes de omissão e retrabalho crescem cerca de 3× e 4,5×. Trocar f_atalho de 0,87 para 0,70 muda os níveis, não o contraste.</w:t>
      </w:r>
    </w:p>
    <w:p>
      <w:pPr>
        <w:spacing w:after="90"/>
        <w:ind w:left="200"/>
      </w:pPr>
      <w:r>
        <w:rPr>
          <w:rFonts w:ascii="Calibri" w:cs="Calibri" w:eastAsia="Calibri" w:hAnsi="Calibri"/>
          <w:b/>
          <w:bCs/>
          <w:color w:val="9B2C5E"/>
          <w:sz w:val="20"/>
          <w:szCs w:val="20"/>
        </w:rPr>
        <w:t xml:space="preserve">Registrado em:  </w:t>
      </w:r>
      <w:r>
        <w:rPr>
          <w:rFonts w:ascii="Calibri" w:cs="Calibri" w:eastAsia="Calibri" w:hAnsi="Calibri"/>
          <w:sz w:val="20"/>
          <w:szCs w:val="20"/>
        </w:rPr>
        <w:t xml:space="preserve">pareceres 14 (Porta 1 não é satisficing) e 15 (teste local da Porta 1).</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D-05 — Di deixa de ser chamado de “dificuldade” e passa a índice de demanda operacional</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A variável Di = (1/3)·duracao_norm + (1/3)·intensidade_norm + (1/3)·criticidade_folga é renomeada e redescrita como índice de demanda operacional da tarefa. Não é complexidade cognitiva e não deve ser apresentada como tal.</w:t>
      </w:r>
    </w:p>
    <w:p>
      <w:pPr>
        <w:spacing w:after="90"/>
        <w:ind w:left="200"/>
      </w:pPr>
      <w:r>
        <w:rPr>
          <w:rFonts w:ascii="Calibri" w:cs="Calibri" w:eastAsia="Calibri" w:hAnsi="Calibri"/>
          <w:b/>
          <w:bCs/>
          <w:color w:val="9B2C5E"/>
          <w:sz w:val="20"/>
          <w:szCs w:val="20"/>
        </w:rPr>
        <w:t xml:space="preserve">Base:  </w:t>
      </w:r>
      <w:r>
        <w:rPr>
          <w:rFonts w:ascii="Calibri" w:cs="Calibri" w:eastAsia="Calibri" w:hAnsi="Calibri"/>
          <w:sz w:val="20"/>
          <w:szCs w:val="20"/>
        </w:rPr>
        <w:t xml:space="preserve">A própria composição da fórmula. Verifiquei que Di é dominado por duracao_norm (r = +0,710) e que criticidade_sucessores — que o texto sugeria fazer parte da noção — tem r = +0,068 com Di e não aparece na fórmula. Além disso, comparando Di ao conteúdo de trabalho WC = d·Σ r/R, a correlação de Pearson é +0,647 mas a concordância de faixa é de apenas 49,7%: é uma reordenação real das tarefas, não um mero rótulo diferente.</w:t>
      </w:r>
    </w:p>
    <w:p>
      <w:pPr>
        <w:spacing w:after="90"/>
        <w:ind w:left="200"/>
      </w:pPr>
      <w:r>
        <w:rPr>
          <w:rFonts w:ascii="Calibri" w:cs="Calibri" w:eastAsia="Calibri" w:hAnsi="Calibri"/>
          <w:b/>
          <w:bCs/>
          <w:color w:val="9B2C5E"/>
          <w:sz w:val="20"/>
          <w:szCs w:val="20"/>
        </w:rPr>
        <w:t xml:space="preserve">Literatura de apoio para o construto:  </w:t>
      </w:r>
      <w:r>
        <w:rPr>
          <w:rFonts w:ascii="Calibri" w:cs="Calibri" w:eastAsia="Calibri" w:hAnsi="Calibri"/>
          <w:sz w:val="20"/>
          <w:szCs w:val="20"/>
        </w:rPr>
        <w:t xml:space="preserve">Wood (1986) e Liu &amp; Li (2012), sobre a definição e a conceitualização de complexidade de tarefa — usados para justificar por que o que Di mede não é o que a literatura chama de complexidade.</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D-06 — A camada NASA carrega apenas o gradiente ordinal, nunca o nível absoluto</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A transferência a partir dos conjuntos de defeitos da NASA passa a sustentar somente o crescimento relativo de risco entre faixas de complexidade. O nível absoluto de F_ancora vem de outra fonte (ver D-07).</w:t>
      </w:r>
    </w:p>
    <w:p>
      <w:pPr>
        <w:spacing w:after="90"/>
        <w:ind w:left="200"/>
      </w:pPr>
      <w:r>
        <w:rPr>
          <w:rFonts w:ascii="Calibri" w:cs="Calibri" w:eastAsia="Calibri" w:hAnsi="Calibri"/>
          <w:b/>
          <w:bCs/>
          <w:color w:val="9B2C5E"/>
          <w:sz w:val="20"/>
          <w:szCs w:val="20"/>
        </w:rPr>
        <w:t xml:space="preserve">Base e pendência:  </w:t>
      </w:r>
      <w:r>
        <w:rPr>
          <w:rFonts w:ascii="Calibri" w:cs="Calibri" w:eastAsia="Calibri" w:hAnsi="Calibri"/>
          <w:sz w:val="20"/>
          <w:szCs w:val="20"/>
        </w:rPr>
        <w:t xml:space="preserve">Verificações próprias mostraram que o confundimento por tamanho não sobrevive ao controle: a razão de chances por complexidade ciclomática é 0,944 (p = 0,166, negativa); a métrica DESIGN dá 1,098 (p = 0,028) mas morre sob correção de Holm; Halstead é significativamente negativa. O eixo de linhas de código dá um gradiente mais acentuado (até 5,37 contra 2,99) e mais preciso (z = 34,3 contra 25,6).</w:t>
      </w:r>
    </w:p>
    <w:p>
      <w:pPr>
        <w:spacing w:after="90"/>
        <w:ind w:left="200"/>
      </w:pPr>
      <w:r>
        <w:rPr>
          <w:rFonts w:ascii="Calibri" w:cs="Calibri" w:eastAsia="Calibri" w:hAnsi="Calibri"/>
          <w:b/>
          <w:bCs/>
          <w:color w:val="9B2C5E"/>
          <w:sz w:val="20"/>
          <w:szCs w:val="20"/>
        </w:rPr>
        <w:t xml:space="preserve">Correção que eu precisei fazer:  </w:t>
      </w:r>
      <w:r>
        <w:rPr>
          <w:rFonts w:ascii="Calibri" w:cs="Calibri" w:eastAsia="Calibri" w:hAnsi="Calibri"/>
          <w:sz w:val="20"/>
          <w:szCs w:val="20"/>
        </w:rPr>
        <w:t xml:space="preserve">eu havia descrito essa mudança como “renomear” o gradiente. Está errado e você apontou corretamente: multiplicadores calculados sobre quartis de complexidade ciclomática </w:t>
      </w:r>
      <w:r>
        <w:rPr>
          <w:rFonts w:ascii="Calibri" w:cs="Calibri" w:eastAsia="Calibri" w:hAnsi="Calibri"/>
          <w:b/>
          <w:bCs/>
          <w:sz w:val="20"/>
          <w:szCs w:val="20"/>
        </w:rPr>
        <w:t xml:space="preserve">não podem ser rerrotulados</w:t>
      </w:r>
      <w:r>
        <w:rPr>
          <w:rFonts w:ascii="Calibri" w:cs="Calibri" w:eastAsia="Calibri" w:hAnsi="Calibri"/>
          <w:sz w:val="20"/>
          <w:szCs w:val="20"/>
        </w:rPr>
        <w:t xml:space="preserve"> como gradiente de tamanho depois do fato. O recálculo sobre linhas de código é </w:t>
      </w:r>
      <w:r>
        <w:rPr>
          <w:rFonts w:ascii="Calibri" w:cs="Calibri" w:eastAsia="Calibri" w:hAnsi="Calibri"/>
          <w:b/>
          <w:bCs/>
          <w:sz w:val="20"/>
          <w:szCs w:val="20"/>
        </w:rPr>
        <w:t xml:space="preserve">necessário</w:t>
      </w:r>
      <w:r>
        <w:rPr>
          <w:rFonts w:ascii="Calibri" w:cs="Calibri" w:eastAsia="Calibri" w:hAnsi="Calibri"/>
          <w:sz w:val="20"/>
          <w:szCs w:val="20"/>
        </w:rPr>
        <w:t xml:space="preserve">, não é uma conferência opcional — os próprios números que eu reportei (2,99 contra 5,37) já mostravam que o resultado muda. Ver R-04.</w:t>
      </w:r>
    </w:p>
    <w:p>
      <w:pPr>
        <w:spacing w:after="90"/>
        <w:ind w:left="200"/>
      </w:pPr>
      <w:r>
        <w:rPr>
          <w:rFonts w:ascii="Calibri" w:cs="Calibri" w:eastAsia="Calibri" w:hAnsi="Calibri"/>
          <w:b/>
          <w:bCs/>
          <w:color w:val="9B2C5E"/>
          <w:sz w:val="20"/>
          <w:szCs w:val="20"/>
        </w:rPr>
        <w:t xml:space="preserve">Qualidade do dado-fonte:  </w:t>
      </w:r>
      <w:r>
        <w:rPr>
          <w:rFonts w:ascii="Calibri" w:cs="Calibri" w:eastAsia="Calibri" w:hAnsi="Calibri"/>
          <w:sz w:val="20"/>
          <w:szCs w:val="20"/>
        </w:rPr>
        <w:t xml:space="preserve">Shepperd, Song, Sun &amp; Mair (2013) documentam problemas de qualidade nos conjuntos de defeitos da NASA (duplicatas, inconsistências, valores impossíveis) e publicam versões limpas. Qualquer uso desses dados no TCC precisa dizer qual versão foi usada.</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D-07 — Ancoragem externa de F_ancora e do produto F × f — aceita com ressalva forte</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Duas literaturas independentes restringem dois parâmetros diferentes. A literatura de confiabilidade humana (HEART e similares) restringe a probabilidade de erro por tarefa, isto é, F_ancora. A literatura empírica de custo de retrabalho (CII, Love, Hwang) restringe o produto F_ancora × f_retrabalho. Duas restrições externas, dois parâmetros — o sistema fecha, e isso resolve pelo lado de fora o que a calibração não separa por dentro (ver A-01).</w:t>
      </w:r>
    </w:p>
    <w:p>
      <w:pPr>
        <w:spacing w:after="90"/>
        <w:ind w:left="200"/>
      </w:pPr>
      <w:r>
        <w:rPr>
          <w:rFonts w:ascii="Calibri" w:cs="Calibri" w:eastAsia="Calibri" w:hAnsi="Calibri"/>
          <w:b/>
          <w:bCs/>
          <w:color w:val="9B2C5E"/>
          <w:sz w:val="20"/>
          <w:szCs w:val="20"/>
        </w:rPr>
        <w:t xml:space="preserve">Ressalva que invalida o uso ingênuo:  </w:t>
      </w:r>
      <w:r>
        <w:rPr>
          <w:rFonts w:ascii="Calibri" w:cs="Calibri" w:eastAsia="Calibri" w:hAnsi="Calibri"/>
          <w:sz w:val="20"/>
          <w:szCs w:val="20"/>
        </w:rPr>
        <w:t xml:space="preserve">você levantou a objeção de unidade e fronteira de sistema, e ela procede integralmente. Registrada no §9 do parecer 12. São quatro descasamentos: </w:t>
      </w:r>
      <w:r>
        <w:rPr>
          <w:rFonts w:ascii="Calibri" w:cs="Calibri" w:eastAsia="Calibri" w:hAnsi="Calibri"/>
          <w:b/>
          <w:bCs/>
          <w:sz w:val="20"/>
          <w:szCs w:val="20"/>
        </w:rPr>
        <w:t xml:space="preserve">(i) nível de agregação</w:t>
      </w:r>
      <w:r>
        <w:rPr>
          <w:rFonts w:ascii="Calibri" w:cs="Calibri" w:eastAsia="Calibri" w:hAnsi="Calibri"/>
          <w:sz w:val="20"/>
          <w:szCs w:val="20"/>
        </w:rPr>
        <w:t xml:space="preserve"> — a probabilidade de erro humano do HEART é por passo elementar, enquanto uma atividade J60 agrega muitos passos; </w:t>
      </w:r>
      <w:r>
        <w:rPr>
          <w:rFonts w:ascii="Calibri" w:cs="Calibri" w:eastAsia="Calibri" w:hAnsi="Calibri"/>
          <w:b/>
          <w:bCs/>
          <w:sz w:val="20"/>
          <w:szCs w:val="20"/>
        </w:rPr>
        <w:t xml:space="preserve">(ii) denominador</w:t>
      </w:r>
      <w:r>
        <w:rPr>
          <w:rFonts w:ascii="Calibri" w:cs="Calibri" w:eastAsia="Calibri" w:hAnsi="Calibri"/>
          <w:sz w:val="20"/>
          <w:szCs w:val="20"/>
        </w:rPr>
        <w:t xml:space="preserve"> — a literatura de retrabalho mede custo, o modelo mede esforço; </w:t>
      </w:r>
      <w:r>
        <w:rPr>
          <w:rFonts w:ascii="Calibri" w:cs="Calibri" w:eastAsia="Calibri" w:hAnsi="Calibri"/>
          <w:b/>
          <w:bCs/>
          <w:sz w:val="20"/>
          <w:szCs w:val="20"/>
        </w:rPr>
        <w:t xml:space="preserve">(iii) numerador</w:t>
      </w:r>
      <w:r>
        <w:rPr>
          <w:rFonts w:ascii="Calibri" w:cs="Calibri" w:eastAsia="Calibri" w:hAnsi="Calibri"/>
          <w:sz w:val="20"/>
          <w:szCs w:val="20"/>
        </w:rPr>
        <w:t xml:space="preserve"> — o que conta como “retrabalho” difere entre as fontes; </w:t>
      </w:r>
      <w:r>
        <w:rPr>
          <w:rFonts w:ascii="Calibri" w:cs="Calibri" w:eastAsia="Calibri" w:hAnsi="Calibri"/>
          <w:b/>
          <w:bCs/>
          <w:sz w:val="20"/>
          <w:szCs w:val="20"/>
        </w:rPr>
        <w:t xml:space="preserve">(iv) descasamento interno</w:t>
      </w:r>
      <w:r>
        <w:rPr>
          <w:rFonts w:ascii="Calibri" w:cs="Calibri" w:eastAsia="Calibri" w:hAnsi="Calibri"/>
          <w:sz w:val="20"/>
          <w:szCs w:val="20"/>
        </w:rPr>
        <w:t xml:space="preserve"> — com F_ancora = 0,18 e f_retrabalho = 0,42 o produto é 0,0756, mas o observável do modelo dá 0,196, cerca de 2,6× o produto.</w:t>
      </w:r>
    </w:p>
    <w:p>
      <w:pPr>
        <w:spacing w:after="90"/>
        <w:ind w:left="200"/>
      </w:pPr>
      <w:r>
        <w:rPr>
          <w:rFonts w:ascii="Calibri" w:cs="Calibri" w:eastAsia="Calibri" w:hAnsi="Calibri"/>
          <w:b/>
          <w:bCs/>
          <w:color w:val="9B2C5E"/>
          <w:sz w:val="20"/>
          <w:szCs w:val="20"/>
        </w:rPr>
        <w:t xml:space="preserve">Estado:  </w:t>
      </w:r>
      <w:r>
        <w:rPr>
          <w:rFonts w:ascii="Calibri" w:cs="Calibri" w:eastAsia="Calibri" w:hAnsi="Calibri"/>
          <w:sz w:val="20"/>
          <w:szCs w:val="20"/>
        </w:rPr>
        <w:t xml:space="preserve">a ancoragem é a direção certa, mas a ponte de agregação entre passo elementar e pacote de trabalho é um dos três gargalos ainda abertos (ver seção 5).</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D-08 — O 46% de retrabalho do modelo: nem defensável nem refutável hoje</w:t>
      </w:r>
    </w:p>
    <w:p>
      <w:pPr>
        <w:spacing w:after="90"/>
        <w:ind w:left="200"/>
      </w:pPr>
      <w:r>
        <w:rPr>
          <w:rFonts w:ascii="Calibri" w:cs="Calibri" w:eastAsia="Calibri" w:hAnsi="Calibri"/>
          <w:b/>
          <w:bCs/>
          <w:color w:val="9B2C5E"/>
          <w:sz w:val="20"/>
          <w:szCs w:val="20"/>
        </w:rPr>
        <w:t xml:space="preserve">Histórico da decisão:  </w:t>
      </w:r>
      <w:r>
        <w:rPr>
          <w:rFonts w:ascii="Calibri" w:cs="Calibri" w:eastAsia="Calibri" w:hAnsi="Calibri"/>
          <w:sz w:val="20"/>
          <w:szCs w:val="20"/>
        </w:rPr>
        <w:t xml:space="preserve">eu afirmei que os 46% de retrabalho produzidos pela variante V2 estão “fora de qualquer leitura razoável” diante da faixa empírica de 4–11%. </w:t>
      </w:r>
      <w:r>
        <w:rPr>
          <w:rFonts w:ascii="Calibri" w:cs="Calibri" w:eastAsia="Calibri" w:hAnsi="Calibri"/>
          <w:b/>
          <w:bCs/>
          <w:color w:val="9C2B1B"/>
          <w:sz w:val="20"/>
          <w:szCs w:val="20"/>
        </w:rPr>
        <w:t xml:space="preserve">Isso foi exagero meu</w:t>
      </w:r>
      <w:r>
        <w:rPr>
          <w:rFonts w:ascii="Calibri" w:cs="Calibri" w:eastAsia="Calibri" w:hAnsi="Calibri"/>
          <w:sz w:val="20"/>
          <w:szCs w:val="20"/>
        </w:rPr>
        <w:t xml:space="preserve"> e você contrapôs com Boehm &amp; Basili, que reportam da ordem de 40–50% do esforço de software gasto em retrabalho evitável.</w:t>
      </w:r>
    </w:p>
    <w:p>
      <w:pPr>
        <w:spacing w:after="90"/>
        <w:ind w:left="200"/>
      </w:pPr>
      <w:r>
        <w:rPr>
          <w:rFonts w:ascii="Calibri" w:cs="Calibri" w:eastAsia="Calibri" w:hAnsi="Calibri"/>
          <w:b/>
          <w:bCs/>
          <w:color w:val="9B2C5E"/>
          <w:sz w:val="20"/>
          <w:szCs w:val="20"/>
        </w:rPr>
        <w:t xml:space="preserve">Posição atual:  </w:t>
      </w:r>
      <w:r>
        <w:rPr>
          <w:rFonts w:ascii="Calibri" w:cs="Calibri" w:eastAsia="Calibri" w:hAnsi="Calibri"/>
          <w:sz w:val="20"/>
          <w:szCs w:val="20"/>
        </w:rPr>
        <w:t xml:space="preserve">concedo o exagero. Mas a justificativa de substituição reintroduz exatamente o empréstimo entre domínios que acabávamos de eliminar — trocar a comparação com construção por uma comparação com software não resolve o problema de unidade, apenas o desloca. A posição honesta é a seguinte: 46% hoje não é defensável nem refutável, por falta de um comparador na mesma unidade. Enquanto o retrabalho do modelo for medido em uma grandeza e a literatura em outra, a comparação não decide nada.</w:t>
      </w:r>
    </w:p>
    <w:p>
      <w:pPr>
        <w:spacing w:after="90"/>
        <w:ind w:left="200"/>
      </w:pPr>
      <w:r>
        <w:rPr>
          <w:rFonts w:ascii="Calibri" w:cs="Calibri" w:eastAsia="Calibri" w:hAnsi="Calibri"/>
          <w:b/>
          <w:bCs/>
          <w:color w:val="9B2C5E"/>
          <w:sz w:val="20"/>
          <w:szCs w:val="20"/>
        </w:rPr>
        <w:t xml:space="preserve">Consequência prática:  </w:t>
      </w:r>
      <w:r>
        <w:rPr>
          <w:rFonts w:ascii="Calibri" w:cs="Calibri" w:eastAsia="Calibri" w:hAnsi="Calibri"/>
          <w:sz w:val="20"/>
          <w:szCs w:val="20"/>
        </w:rPr>
        <w:t xml:space="preserve">o primeiro dos três gargalos abertos é justamente construir esse comparador — retrabalho medido em horas, contra E_plano na mesma base. Ver seção 5.</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D-09 — History Matching é eliminação de regiões implausíveis, não identificação do vetor verdadeiro</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Corrigir a linguagem, tanto nos pareceres quanto nos próprios scripts. O History Matching calcula a implausibilidade I(x) = maxⱼ |zⱼ − f̄ⱼ(x)| / √(V_obs + V_sim + V_mod), corta em 3, e devolve a região NROY (Not Ruled Out Yet). Ele descarta o que é implausível; não aponta o verdadeiro.</w:t>
      </w:r>
    </w:p>
    <w:p>
      <w:pPr>
        <w:spacing w:after="90"/>
        <w:ind w:left="200"/>
      </w:pPr>
      <w:r>
        <w:rPr>
          <w:rFonts w:ascii="Calibri" w:cs="Calibri" w:eastAsia="Calibri" w:hAnsi="Calibri"/>
          <w:b/>
          <w:bCs/>
          <w:color w:val="9B2C5E"/>
          <w:sz w:val="20"/>
          <w:szCs w:val="20"/>
        </w:rPr>
        <w:t xml:space="preserve">Base:  </w:t>
      </w:r>
      <w:r>
        <w:rPr>
          <w:rFonts w:ascii="Calibri" w:cs="Calibri" w:eastAsia="Calibri" w:hAnsi="Calibri"/>
          <w:sz w:val="20"/>
          <w:szCs w:val="20"/>
        </w:rPr>
        <w:t xml:space="preserve">Andrianakis et al. (2015), tutorial de History Matching bayesiano com emulação; Pukelsheim (1994) para a justificativa do corte em 3 desvios.</w:t>
      </w:r>
    </w:p>
    <w:p>
      <w:pPr>
        <w:spacing w:after="90"/>
        <w:ind w:left="200"/>
      </w:pPr>
      <w:r>
        <w:rPr>
          <w:rFonts w:ascii="Calibri" w:cs="Calibri" w:eastAsia="Calibri" w:hAnsi="Calibri"/>
          <w:b/>
          <w:bCs/>
          <w:color w:val="9B2C5E"/>
          <w:sz w:val="20"/>
          <w:szCs w:val="20"/>
        </w:rPr>
        <w:t xml:space="preserve">Correção registrada:  </w:t>
      </w:r>
      <w:r>
        <w:rPr>
          <w:rFonts w:ascii="Calibri" w:cs="Calibri" w:eastAsia="Calibri" w:hAnsi="Calibri"/>
          <w:sz w:val="20"/>
          <w:szCs w:val="20"/>
        </w:rPr>
        <w:t xml:space="preserve">eu mesmo havia escrito “identificar o vetor verdadeiro”. Concedido e corrigido — e a correção precisa chegar também à linguagem impressa pelos scripts, não só aos textos. Ver R-05.</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D-10 — atraso_relativo não é comparável a “crescimento de prazo” da literatura</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a razão atraso_relativo = makespan / makespan_cpm usa a coluna </w:t>
      </w:r>
      <w:r>
        <w:rPr>
          <w:rFonts w:ascii="Calibri" w:cs="Calibri" w:eastAsia="Calibri" w:hAnsi="Calibri"/>
          <w:i/>
          <w:iCs/>
          <w:sz w:val="20"/>
          <w:szCs w:val="20"/>
        </w:rPr>
        <w:t xml:space="preserve">makespan_sem_recursos</w:t>
      </w:r>
      <w:r>
        <w:rPr>
          <w:rFonts w:ascii="Calibri" w:cs="Calibri" w:eastAsia="Calibri" w:hAnsi="Calibri"/>
          <w:sz w:val="20"/>
          <w:szCs w:val="20"/>
        </w:rPr>
        <w:t xml:space="preserve">, que é o limite inferior do caminho crítico </w:t>
      </w:r>
      <w:r>
        <w:rPr>
          <w:rFonts w:ascii="Calibri" w:cs="Calibri" w:eastAsia="Calibri" w:hAnsi="Calibri"/>
          <w:b/>
          <w:bCs/>
          <w:sz w:val="20"/>
          <w:szCs w:val="20"/>
        </w:rPr>
        <w:t xml:space="preserve">sem restrição de recursos</w:t>
      </w:r>
      <w:r>
        <w:rPr>
          <w:rFonts w:ascii="Calibri" w:cs="Calibri" w:eastAsia="Calibri" w:hAnsi="Calibri"/>
          <w:sz w:val="20"/>
          <w:szCs w:val="20"/>
        </w:rPr>
        <w:t xml:space="preserve">. Um cronograma viável fica sempre bem acima desse limite, então a razão de 1,5 a 2,3 que o modelo produz não é comparável aos ~9,8% de crescimento de prazo atribuível a retrabalho que a literatura reporta.</w:t>
      </w:r>
    </w:p>
    <w:p>
      <w:pPr>
        <w:spacing w:after="90"/>
        <w:ind w:left="200"/>
      </w:pPr>
      <w:r>
        <w:rPr>
          <w:rFonts w:ascii="Calibri" w:cs="Calibri" w:eastAsia="Calibri" w:hAnsi="Calibri"/>
          <w:b/>
          <w:bCs/>
          <w:color w:val="9B2C5E"/>
          <w:sz w:val="20"/>
          <w:szCs w:val="20"/>
        </w:rPr>
        <w:t xml:space="preserve">Correção barata proposta:  </w:t>
      </w:r>
      <w:r>
        <w:rPr>
          <w:rFonts w:ascii="Calibri" w:cs="Calibri" w:eastAsia="Calibri" w:hAnsi="Calibri"/>
          <w:sz w:val="20"/>
          <w:szCs w:val="20"/>
        </w:rPr>
        <w:t xml:space="preserve">o PSPLIB publica soluções ótimas ou melhores conhecidas para o conjunto J60, e elas não estão nos dados processados (instancias_j60.csv traz apenas makespan_sem_recursos). Incorporá-las dá uma linha de base viável e abre um segundo alvo de validação externa que hoje não existe.</w:t>
      </w:r>
    </w:p>
    <w:p>
      <w:pPr>
        <w:spacing w:after="90"/>
        <w:ind w:left="200"/>
      </w:pPr>
      <w:r>
        <w:rPr>
          <w:rFonts w:ascii="Calibri" w:cs="Calibri" w:eastAsia="Calibri" w:hAnsi="Calibri"/>
          <w:b/>
          <w:bCs/>
          <w:color w:val="9B2C5E"/>
          <w:sz w:val="20"/>
          <w:szCs w:val="20"/>
        </w:rPr>
        <w:t xml:space="preserve">Pendência:  </w:t>
      </w:r>
      <w:r>
        <w:rPr>
          <w:rFonts w:ascii="Calibri" w:cs="Calibri" w:eastAsia="Calibri" w:hAnsi="Calibri"/>
          <w:sz w:val="20"/>
          <w:szCs w:val="20"/>
        </w:rPr>
        <w:t xml:space="preserve">a existência dessas soluções no PSPLIB é amplamente sabida mas ainda NÃO foi conferida na fonte. Não depender disso antes de conferir.</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D-11 — Calibração rebaixada a limitação declarada; MVP antes dos números</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A calibração completa deixa de ser entregável e passa a ser limitação declarada da monografia. A ordem de trabalho é: fechar o MVP, auditar, e só então produzir números. Quantidades derivadas de um modelo ainda em mudança não têm valor de evidência.</w:t>
      </w:r>
    </w:p>
    <w:p>
      <w:pPr>
        <w:spacing w:after="90"/>
        <w:ind w:left="200"/>
      </w:pPr>
      <w:r>
        <w:rPr>
          <w:rFonts w:ascii="Calibri" w:cs="Calibri" w:eastAsia="Calibri" w:hAnsi="Calibri"/>
          <w:b/>
          <w:bCs/>
          <w:color w:val="9B2C5E"/>
          <w:sz w:val="20"/>
          <w:szCs w:val="20"/>
        </w:rPr>
        <w:t xml:space="preserve">Motivo técnico:  </w:t>
      </w:r>
      <w:r>
        <w:rPr>
          <w:rFonts w:ascii="Calibri" w:cs="Calibri" w:eastAsia="Calibri" w:hAnsi="Calibri"/>
          <w:sz w:val="20"/>
          <w:szCs w:val="20"/>
        </w:rPr>
        <w:t xml:space="preserve">o piloto de fronteira mostrou que, em K = 64, os 4 de 4 pontos que estavam no NROY do modelo legado são rejeitados. O NROY não estreita — ele esvazia. Além disso, V_obs responde por 74–86% do denominador da implausibilidade em K = 64, e a implausibilidade do próprio vetor verdadeiro tende a 3,594 em atraso_relativo no limite: o alvo verdadeiro seria rejeitado pelo próprio critério.</w:t>
      </w:r>
    </w:p>
    <w:p>
      <w:pPr>
        <w:spacing w:after="90"/>
        <w:ind w:left="200"/>
      </w:pPr>
      <w:r>
        <w:rPr>
          <w:rFonts w:ascii="Calibri" w:cs="Calibri" w:eastAsia="Calibri" w:hAnsi="Calibri"/>
          <w:b/>
          <w:bCs/>
          <w:color w:val="9B2C5E"/>
          <w:sz w:val="20"/>
          <w:szCs w:val="20"/>
        </w:rPr>
        <w:t xml:space="preserve">Itens adiados para depois do MVP:  </w:t>
      </w:r>
      <w:r>
        <w:rPr>
          <w:rFonts w:ascii="Calibri" w:cs="Calibri" w:eastAsia="Calibri" w:hAnsi="Calibri"/>
          <w:sz w:val="20"/>
          <w:szCs w:val="20"/>
        </w:rPr>
        <w:t xml:space="preserve">recálculo do gradiente sobre linhas de código; sensibilidade ao conteúdo de trabalho; versão parcimoniosa com F_base = f(Di) ligado e desligado; comparação I_M contra I_2M; calibração e estimativa de V_mod.</w:t>
      </w:r>
    </w:p>
    <w:p>
      <w:pPr>
        <w:pBdr>
          <w:bottom w:val="single" w:color="D9A8C0" w:sz="6"/>
        </w:pBdr>
        <w:spacing w:after="160" w:before="60"/>
      </w:pPr>
      <w:r>
        <w:rPr>
          <w:sz w:val="2"/>
          <w:szCs w:val="2"/>
        </w:rPr>
        <w:t xml:space="preserve"/>
      </w:r>
    </w:p>
    <w:p>
      <w:pPr>
        <w:pStyle w:val="Heading2"/>
        <w:spacing w:after="140" w:before="280"/>
      </w:pPr>
      <w:r>
        <w:rPr>
          <w:rFonts w:ascii="Calibri" w:cs="Calibri" w:eastAsia="Calibri" w:hAnsi="Calibri"/>
          <w:b/>
          <w:bCs/>
          <w:color w:val="5E1B39"/>
          <w:sz w:val="24"/>
          <w:szCs w:val="24"/>
        </w:rPr>
        <w:t xml:space="preserve">D-12 — Modelagem orientada a padrões como critério de adequação</w:t>
      </w:r>
    </w:p>
    <w:p>
      <w:pPr>
        <w:spacing w:after="90"/>
        <w:ind w:left="200"/>
      </w:pPr>
      <w:r>
        <w:rPr>
          <w:rFonts w:ascii="Calibri" w:cs="Calibri" w:eastAsia="Calibri" w:hAnsi="Calibri"/>
          <w:b/>
          <w:bCs/>
          <w:color w:val="9B2C5E"/>
          <w:sz w:val="20"/>
          <w:szCs w:val="20"/>
        </w:rPr>
        <w:t xml:space="preserve">Decisão:  </w:t>
      </w:r>
      <w:r>
        <w:rPr>
          <w:rFonts w:ascii="Calibri" w:cs="Calibri" w:eastAsia="Calibri" w:hAnsi="Calibri"/>
          <w:sz w:val="20"/>
          <w:szCs w:val="20"/>
        </w:rPr>
        <w:t xml:space="preserve">Na ausência de calibração, a adequação do modelo é argumentada por reprodução simultânea de múltiplos padrões qualitativos, e não por ajuste a um alvo numérico.</w:t>
      </w:r>
    </w:p>
    <w:p>
      <w:pPr>
        <w:spacing w:after="90"/>
        <w:ind w:left="200"/>
      </w:pPr>
      <w:r>
        <w:rPr>
          <w:rFonts w:ascii="Calibri" w:cs="Calibri" w:eastAsia="Calibri" w:hAnsi="Calibri"/>
          <w:b/>
          <w:bCs/>
          <w:color w:val="9B2C5E"/>
          <w:sz w:val="20"/>
          <w:szCs w:val="20"/>
        </w:rPr>
        <w:t xml:space="preserve">Base:  </w:t>
      </w:r>
      <w:r>
        <w:rPr>
          <w:rFonts w:ascii="Calibri" w:cs="Calibri" w:eastAsia="Calibri" w:hAnsi="Calibri"/>
          <w:sz w:val="20"/>
          <w:szCs w:val="20"/>
        </w:rPr>
        <w:t xml:space="preserve">Grimm et al. (2005), modelagem orientada a padrões em sistemas complexos baseados em agentes.</w:t>
      </w:r>
    </w:p>
    <w:p>
      <w:pPr>
        <w:spacing w:after="90"/>
        <w:ind w:left="200"/>
      </w:pPr>
      <w:r>
        <w:rPr>
          <w:rFonts w:ascii="Calibri" w:cs="Calibri" w:eastAsia="Calibri" w:hAnsi="Calibri"/>
          <w:b/>
          <w:bCs/>
          <w:color w:val="9B2C5E"/>
          <w:sz w:val="20"/>
          <w:szCs w:val="20"/>
        </w:rPr>
        <w:t xml:space="preserve">Complemento metodológico:  </w:t>
      </w:r>
      <w:r>
        <w:rPr>
          <w:rFonts w:ascii="Calibri" w:cs="Calibri" w:eastAsia="Calibri" w:hAnsi="Calibri"/>
          <w:sz w:val="20"/>
          <w:szCs w:val="20"/>
        </w:rPr>
        <w:t xml:space="preserve">Raue et al. (2009) para a distinção entre não identificabilidade estrutural e prática — que é o vocabulário correto para descrever o que acontece com F_ancora e f_retrabalho; Talts et al. (2018) para calibração baseada em simulação, caso a rota bayesiana volte à mesa.</w:t>
      </w:r>
    </w:p>
    <w:p>
      <w:r>
        <w:br w:type="page"/>
      </w:r>
    </w:p>
    <w:p>
      <w:pPr>
        <w:pStyle w:val="Heading1"/>
        <w:spacing w:after="200" w:before="360"/>
      </w:pPr>
      <w:r>
        <w:rPr>
          <w:rFonts w:ascii="Calibri" w:cs="Calibri" w:eastAsia="Calibri" w:hAnsi="Calibri"/>
          <w:b/>
          <w:bCs/>
          <w:color w:val="9B2C5E"/>
          <w:sz w:val="30"/>
          <w:szCs w:val="30"/>
        </w:rPr>
        <w:t xml:space="preserve">2. Catálogo de fontes</w:t>
      </w:r>
    </w:p>
    <w:p>
      <w:pPr>
        <w:pStyle w:val="Heading2"/>
        <w:spacing w:after="140" w:before="280"/>
      </w:pPr>
      <w:r>
        <w:rPr>
          <w:rFonts w:ascii="Calibri" w:cs="Calibri" w:eastAsia="Calibri" w:hAnsi="Calibri"/>
          <w:b/>
          <w:bCs/>
          <w:color w:val="5E1B39"/>
          <w:sz w:val="24"/>
          <w:szCs w:val="24"/>
        </w:rPr>
        <w:t xml:space="preserve">2.1 Fontes com texto lido ou dado recalculado — citáveis</w:t>
      </w:r>
    </w:p>
    <w:p>
      <w:pPr>
        <w:spacing w:after="120" w:before="0"/>
      </w:pPr>
      <w:r>
        <w:rPr>
          <w:rFonts w:ascii="Calibri" w:cs="Calibri" w:eastAsia="Calibri" w:hAnsi="Calibri"/>
          <w:sz w:val="20"/>
          <w:szCs w:val="20"/>
        </w:rPr>
        <w:t xml:space="preserve">Estas são as fontes em que eu abri o texto (ou os dados) e conferi a afirmação específica que elas sustentam.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50"/>
        <w:gridCol w:w="2150"/>
        <w:gridCol w:w="2900"/>
        <w:gridCol w:w="1900"/>
      </w:tblGrid>
      <w:tr>
        <w:trPr>
          <w:tblHeader/>
        </w:trPr>
        <w:tc>
          <w:tcPr>
            <w:tcW w:type="dxa" w:w="2750"/>
            <w:shd w:fill="9B2C5E" w:color="auto" w:val="clear"/>
            <w:tcMar>
              <w:top w:type="dxa" w:w="80"/>
              <w:left w:type="dxa" w:w="100"/>
              <w:bottom w:type="dxa" w:w="80"/>
              <w:right w:type="dxa" w:w="100"/>
            </w:tcMar>
          </w:tcPr>
          <w:p>
            <w:r>
              <w:rPr>
                <w:rFonts w:ascii="Calibri" w:cs="Calibri" w:eastAsia="Calibri" w:hAnsi="Calibri"/>
                <w:b/>
                <w:bCs/>
                <w:color w:val="FFFFFF"/>
                <w:sz w:val="18"/>
                <w:szCs w:val="18"/>
              </w:rPr>
              <w:t xml:space="preserve">Fonte</w:t>
            </w:r>
          </w:p>
        </w:tc>
        <w:tc>
          <w:tcPr>
            <w:tcW w:type="dxa" w:w="2150"/>
            <w:shd w:fill="9B2C5E" w:color="auto" w:val="clear"/>
            <w:tcMar>
              <w:top w:type="dxa" w:w="80"/>
              <w:left w:type="dxa" w:w="100"/>
              <w:bottom w:type="dxa" w:w="80"/>
              <w:right w:type="dxa" w:w="100"/>
            </w:tcMar>
          </w:tcPr>
          <w:p>
            <w:r>
              <w:rPr>
                <w:rFonts w:ascii="Calibri" w:cs="Calibri" w:eastAsia="Calibri" w:hAnsi="Calibri"/>
                <w:b/>
                <w:bCs/>
                <w:color w:val="FFFFFF"/>
                <w:sz w:val="18"/>
                <w:szCs w:val="18"/>
              </w:rPr>
              <w:t xml:space="preserve">Onde acessar</w:t>
            </w:r>
          </w:p>
        </w:tc>
        <w:tc>
          <w:tcPr>
            <w:tcW w:type="dxa" w:w="2900"/>
            <w:shd w:fill="9B2C5E" w:color="auto" w:val="clear"/>
            <w:tcMar>
              <w:top w:type="dxa" w:w="80"/>
              <w:left w:type="dxa" w:w="100"/>
              <w:bottom w:type="dxa" w:w="80"/>
              <w:right w:type="dxa" w:w="100"/>
            </w:tcMar>
          </w:tcPr>
          <w:p>
            <w:r>
              <w:rPr>
                <w:rFonts w:ascii="Calibri" w:cs="Calibri" w:eastAsia="Calibri" w:hAnsi="Calibri"/>
                <w:b/>
                <w:bCs/>
                <w:color w:val="FFFFFF"/>
                <w:sz w:val="18"/>
                <w:szCs w:val="18"/>
              </w:rPr>
              <w:t xml:space="preserve">O que sustenta</w:t>
            </w:r>
          </w:p>
        </w:tc>
        <w:tc>
          <w:tcPr>
            <w:tcW w:type="dxa" w:w="1900"/>
            <w:shd w:fill="9B2C5E" w:color="auto" w:val="clear"/>
            <w:tcMar>
              <w:top w:type="dxa" w:w="80"/>
              <w:left w:type="dxa" w:w="100"/>
              <w:bottom w:type="dxa" w:w="80"/>
              <w:right w:type="dxa" w:w="100"/>
            </w:tcMar>
          </w:tcPr>
          <w:p>
            <w:r>
              <w:rPr>
                <w:rFonts w:ascii="Calibri" w:cs="Calibri" w:eastAsia="Calibri" w:hAnsi="Calibri"/>
                <w:b/>
                <w:bCs/>
                <w:color w:val="FFFFFF"/>
                <w:sz w:val="18"/>
                <w:szCs w:val="18"/>
              </w:rPr>
              <w:t xml:space="preserve">Estado</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Crowder, R. M.; Robinson, M. A.; Hughes, H. P. N.; Sim, Y-W. (2012). </w:t>
            </w:r>
            <w:r>
              <w:rPr>
                <w:rFonts w:ascii="Calibri" w:cs="Calibri" w:eastAsia="Calibri" w:hAnsi="Calibri"/>
                <w:sz w:val="18"/>
                <w:szCs w:val="18"/>
              </w:rPr>
              <w:t xml:space="preserve">“The Development of an Agent-Based Modeling Framework for Simulating Engineering Team Work”. IEEE Transactions on Systems, Man, and Cybernetics – Part A, 42(6), 1425–1439.</w:t>
            </w:r>
          </w:p>
        </w:tc>
        <w:tc>
          <w:tcPr>
            <w:tcW w:type="dxa" w:w="2150"/>
            <w:tcMar>
              <w:top w:type="dxa" w:w="80"/>
              <w:left w:type="dxa" w:w="100"/>
              <w:bottom w:type="dxa" w:w="80"/>
              <w:right w:type="dxa" w:w="100"/>
            </w:tcMar>
          </w:tcPr>
          <w:p>
            <w:pPr>
              <w:spacing w:after="40"/>
            </w:pPr>
            <w:r>
              <w:rPr>
                <w:rFonts w:ascii="Calibri" w:cs="Calibri" w:eastAsia="Calibri" w:hAnsi="Calibri"/>
                <w:sz w:val="18"/>
                <w:szCs w:val="18"/>
              </w:rPr>
              <w:t xml:space="preserve">PDF completo nos arquivos do Projeto TCC2.</w:t>
            </w:r>
          </w:p>
          <w:p>
            <w:pPr>
              <w:spacing w:after="40"/>
            </w:pPr>
            <w:hyperlink w:history="1" r:id="rId1oozxhinqvjck_85jyalo">
              <w:r>
                <w:rPr>
                  <w:rStyle w:val="Hyperlink"/>
                  <w:rFonts w:ascii="Calibri" w:cs="Calibri" w:eastAsia="Calibri" w:hAnsi="Calibri"/>
                  <w:sz w:val="16"/>
                  <w:szCs w:val="16"/>
                </w:rPr>
                <w:t xml:space="preserve">doi.org/10.1109/TSMCA.2012.2199304</w:t>
              </w:r>
            </w:hyperlink>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Equação (4) — lei de atualização de confiança entre agentes (D-01). Também é o precedente de arcabouço ABM para trabalho de equipe de engenharia.</w:t>
            </w:r>
          </w:p>
        </w:tc>
        <w:tc>
          <w:tcPr>
            <w:tcW w:type="dxa" w:w="1900"/>
            <w:tcMar>
              <w:top w:type="dxa" w:w="80"/>
              <w:left w:type="dxa" w:w="100"/>
              <w:bottom w:type="dxa" w:w="80"/>
              <w:right w:type="dxa" w:w="100"/>
            </w:tcMar>
          </w:tcPr>
          <w:p>
            <w:pPr>
              <w:spacing w:after="40"/>
            </w:pPr>
            <w:r>
              <w:rPr>
                <w:rFonts w:ascii="Calibri" w:cs="Calibri" w:eastAsia="Calibri" w:hAnsi="Calibri"/>
                <w:b/>
                <w:bCs/>
                <w:color w:val="1E6B3A"/>
                <w:sz w:val="18"/>
                <w:szCs w:val="18"/>
              </w:rPr>
              <w:t xml:space="preserve">TEXTO LIDO</w:t>
            </w:r>
          </w:p>
          <w:p>
            <w:pPr>
              <w:spacing w:after="40"/>
            </w:pPr>
            <w:r>
              <w:rPr>
                <w:rFonts w:ascii="Calibri" w:cs="Calibri" w:eastAsia="Calibri" w:hAnsi="Calibri"/>
                <w:i/>
                <w:iCs/>
                <w:sz w:val="20"/>
                <w:szCs w:val="20"/>
              </w:rPr>
              <w:t xml:space="preserve">Eq. (4) lida literalmente no PDF.</w:t>
            </w:r>
          </w:p>
        </w:tc>
      </w:tr>
      <w:tr>
        <w:trPr>
          <w:cantSplit/>
        </w:trPr>
        <w:tc>
          <w:tcPr>
            <w:tcW w:type="dxa" w:w="275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Estudo de leitura sob restrição de tempo + depósito OSF q2dm6 </w:t>
            </w:r>
            <w:r>
              <w:rPr>
                <w:rFonts w:ascii="Calibri" w:cs="Calibri" w:eastAsia="Calibri" w:hAnsi="Calibri"/>
                <w:sz w:val="18"/>
                <w:szCs w:val="18"/>
              </w:rPr>
              <w:t xml:space="preserve">(Nature Human Behaviour, 2026). Dados: corrected_human_eye_movement_data.json e human_comprehension_data.csv.</w:t>
            </w:r>
          </w:p>
        </w:tc>
        <w:tc>
          <w:tcPr>
            <w:tcW w:type="dxa" w:w="2150"/>
            <w:shd w:fill="F2F2F2" w:color="auto" w:val="clear"/>
            <w:tcMar>
              <w:top w:type="dxa" w:w="80"/>
              <w:left w:type="dxa" w:w="100"/>
              <w:bottom w:type="dxa" w:w="80"/>
              <w:right w:type="dxa" w:w="100"/>
            </w:tcMar>
          </w:tcPr>
          <w:p>
            <w:pPr>
              <w:spacing w:after="40"/>
            </w:pPr>
            <w:hyperlink w:history="1" r:id="rIdgis_sjpuho-zlw7jm8dpe">
              <w:r>
                <w:rPr>
                  <w:rStyle w:val="Hyperlink"/>
                  <w:rFonts w:ascii="Calibri" w:cs="Calibri" w:eastAsia="Calibri" w:hAnsi="Calibri"/>
                  <w:sz w:val="16"/>
                  <w:szCs w:val="16"/>
                </w:rPr>
                <w:t xml:space="preserve">osf.io/q2dm6</w:t>
              </w:r>
            </w:hyperlink>
          </w:p>
          <w:p>
            <w:pPr>
              <w:spacing w:after="40"/>
            </w:pPr>
            <w:r>
              <w:rPr>
                <w:rFonts w:ascii="Calibri" w:cs="Calibri" w:eastAsia="Calibri" w:hAnsi="Calibri"/>
                <w:i/>
                <w:iCs/>
                <w:sz w:val="14"/>
                <w:szCs w:val="14"/>
              </w:rPr>
              <w:t xml:space="preserve">SHA-256 do CSV usado: 7808075b932c3096ba2c50ff0273b2d375607afd0ba6a3ceeb627ab353fbf171</w:t>
            </w:r>
          </w:p>
        </w:tc>
        <w:tc>
          <w:tcPr>
            <w:tcW w:type="dxa" w:w="29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ρ_omissão = 0,35, faixa [0,20 ; 0,50] (D-02). ε(30 s) = 0,268 IC95 [0,197 ; 0,339]; ε(60 s) = 0,101 [0,036 ; 0,167]; n = 32; 29/32 com ε &gt; 0.</w:t>
            </w:r>
          </w:p>
        </w:tc>
        <w:tc>
          <w:tcPr>
            <w:tcW w:type="dxa" w:w="1900"/>
            <w:shd w:fill="F2F2F2" w:color="auto" w:val="clear"/>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DADO RECALCULADO</w:t>
            </w:r>
          </w:p>
          <w:p>
            <w:pPr>
              <w:spacing w:after="40"/>
            </w:pPr>
            <w:r>
              <w:rPr>
                <w:rFonts w:ascii="Calibri" w:cs="Calibri" w:eastAsia="Calibri" w:hAnsi="Calibri"/>
                <w:i/>
                <w:iCs/>
                <w:sz w:val="20"/>
                <w:szCs w:val="20"/>
              </w:rPr>
              <w:t xml:space="preserve">288 ensaios, 96/96/96, 3 por célula; médias reproduzem 0,59 e 0,83.</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Szalma, J. L.; Hancock, P. A.; Quinn, S. (2008). </w:t>
            </w:r>
            <w:r>
              <w:rPr>
                <w:rFonts w:ascii="Calibri" w:cs="Calibri" w:eastAsia="Calibri" w:hAnsi="Calibri"/>
                <w:sz w:val="18"/>
                <w:szCs w:val="18"/>
              </w:rPr>
              <w:t xml:space="preserve">“A Meta-Analysis of the Effect of Time Pressure on Human Performance”. Proceedings of the Human Factors and Ergonomics Society Annual Meeting, 52(19), 1513–1516.</w:t>
            </w:r>
          </w:p>
        </w:tc>
        <w:tc>
          <w:tcPr>
            <w:tcW w:type="dxa" w:w="2150"/>
            <w:tcMar>
              <w:top w:type="dxa" w:w="80"/>
              <w:left w:type="dxa" w:w="100"/>
              <w:bottom w:type="dxa" w:w="80"/>
              <w:right w:type="dxa" w:w="100"/>
            </w:tcMar>
          </w:tcPr>
          <w:p>
            <w:pPr>
              <w:spacing w:after="40"/>
            </w:pPr>
            <w:hyperlink w:history="1" r:id="rIdevdu4cg660w1xt68dhi6_">
              <w:r>
                <w:rPr>
                  <w:rStyle w:val="Hyperlink"/>
                  <w:rFonts w:ascii="Calibri" w:cs="Calibri" w:eastAsia="Calibri" w:hAnsi="Calibri"/>
                  <w:sz w:val="16"/>
                  <w:szCs w:val="16"/>
                </w:rPr>
                <w:t xml:space="preserve">doi.org/10.1177/154193120805201944</w:t>
              </w:r>
            </w:hyperlink>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Suporte de CONSTRUTO para D-02: 125 estudos, 827 tamanhos de efeito; pressão de tempo facilita velocidade e prejudica acurácia, com variabilidade substancial — o que justifica tratar ρ como faixa.</w:t>
            </w:r>
          </w:p>
        </w:tc>
        <w:tc>
          <w:tcPr>
            <w:tcW w:type="dxa" w:w="1900"/>
            <w:tcMar>
              <w:top w:type="dxa" w:w="80"/>
              <w:left w:type="dxa" w:w="100"/>
              <w:bottom w:type="dxa" w:w="80"/>
              <w:right w:type="dxa" w:w="100"/>
            </w:tcMar>
          </w:tcPr>
          <w:p>
            <w:pPr>
              <w:spacing w:after="40"/>
            </w:pPr>
            <w:r>
              <w:rPr>
                <w:rFonts w:ascii="Calibri" w:cs="Calibri" w:eastAsia="Calibri" w:hAnsi="Calibri"/>
                <w:b/>
                <w:bCs/>
                <w:color w:val="1E6B3A"/>
                <w:sz w:val="18"/>
                <w:szCs w:val="18"/>
              </w:rPr>
              <w:t xml:space="preserve">TEXTO LIDO</w:t>
            </w:r>
          </w:p>
          <w:p>
            <w:pPr>
              <w:spacing w:after="40"/>
            </w:pPr>
            <w:r>
              <w:rPr>
                <w:rFonts w:ascii="Calibri" w:cs="Calibri" w:eastAsia="Calibri" w:hAnsi="Calibri"/>
                <w:b/>
                <w:bCs/>
                <w:color w:val="9C2B1B"/>
                <w:sz w:val="18"/>
                <w:szCs w:val="18"/>
              </w:rPr>
              <w:t xml:space="preserve">Não usar como fonte de valor</w:t>
            </w:r>
          </w:p>
          <w:p>
            <w:pPr>
              <w:spacing w:after="40"/>
            </w:pPr>
            <w:r>
              <w:rPr>
                <w:rFonts w:ascii="Calibri" w:cs="Calibri" w:eastAsia="Calibri" w:hAnsi="Calibri"/>
                <w:i/>
                <w:iCs/>
                <w:sz w:val="20"/>
                <w:szCs w:val="20"/>
              </w:rPr>
              <w:t xml:space="preserve">É anais de congresso. Suporte conceitual apenas.</w:t>
            </w:r>
          </w:p>
        </w:tc>
      </w:tr>
      <w:tr>
        <w:trPr>
          <w:cantSplit/>
        </w:trPr>
        <w:tc>
          <w:tcPr>
            <w:tcW w:type="dxa" w:w="275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Kim, D. H. </w:t>
            </w:r>
            <w:r>
              <w:rPr>
                <w:rFonts w:ascii="Calibri" w:cs="Calibri" w:eastAsia="Calibri" w:hAnsi="Calibri"/>
                <w:sz w:val="18"/>
                <w:szCs w:val="18"/>
              </w:rPr>
              <w:t xml:space="preserve">Systems Thinking Tools (arquétipos sistêmicos, incluindo Soluções Sintomáticas).</w:t>
            </w:r>
          </w:p>
        </w:tc>
        <w:tc>
          <w:tcPr>
            <w:tcW w:type="dxa" w:w="215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PDF completo nos arquivos do Projeto TCC2.</w:t>
            </w:r>
          </w:p>
        </w:tc>
        <w:tc>
          <w:tcPr>
            <w:tcW w:type="dxa" w:w="29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Definição do arquétipo usada para concluir que a Porta 1 NÃO o instancia (D-04).</w:t>
            </w:r>
          </w:p>
        </w:tc>
        <w:tc>
          <w:tcPr>
            <w:tcW w:type="dxa" w:w="1900"/>
            <w:shd w:fill="F2F2F2" w:color="auto" w:val="clear"/>
            <w:tcMar>
              <w:top w:type="dxa" w:w="80"/>
              <w:left w:type="dxa" w:w="100"/>
              <w:bottom w:type="dxa" w:w="80"/>
              <w:right w:type="dxa" w:w="100"/>
            </w:tcMar>
          </w:tcPr>
          <w:p>
            <w:pPr>
              <w:spacing w:after="40"/>
            </w:pPr>
            <w:r>
              <w:rPr>
                <w:rFonts w:ascii="Calibri" w:cs="Calibri" w:eastAsia="Calibri" w:hAnsi="Calibri"/>
                <w:b/>
                <w:bCs/>
                <w:color w:val="1E6B3A"/>
                <w:sz w:val="18"/>
                <w:szCs w:val="18"/>
              </w:rPr>
              <w:t xml:space="preserve">TEXTO LIDO</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Shepperd, M.; Song, Q.; Sun, Z.; Mair, C. (2013). </w:t>
            </w:r>
            <w:r>
              <w:rPr>
                <w:rFonts w:ascii="Calibri" w:cs="Calibri" w:eastAsia="Calibri" w:hAnsi="Calibri"/>
                <w:sz w:val="18"/>
                <w:szCs w:val="18"/>
              </w:rPr>
              <w:t xml:space="preserve">“Data Quality: Some Comments on the NASA Software Defect Datasets”. IEEE Transactions on Software Engineering, 39(9), 1208–1215.</w:t>
            </w:r>
          </w:p>
        </w:tc>
        <w:tc>
          <w:tcPr>
            <w:tcW w:type="dxa" w:w="2150"/>
            <w:tcMar>
              <w:top w:type="dxa" w:w="80"/>
              <w:left w:type="dxa" w:w="100"/>
              <w:bottom w:type="dxa" w:w="80"/>
              <w:right w:type="dxa" w:w="100"/>
            </w:tcMar>
          </w:tcPr>
          <w:p>
            <w:pPr>
              <w:spacing w:after="40"/>
            </w:pPr>
            <w:hyperlink w:history="1" r:id="rIdv1vt2lzhb5zvprsi7otm9">
              <w:r>
                <w:rPr>
                  <w:rStyle w:val="Hyperlink"/>
                  <w:rFonts w:ascii="Calibri" w:cs="Calibri" w:eastAsia="Calibri" w:hAnsi="Calibri"/>
                  <w:sz w:val="16"/>
                  <w:szCs w:val="16"/>
                </w:rPr>
                <w:t xml:space="preserve">doi.org/10.1109/TSE.2013.11</w:t>
              </w:r>
            </w:hyperlink>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Qualidade dos conjuntos NASA: duplicatas, inconsistências, valores impossíveis; versões limpas publicadas. Obriga a declarar qual versão foi usada (D-06).</w:t>
            </w:r>
          </w:p>
        </w:tc>
        <w:tc>
          <w:tcPr>
            <w:tcW w:type="dxa" w:w="1900"/>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METADADOS CONFERIDOS</w:t>
            </w:r>
          </w:p>
          <w:p>
            <w:pPr>
              <w:spacing w:after="40"/>
            </w:pPr>
            <w:r>
              <w:rPr>
                <w:rFonts w:ascii="Calibri" w:cs="Calibri" w:eastAsia="Calibri" w:hAnsi="Calibri"/>
                <w:i/>
                <w:iCs/>
                <w:sz w:val="20"/>
                <w:szCs w:val="20"/>
              </w:rPr>
              <w:t xml:space="preserve">Conteúdo conhecido pelo uso, mas obter o PDF antes de citar número.</w:t>
            </w:r>
          </w:p>
        </w:tc>
      </w:tr>
      <w:tr>
        <w:trPr>
          <w:cantSplit/>
        </w:trPr>
        <w:tc>
          <w:tcPr>
            <w:tcW w:type="dxa" w:w="275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Wood, R. E. (1986). </w:t>
            </w:r>
            <w:r>
              <w:rPr>
                <w:rFonts w:ascii="Calibri" w:cs="Calibri" w:eastAsia="Calibri" w:hAnsi="Calibri"/>
                <w:sz w:val="18"/>
                <w:szCs w:val="18"/>
              </w:rPr>
              <w:t xml:space="preserve">“Task complexity: Definition of the construct”. Organizational Behavior and Human Decision Processes, 37(1), 60–82.</w:t>
            </w:r>
          </w:p>
        </w:tc>
        <w:tc>
          <w:tcPr>
            <w:tcW w:type="dxa" w:w="2150"/>
            <w:shd w:fill="F2F2F2" w:color="auto" w:val="clear"/>
            <w:tcMar>
              <w:top w:type="dxa" w:w="80"/>
              <w:left w:type="dxa" w:w="100"/>
              <w:bottom w:type="dxa" w:w="80"/>
              <w:right w:type="dxa" w:w="100"/>
            </w:tcMar>
          </w:tcPr>
          <w:p>
            <w:pPr>
              <w:spacing w:after="40"/>
            </w:pPr>
            <w:hyperlink w:history="1" r:id="rIdip0o5l0ngsrrpu50aaebf">
              <w:r>
                <w:rPr>
                  <w:rStyle w:val="Hyperlink"/>
                  <w:rFonts w:ascii="Calibri" w:cs="Calibri" w:eastAsia="Calibri" w:hAnsi="Calibri"/>
                  <w:sz w:val="16"/>
                  <w:szCs w:val="16"/>
                </w:rPr>
                <w:t xml:space="preserve">doi.org/10.1016/0749-5978(86)90044-0</w:t>
              </w:r>
            </w:hyperlink>
          </w:p>
        </w:tc>
        <w:tc>
          <w:tcPr>
            <w:tcW w:type="dxa" w:w="29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Definição de complexidade de tarefa (componente, coordenativa, dinâmica) — base para D-05, isto é, para dizer o que Di NÃO é.</w:t>
            </w:r>
          </w:p>
        </w:tc>
        <w:tc>
          <w:tcPr>
            <w:tcW w:type="dxa" w:w="1900"/>
            <w:shd w:fill="F2F2F2" w:color="auto" w:val="clear"/>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METADADOS CONFERIDOS</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Liu, P.; Li, Z. (2012). </w:t>
            </w:r>
            <w:r>
              <w:rPr>
                <w:rFonts w:ascii="Calibri" w:cs="Calibri" w:eastAsia="Calibri" w:hAnsi="Calibri"/>
                <w:sz w:val="18"/>
                <w:szCs w:val="18"/>
              </w:rPr>
              <w:t xml:space="preserve">“Task complexity: A review and conceptualization framework”. International Journal of Industrial Ergonomics, 42(6), 553–568.</w:t>
            </w:r>
          </w:p>
        </w:tc>
        <w:tc>
          <w:tcPr>
            <w:tcW w:type="dxa" w:w="2150"/>
            <w:tcMar>
              <w:top w:type="dxa" w:w="80"/>
              <w:left w:type="dxa" w:w="100"/>
              <w:bottom w:type="dxa" w:w="80"/>
              <w:right w:type="dxa" w:w="100"/>
            </w:tcMar>
          </w:tcPr>
          <w:p>
            <w:pPr>
              <w:spacing w:after="40"/>
            </w:pPr>
            <w:hyperlink w:history="1" r:id="rIdaubq_csj0flmpake8i58r">
              <w:r>
                <w:rPr>
                  <w:rStyle w:val="Hyperlink"/>
                  <w:rFonts w:ascii="Calibri" w:cs="Calibri" w:eastAsia="Calibri" w:hAnsi="Calibri"/>
                  <w:sz w:val="16"/>
                  <w:szCs w:val="16"/>
                </w:rPr>
                <w:t xml:space="preserve">doi.org/10.1016/j.ergon.2012.09.001</w:t>
              </w:r>
            </w:hyperlink>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Arcabouço de conceitualização de complexidade de tarefa; complementa Wood (1986) em D-05.</w:t>
            </w:r>
          </w:p>
        </w:tc>
        <w:tc>
          <w:tcPr>
            <w:tcW w:type="dxa" w:w="1900"/>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METADADOS CONFERIDOS</w:t>
            </w:r>
          </w:p>
        </w:tc>
      </w:tr>
      <w:tr>
        <w:trPr>
          <w:cantSplit/>
        </w:trPr>
        <w:tc>
          <w:tcPr>
            <w:tcW w:type="dxa" w:w="275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Andrianakis, I. et al. (2015). </w:t>
            </w:r>
            <w:r>
              <w:rPr>
                <w:rFonts w:ascii="Calibri" w:cs="Calibri" w:eastAsia="Calibri" w:hAnsi="Calibri"/>
                <w:sz w:val="18"/>
                <w:szCs w:val="18"/>
              </w:rPr>
              <w:t xml:space="preserve">“Bayesian History Matching of Complex Infectious Disease Models Using Emulation: A Tutorial and a Case Study on HIV in Uganda”. PLoS Computational Biology, 11(1), e1003968.</w:t>
            </w:r>
          </w:p>
        </w:tc>
        <w:tc>
          <w:tcPr>
            <w:tcW w:type="dxa" w:w="2150"/>
            <w:shd w:fill="F2F2F2" w:color="auto" w:val="clear"/>
            <w:tcMar>
              <w:top w:type="dxa" w:w="80"/>
              <w:left w:type="dxa" w:w="100"/>
              <w:bottom w:type="dxa" w:w="80"/>
              <w:right w:type="dxa" w:w="100"/>
            </w:tcMar>
          </w:tcPr>
          <w:p>
            <w:pPr>
              <w:spacing w:after="40"/>
            </w:pPr>
            <w:hyperlink w:history="1" r:id="rIdekkbb4euqf87y5kroc_02">
              <w:r>
                <w:rPr>
                  <w:rStyle w:val="Hyperlink"/>
                  <w:rFonts w:ascii="Calibri" w:cs="Calibri" w:eastAsia="Calibri" w:hAnsi="Calibri"/>
                  <w:sz w:val="16"/>
                  <w:szCs w:val="16"/>
                </w:rPr>
                <w:t xml:space="preserve">doi.org/10.1371/journal.pcbi.1003968</w:t>
              </w:r>
            </w:hyperlink>
          </w:p>
        </w:tc>
        <w:tc>
          <w:tcPr>
            <w:tcW w:type="dxa" w:w="29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Definição de History Matching, implausibilidade e região NROY (D-09). Acesso aberto.</w:t>
            </w:r>
          </w:p>
        </w:tc>
        <w:tc>
          <w:tcPr>
            <w:tcW w:type="dxa" w:w="1900"/>
            <w:shd w:fill="F2F2F2" w:color="auto" w:val="clear"/>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METADADOS CONFERIDOS</w:t>
            </w:r>
          </w:p>
          <w:p>
            <w:pPr>
              <w:spacing w:after="40"/>
            </w:pPr>
            <w:r>
              <w:rPr>
                <w:rFonts w:ascii="Calibri" w:cs="Calibri" w:eastAsia="Calibri" w:hAnsi="Calibri"/>
                <w:i/>
                <w:iCs/>
                <w:sz w:val="20"/>
                <w:szCs w:val="20"/>
              </w:rPr>
              <w:t xml:space="preserve">Acesso aberto — baixar e ler antes de citar a fórmula.</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Pukelsheim, F. (1994). </w:t>
            </w:r>
            <w:r>
              <w:rPr>
                <w:rFonts w:ascii="Calibri" w:cs="Calibri" w:eastAsia="Calibri" w:hAnsi="Calibri"/>
                <w:sz w:val="18"/>
                <w:szCs w:val="18"/>
              </w:rPr>
              <w:t xml:space="preserve">“The Three Sigma Rule”. The American Statistician, 48(2), 88–91.</w:t>
            </w:r>
          </w:p>
        </w:tc>
        <w:tc>
          <w:tcPr>
            <w:tcW w:type="dxa" w:w="2150"/>
            <w:tcMar>
              <w:top w:type="dxa" w:w="80"/>
              <w:left w:type="dxa" w:w="100"/>
              <w:bottom w:type="dxa" w:w="80"/>
              <w:right w:type="dxa" w:w="100"/>
            </w:tcMar>
          </w:tcPr>
          <w:p>
            <w:pPr>
              <w:spacing w:after="40"/>
            </w:pPr>
            <w:hyperlink w:history="1" r:id="rIdobwmlntvnajw_ffyj1b3p">
              <w:r>
                <w:rPr>
                  <w:rStyle w:val="Hyperlink"/>
                  <w:rFonts w:ascii="Calibri" w:cs="Calibri" w:eastAsia="Calibri" w:hAnsi="Calibri"/>
                  <w:sz w:val="16"/>
                  <w:szCs w:val="16"/>
                </w:rPr>
                <w:t xml:space="preserve">doi.org/10.1080/00031305.1994.10476030</w:t>
              </w:r>
            </w:hyperlink>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Justificativa do corte de implausibilidade em 3 (D-09).</w:t>
            </w:r>
          </w:p>
        </w:tc>
        <w:tc>
          <w:tcPr>
            <w:tcW w:type="dxa" w:w="1900"/>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METADADOS CONFERIDOS</w:t>
            </w:r>
          </w:p>
        </w:tc>
      </w:tr>
      <w:tr>
        <w:trPr>
          <w:cantSplit/>
        </w:trPr>
        <w:tc>
          <w:tcPr>
            <w:tcW w:type="dxa" w:w="275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Raue, A. et al. (2009). </w:t>
            </w:r>
            <w:r>
              <w:rPr>
                <w:rFonts w:ascii="Calibri" w:cs="Calibri" w:eastAsia="Calibri" w:hAnsi="Calibri"/>
                <w:sz w:val="18"/>
                <w:szCs w:val="18"/>
              </w:rPr>
              <w:t xml:space="preserve">“Structural and practical identifiability analysis of partially observed dynamical models by exploiting the profile likelihood”. Bioinformatics, 25(15), 1923–1929.</w:t>
            </w:r>
          </w:p>
        </w:tc>
        <w:tc>
          <w:tcPr>
            <w:tcW w:type="dxa" w:w="2150"/>
            <w:shd w:fill="F2F2F2" w:color="auto" w:val="clear"/>
            <w:tcMar>
              <w:top w:type="dxa" w:w="80"/>
              <w:left w:type="dxa" w:w="100"/>
              <w:bottom w:type="dxa" w:w="80"/>
              <w:right w:type="dxa" w:w="100"/>
            </w:tcMar>
          </w:tcPr>
          <w:p>
            <w:pPr>
              <w:spacing w:after="40"/>
            </w:pPr>
            <w:hyperlink w:history="1" r:id="rIdsb1edig3elwoeorybp_ua">
              <w:r>
                <w:rPr>
                  <w:rStyle w:val="Hyperlink"/>
                  <w:rFonts w:ascii="Calibri" w:cs="Calibri" w:eastAsia="Calibri" w:hAnsi="Calibri"/>
                  <w:sz w:val="16"/>
                  <w:szCs w:val="16"/>
                </w:rPr>
                <w:t xml:space="preserve">doi.org/10.1093/bioinformatics/btp358</w:t>
              </w:r>
            </w:hyperlink>
          </w:p>
        </w:tc>
        <w:tc>
          <w:tcPr>
            <w:tcW w:type="dxa" w:w="29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Vocabulário de não identificabilidade estrutural × prática — usado para descrever corretamente o que acontece com F_ancora × f_retrabalho (A-01, D-12).</w:t>
            </w:r>
          </w:p>
        </w:tc>
        <w:tc>
          <w:tcPr>
            <w:tcW w:type="dxa" w:w="1900"/>
            <w:shd w:fill="F2F2F2" w:color="auto" w:val="clear"/>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METADADOS CONFERIDOS</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Grimm, V. et al. (2005). </w:t>
            </w:r>
            <w:r>
              <w:rPr>
                <w:rFonts w:ascii="Calibri" w:cs="Calibri" w:eastAsia="Calibri" w:hAnsi="Calibri"/>
                <w:sz w:val="18"/>
                <w:szCs w:val="18"/>
              </w:rPr>
              <w:t xml:space="preserve">“Pattern-Oriented Modeling of Agent-Based Complex Systems: Lessons from Ecology”. Science, 310(5750), 987–991.</w:t>
            </w:r>
          </w:p>
        </w:tc>
        <w:tc>
          <w:tcPr>
            <w:tcW w:type="dxa" w:w="2150"/>
            <w:tcMar>
              <w:top w:type="dxa" w:w="80"/>
              <w:left w:type="dxa" w:w="100"/>
              <w:bottom w:type="dxa" w:w="80"/>
              <w:right w:type="dxa" w:w="100"/>
            </w:tcMar>
          </w:tcPr>
          <w:p>
            <w:pPr>
              <w:spacing w:after="40"/>
            </w:pPr>
            <w:hyperlink w:history="1" r:id="rIdd3j_qa0pllf7gdngxfvoy">
              <w:r>
                <w:rPr>
                  <w:rStyle w:val="Hyperlink"/>
                  <w:rFonts w:ascii="Calibri" w:cs="Calibri" w:eastAsia="Calibri" w:hAnsi="Calibri"/>
                  <w:sz w:val="16"/>
                  <w:szCs w:val="16"/>
                </w:rPr>
                <w:t xml:space="preserve">doi.org/10.1126/science.1116681</w:t>
              </w:r>
            </w:hyperlink>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Modelagem orientada a padrões como critério de adequação sem calibração numérica (D-12).</w:t>
            </w:r>
          </w:p>
        </w:tc>
        <w:tc>
          <w:tcPr>
            <w:tcW w:type="dxa" w:w="1900"/>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METADADOS CONFERIDOS</w:t>
            </w:r>
          </w:p>
        </w:tc>
      </w:tr>
      <w:tr>
        <w:trPr>
          <w:cantSplit/>
        </w:trPr>
        <w:tc>
          <w:tcPr>
            <w:tcW w:type="dxa" w:w="275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Talts, S.; Betancourt, M.; Simpson, D.; Vehtari, A.; Gelman, A. (2018). </w:t>
            </w:r>
            <w:r>
              <w:rPr>
                <w:rFonts w:ascii="Calibri" w:cs="Calibri" w:eastAsia="Calibri" w:hAnsi="Calibri"/>
                <w:sz w:val="18"/>
                <w:szCs w:val="18"/>
              </w:rPr>
              <w:t xml:space="preserve">“Validating Bayesian Inference Algorithms with Simulation-Based Calibration”. arXiv:1804.06788.</w:t>
            </w:r>
          </w:p>
        </w:tc>
        <w:tc>
          <w:tcPr>
            <w:tcW w:type="dxa" w:w="2150"/>
            <w:shd w:fill="F2F2F2" w:color="auto" w:val="clear"/>
            <w:tcMar>
              <w:top w:type="dxa" w:w="80"/>
              <w:left w:type="dxa" w:w="100"/>
              <w:bottom w:type="dxa" w:w="80"/>
              <w:right w:type="dxa" w:w="100"/>
            </w:tcMar>
          </w:tcPr>
          <w:p>
            <w:pPr>
              <w:spacing w:after="40"/>
            </w:pPr>
            <w:hyperlink w:history="1" r:id="rId-ycc3s-djt_jgqd5gl-bu">
              <w:r>
                <w:rPr>
                  <w:rStyle w:val="Hyperlink"/>
                  <w:rFonts w:ascii="Calibri" w:cs="Calibri" w:eastAsia="Calibri" w:hAnsi="Calibri"/>
                  <w:sz w:val="16"/>
                  <w:szCs w:val="16"/>
                </w:rPr>
                <w:t xml:space="preserve">arxiv.org/abs/1804.06788</w:t>
              </w:r>
            </w:hyperlink>
          </w:p>
        </w:tc>
        <w:tc>
          <w:tcPr>
            <w:tcW w:type="dxa" w:w="29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Calibração baseada em simulação — alternativa metodológica caso a rota bayesiana volte à mesa (D-12).</w:t>
            </w:r>
          </w:p>
        </w:tc>
        <w:tc>
          <w:tcPr>
            <w:tcW w:type="dxa" w:w="1900"/>
            <w:shd w:fill="F2F2F2" w:color="auto" w:val="clear"/>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METADADOS CONFERIDOS</w:t>
            </w:r>
          </w:p>
          <w:p>
            <w:pPr>
              <w:spacing w:after="40"/>
            </w:pPr>
            <w:r>
              <w:rPr>
                <w:rFonts w:ascii="Calibri" w:cs="Calibri" w:eastAsia="Calibri" w:hAnsi="Calibri"/>
                <w:i/>
                <w:iCs/>
                <w:sz w:val="20"/>
                <w:szCs w:val="20"/>
              </w:rPr>
              <w:t xml:space="preserve">Pré-print. Verificar se saiu versão em periódico.</w:t>
            </w:r>
          </w:p>
        </w:tc>
      </w:tr>
    </w:tbl>
    <w:p>
      <w:r>
        <w:br w:type="page"/>
      </w:r>
    </w:p>
    <w:p>
      <w:pPr>
        <w:pStyle w:val="Heading2"/>
        <w:spacing w:after="140" w:before="280"/>
      </w:pPr>
      <w:r>
        <w:rPr>
          <w:rFonts w:ascii="Calibri" w:cs="Calibri" w:eastAsia="Calibri" w:hAnsi="Calibri"/>
          <w:b/>
          <w:bCs/>
          <w:color w:val="5E1B39"/>
          <w:sz w:val="24"/>
          <w:szCs w:val="24"/>
        </w:rPr>
        <w:t xml:space="preserve">2.2 Fontes NÃO verificadas por mim — não citar antes de obter</w:t>
      </w:r>
    </w:p>
    <w:p>
      <w:pPr>
        <w:spacing w:after="120" w:before="0"/>
      </w:pPr>
      <w:r>
        <w:rPr>
          <w:rFonts w:ascii="Calibri" w:cs="Calibri" w:eastAsia="Calibri" w:hAnsi="Calibri"/>
          <w:sz w:val="20"/>
          <w:szCs w:val="20"/>
        </w:rPr>
        <w:t xml:space="preserve">Todas as referências abaixo entraram na discussão por indicação sua, por compilação secundária ou por saída de outra ferramenta. Nenhuma foi conferida na origem por mim. Elas estão aqui para você localizar, baixar e ler — não para serem citadas no estado atual.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50"/>
        <w:gridCol w:w="2150"/>
        <w:gridCol w:w="2900"/>
        <w:gridCol w:w="1900"/>
      </w:tblGrid>
      <w:tr>
        <w:trPr>
          <w:tblHeader/>
        </w:trPr>
        <w:tc>
          <w:tcPr>
            <w:tcW w:type="dxa" w:w="2750"/>
            <w:shd w:fill="7A3550" w:color="auto" w:val="clear"/>
            <w:tcMar>
              <w:top w:type="dxa" w:w="80"/>
              <w:left w:type="dxa" w:w="100"/>
              <w:bottom w:type="dxa" w:w="80"/>
              <w:right w:type="dxa" w:w="100"/>
            </w:tcMar>
          </w:tcPr>
          <w:p>
            <w:r>
              <w:rPr>
                <w:rFonts w:ascii="Calibri" w:cs="Calibri" w:eastAsia="Calibri" w:hAnsi="Calibri"/>
                <w:b/>
                <w:bCs/>
                <w:color w:val="FFFFFF"/>
                <w:sz w:val="18"/>
                <w:szCs w:val="18"/>
              </w:rPr>
              <w:t xml:space="preserve">Fonte</w:t>
            </w:r>
          </w:p>
        </w:tc>
        <w:tc>
          <w:tcPr>
            <w:tcW w:type="dxa" w:w="2150"/>
            <w:shd w:fill="7A3550" w:color="auto" w:val="clear"/>
            <w:tcMar>
              <w:top w:type="dxa" w:w="80"/>
              <w:left w:type="dxa" w:w="100"/>
              <w:bottom w:type="dxa" w:w="80"/>
              <w:right w:type="dxa" w:w="100"/>
            </w:tcMar>
          </w:tcPr>
          <w:p>
            <w:r>
              <w:rPr>
                <w:rFonts w:ascii="Calibri" w:cs="Calibri" w:eastAsia="Calibri" w:hAnsi="Calibri"/>
                <w:b/>
                <w:bCs/>
                <w:color w:val="FFFFFF"/>
                <w:sz w:val="18"/>
                <w:szCs w:val="18"/>
              </w:rPr>
              <w:t xml:space="preserve">Como chegou / onde procurar</w:t>
            </w:r>
          </w:p>
        </w:tc>
        <w:tc>
          <w:tcPr>
            <w:tcW w:type="dxa" w:w="2900"/>
            <w:shd w:fill="7A3550" w:color="auto" w:val="clear"/>
            <w:tcMar>
              <w:top w:type="dxa" w:w="80"/>
              <w:left w:type="dxa" w:w="100"/>
              <w:bottom w:type="dxa" w:w="80"/>
              <w:right w:type="dxa" w:w="100"/>
            </w:tcMar>
          </w:tcPr>
          <w:p>
            <w:r>
              <w:rPr>
                <w:rFonts w:ascii="Calibri" w:cs="Calibri" w:eastAsia="Calibri" w:hAnsi="Calibri"/>
                <w:b/>
                <w:bCs/>
                <w:color w:val="FFFFFF"/>
                <w:sz w:val="18"/>
                <w:szCs w:val="18"/>
              </w:rPr>
              <w:t xml:space="preserve">Para que serviria</w:t>
            </w:r>
          </w:p>
        </w:tc>
        <w:tc>
          <w:tcPr>
            <w:tcW w:type="dxa" w:w="1900"/>
            <w:shd w:fill="7A3550" w:color="auto" w:val="clear"/>
            <w:tcMar>
              <w:top w:type="dxa" w:w="80"/>
              <w:left w:type="dxa" w:w="100"/>
              <w:bottom w:type="dxa" w:w="80"/>
              <w:right w:type="dxa" w:w="100"/>
            </w:tcMar>
          </w:tcPr>
          <w:p>
            <w:r>
              <w:rPr>
                <w:rFonts w:ascii="Calibri" w:cs="Calibri" w:eastAsia="Calibri" w:hAnsi="Calibri"/>
                <w:b/>
                <w:bCs/>
                <w:color w:val="FFFFFF"/>
                <w:sz w:val="18"/>
                <w:szCs w:val="18"/>
              </w:rPr>
              <w:t xml:space="preserve">Alerta</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Compilação CMAA de custo de retrabalho</w:t>
            </w:r>
            <w:r>
              <w:rPr>
                <w:rFonts w:ascii="Calibri" w:cs="Calibri" w:eastAsia="Calibri" w:hAnsi="Calibri"/>
                <w:sz w:val="18"/>
                <w:szCs w:val="18"/>
              </w:rPr>
              <w:t xml:space="preserve"> e seus estudos primários: CII Research Summary 10-1 (1989); Burati, Farrington &amp; Ledbetter (1992); Benchmarking &amp; Metrics Data Report (1997); Love (2002); Hwang, Thomas, Haas &amp; Caldas (2009); CII Research Report 153-11 (2011).</w:t>
            </w:r>
          </w:p>
        </w:tc>
        <w:tc>
          <w:tcPr>
            <w:tcW w:type="dxa" w:w="2150"/>
            <w:tcMar>
              <w:top w:type="dxa" w:w="80"/>
              <w:left w:type="dxa" w:w="100"/>
              <w:bottom w:type="dxa" w:w="80"/>
              <w:right w:type="dxa" w:w="100"/>
            </w:tcMar>
          </w:tcPr>
          <w:p>
            <w:pPr>
              <w:spacing w:after="40"/>
            </w:pPr>
            <w:r>
              <w:rPr>
                <w:rFonts w:ascii="Calibri" w:cs="Calibri" w:eastAsia="Calibri" w:hAnsi="Calibri"/>
                <w:sz w:val="18"/>
                <w:szCs w:val="18"/>
              </w:rPr>
              <w:t xml:space="preserve">Números lidos na compilação secundária da CMAA. Os primários precisam ser obtidos um a um (CII: construction-institute.org; ASCE Library para JCEM).</w:t>
            </w:r>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Restrição externa sobre o produto F_ancora × f_retrabalho (D-07). Mediana direta 4,03%; corrigido 4,03–6,05%; total 7,25–10,89%.</w:t>
            </w:r>
          </w:p>
        </w:tc>
        <w:tc>
          <w:tcPr>
            <w:tcW w:type="dxa" w:w="1900"/>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PRIMÁRIOS NÃO LIDOS</w:t>
            </w:r>
          </w:p>
          <w:p>
            <w:pPr>
              <w:spacing w:after="40"/>
            </w:pPr>
            <w:r>
              <w:rPr>
                <w:rFonts w:ascii="Calibri" w:cs="Calibri" w:eastAsia="Calibri" w:hAnsi="Calibri"/>
                <w:i/>
                <w:iCs/>
                <w:sz w:val="20"/>
                <w:szCs w:val="20"/>
              </w:rPr>
              <w:t xml:space="preserve">Citar a compilação é citar fonte secundária. Para o TCC, obter cada primário.</w:t>
            </w:r>
          </w:p>
        </w:tc>
      </w:tr>
      <w:tr>
        <w:trPr>
          <w:cantSplit/>
        </w:trPr>
        <w:tc>
          <w:tcPr>
            <w:tcW w:type="dxa" w:w="275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Love, P. E. D.; Li, H. (2000). </w:t>
            </w:r>
            <w:r>
              <w:rPr>
                <w:rFonts w:ascii="Calibri" w:cs="Calibri" w:eastAsia="Calibri" w:hAnsi="Calibri"/>
                <w:sz w:val="18"/>
                <w:szCs w:val="18"/>
              </w:rPr>
              <w:t xml:space="preserve">“Quantifying the causes and costs of rework in construction”. Construction Management and Economics, 18(4), 479–490.</w:t>
            </w:r>
          </w:p>
        </w:tc>
        <w:tc>
          <w:tcPr>
            <w:tcW w:type="dxa" w:w="2150"/>
            <w:shd w:fill="F2F2F2" w:color="auto" w:val="clear"/>
            <w:tcMar>
              <w:top w:type="dxa" w:w="80"/>
              <w:left w:type="dxa" w:w="100"/>
              <w:bottom w:type="dxa" w:w="80"/>
              <w:right w:type="dxa" w:w="100"/>
            </w:tcMar>
          </w:tcPr>
          <w:p>
            <w:pPr>
              <w:spacing w:after="40"/>
            </w:pPr>
            <w:hyperlink w:history="1" r:id="rIdimeoaaatjm7yzl82rltuv">
              <w:r>
                <w:rPr>
                  <w:rStyle w:val="Hyperlink"/>
                  <w:rFonts w:ascii="Calibri" w:cs="Calibri" w:eastAsia="Calibri" w:hAnsi="Calibri"/>
                  <w:sz w:val="16"/>
                  <w:szCs w:val="16"/>
                </w:rPr>
                <w:t xml:space="preserve">doi.org/10.1080/01446190050024897</w:t>
              </w:r>
            </w:hyperlink>
          </w:p>
        </w:tc>
        <w:tc>
          <w:tcPr>
            <w:tcW w:type="dxa" w:w="29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Mesma função de D-07: restrição sobre o produto.</w:t>
            </w:r>
          </w:p>
        </w:tc>
        <w:tc>
          <w:tcPr>
            <w:tcW w:type="dxa" w:w="1900"/>
            <w:shd w:fill="F2F2F2" w:color="auto" w:val="clear"/>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METADADOS APENAS</w:t>
            </w:r>
          </w:p>
          <w:p>
            <w:pPr>
              <w:spacing w:after="40"/>
            </w:pPr>
            <w:r>
              <w:rPr>
                <w:rFonts w:ascii="Calibri" w:cs="Calibri" w:eastAsia="Calibri" w:hAnsi="Calibri"/>
                <w:i/>
                <w:iCs/>
                <w:sz w:val="20"/>
                <w:szCs w:val="20"/>
              </w:rPr>
              <w:t xml:space="preserve">Conteúdo não lido.</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HEART — Human Error Assessment and Reduction Technique.</w:t>
            </w:r>
            <w:r>
              <w:rPr>
                <w:rFonts w:ascii="Calibri" w:cs="Calibri" w:eastAsia="Calibri" w:hAnsi="Calibri"/>
                <w:sz w:val="18"/>
                <w:szCs w:val="18"/>
              </w:rPr>
              <w:t xml:space="preserve"> Williams, J. C. (origem, 1986) e consolidações posteriores (Williams &amp; Bell, 2017/2023). Validação: Kirwan, B. et al. (1997).</w:t>
            </w:r>
          </w:p>
        </w:tc>
        <w:tc>
          <w:tcPr>
            <w:tcW w:type="dxa" w:w="2150"/>
            <w:tcMar>
              <w:top w:type="dxa" w:w="80"/>
              <w:left w:type="dxa" w:w="100"/>
              <w:bottom w:type="dxa" w:w="80"/>
              <w:right w:type="dxa" w:w="100"/>
            </w:tcMar>
          </w:tcPr>
          <w:p>
            <w:pPr>
              <w:spacing w:after="40"/>
            </w:pPr>
            <w:r>
              <w:rPr>
                <w:rFonts w:ascii="Calibri" w:cs="Calibri" w:eastAsia="Calibri" w:hAnsi="Calibri"/>
                <w:sz w:val="18"/>
                <w:szCs w:val="18"/>
              </w:rPr>
              <w:t xml:space="preserve">Procurar em Safety and Reliability (Taylor &amp; Francis) e Applied Ergonomics. A tabela de tipos genéricos precisa vir da fonte primária.</w:t>
            </w:r>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Restrição externa sobre F_ancora (D-07). Estrutura: confiabilidade nominal por tipo genérico × multiplicadores de condições produtoras de erro.</w:t>
            </w:r>
          </w:p>
        </w:tc>
        <w:tc>
          <w:tcPr>
            <w:tcW w:type="dxa" w:w="1900"/>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TABELA NÃO VERIFICADA</w:t>
            </w:r>
          </w:p>
          <w:p>
            <w:pPr>
              <w:spacing w:after="40"/>
            </w:pPr>
            <w:r>
              <w:rPr>
                <w:rFonts w:ascii="Calibri" w:cs="Calibri" w:eastAsia="Calibri" w:hAnsi="Calibri"/>
                <w:i/>
                <w:iCs/>
                <w:sz w:val="20"/>
                <w:szCs w:val="20"/>
              </w:rPr>
              <w:t xml:space="preserve">Verifiquei só a ESTRUTURA e alguns multiplicadores (falta de tempo ×11; situação infrequente ×17; sobrecarga de canal ×6) em documento de aplicação, não na fonte primária.</w:t>
            </w:r>
          </w:p>
        </w:tc>
      </w:tr>
      <w:tr>
        <w:trPr>
          <w:cantSplit/>
        </w:trPr>
        <w:tc>
          <w:tcPr>
            <w:tcW w:type="dxa" w:w="275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Boehm, B.; Basili, V. </w:t>
            </w:r>
            <w:r>
              <w:rPr>
                <w:rFonts w:ascii="Calibri" w:cs="Calibri" w:eastAsia="Calibri" w:hAnsi="Calibri"/>
                <w:sz w:val="18"/>
                <w:szCs w:val="18"/>
              </w:rPr>
              <w:t xml:space="preserve">“Software Defect Reduction Top 10 List” (IEEE Computer, 2001) — e a afirmação de 40–50% do esforço de software em retrabalho evitável.</w:t>
            </w:r>
          </w:p>
        </w:tc>
        <w:tc>
          <w:tcPr>
            <w:tcW w:type="dxa" w:w="215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Chegou pela sua contraposição via GPT. Procurar em IEEE Xplore.</w:t>
            </w:r>
          </w:p>
        </w:tc>
        <w:tc>
          <w:tcPr>
            <w:tcW w:type="dxa" w:w="29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Contraponto ao meu exagero sobre os 46% (D-08).</w:t>
            </w:r>
          </w:p>
        </w:tc>
        <w:tc>
          <w:tcPr>
            <w:tcW w:type="dxa" w:w="1900"/>
            <w:shd w:fill="F2F2F2" w:color="auto" w:val="clear"/>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NÃO VERIFICADA</w:t>
            </w:r>
          </w:p>
          <w:p>
            <w:pPr>
              <w:spacing w:after="40"/>
            </w:pPr>
            <w:r>
              <w:rPr>
                <w:rFonts w:ascii="Calibri" w:cs="Calibri" w:eastAsia="Calibri" w:hAnsi="Calibri"/>
                <w:i/>
                <w:iCs/>
                <w:sz w:val="20"/>
                <w:szCs w:val="20"/>
              </w:rPr>
              <w:t xml:space="preserve">Mesmo verificada, reintroduz empréstimo entre domínios. Ver D-08.</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PSPLIB — Kolisch, R.; Sprecher, A. </w:t>
            </w:r>
            <w:r>
              <w:rPr>
                <w:rFonts w:ascii="Calibri" w:cs="Calibri" w:eastAsia="Calibri" w:hAnsi="Calibri"/>
                <w:sz w:val="18"/>
                <w:szCs w:val="18"/>
              </w:rPr>
              <w:t xml:space="preserve">“PSPLIB – A project scheduling problem library”. European Journal of Operational Research (1997).</w:t>
            </w:r>
          </w:p>
        </w:tc>
        <w:tc>
          <w:tcPr>
            <w:tcW w:type="dxa" w:w="2150"/>
            <w:tcMar>
              <w:top w:type="dxa" w:w="80"/>
              <w:left w:type="dxa" w:w="100"/>
              <w:bottom w:type="dxa" w:w="80"/>
              <w:right w:type="dxa" w:w="100"/>
            </w:tcMar>
          </w:tcPr>
          <w:p>
            <w:pPr>
              <w:spacing w:after="40"/>
            </w:pPr>
            <w:hyperlink w:history="1" r:id="rIdj4ktsjojr5tulfagbwcn8">
              <w:r>
                <w:rPr>
                  <w:rStyle w:val="Hyperlink"/>
                  <w:rFonts w:ascii="Calibri" w:cs="Calibri" w:eastAsia="Calibri" w:hAnsi="Calibri"/>
                  <w:sz w:val="16"/>
                  <w:szCs w:val="16"/>
                </w:rPr>
                <w:t xml:space="preserve">Biblioteca PSPLIB (conjuntos J30/J60/J120 e melhores soluções conhecidas)</w:t>
              </w:r>
            </w:hyperlink>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Linha de base viável para tornar atraso_relativo comparável à literatura (D-10).</w:t>
            </w:r>
          </w:p>
        </w:tc>
        <w:tc>
          <w:tcPr>
            <w:tcW w:type="dxa" w:w="1900"/>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CONFERIR NA FONTE</w:t>
            </w:r>
          </w:p>
          <w:p>
            <w:pPr>
              <w:spacing w:after="40"/>
            </w:pPr>
            <w:r>
              <w:rPr>
                <w:rFonts w:ascii="Calibri" w:cs="Calibri" w:eastAsia="Calibri" w:hAnsi="Calibri"/>
                <w:i/>
                <w:iCs/>
                <w:sz w:val="20"/>
                <w:szCs w:val="20"/>
              </w:rPr>
              <w:t xml:space="preserve">A existência de ótimos publicados para J60 é plausível e amplamente sabida, mas não conferida.</w:t>
            </w:r>
          </w:p>
        </w:tc>
      </w:tr>
      <w:tr>
        <w:trPr>
          <w:cantSplit/>
        </w:trPr>
        <w:tc>
          <w:tcPr>
            <w:tcW w:type="dxa" w:w="275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Setayesh et al. (2022); Levine et al. (2024); Zhang et al. (2012); Kam et al. (2025); Love (2026); Zou et al. (2021); Serva et al. (2005); Li et al. (2019); Bjorvatn &amp; Wald (2020); Kalluri (2026).</w:t>
            </w:r>
          </w:p>
        </w:tc>
        <w:tc>
          <w:tcPr>
            <w:tcW w:type="dxa" w:w="215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Lista levantada em busca de literatura de apoio (parte por sua indicação, parte por busca). Identificadores não conferidos.</w:t>
            </w:r>
          </w:p>
        </w:tc>
        <w:tc>
          <w:tcPr>
            <w:tcW w:type="dxa" w:w="29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Candidatas para carga de trabalho, confiança em equipes, complexidade de projeto e retrabalho.</w:t>
            </w:r>
          </w:p>
        </w:tc>
        <w:tc>
          <w:tcPr>
            <w:tcW w:type="dxa" w:w="1900"/>
            <w:shd w:fill="F2F2F2" w:color="auto" w:val="clear"/>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NÃO VERIFICADAS</w:t>
            </w:r>
          </w:p>
          <w:p>
            <w:pPr>
              <w:spacing w:after="40"/>
            </w:pPr>
            <w:r>
              <w:rPr>
                <w:rFonts w:ascii="Calibri" w:cs="Calibri" w:eastAsia="Calibri" w:hAnsi="Calibri"/>
                <w:i/>
                <w:iCs/>
                <w:sz w:val="20"/>
                <w:szCs w:val="20"/>
              </w:rPr>
              <w:t xml:space="preserve">Nenhuma delas deve entrar na monografia no estado atual.</w:t>
            </w:r>
          </w:p>
        </w:tc>
      </w:tr>
      <w:tr>
        <w:trPr>
          <w:cantSplit/>
        </w:trPr>
        <w:tc>
          <w:tcPr>
            <w:tcW w:type="dxa" w:w="2750"/>
            <w:tcMar>
              <w:top w:type="dxa" w:w="80"/>
              <w:left w:type="dxa" w:w="100"/>
              <w:bottom w:type="dxa" w:w="80"/>
              <w:right w:type="dxa" w:w="100"/>
            </w:tcMar>
          </w:tcPr>
          <w:p>
            <w:pPr>
              <w:spacing w:after="40"/>
            </w:pPr>
            <w:r>
              <w:rPr>
                <w:rFonts w:ascii="Calibri" w:cs="Calibri" w:eastAsia="Calibri" w:hAnsi="Calibri"/>
                <w:b/>
                <w:bCs/>
                <w:sz w:val="20"/>
                <w:szCs w:val="20"/>
              </w:rPr>
              <w:t xml:space="preserve">Meta-análise de auditoria (publicação indonésia) e estudo de tarefa de conhecimento de 2025.</w:t>
            </w:r>
          </w:p>
        </w:tc>
        <w:tc>
          <w:tcPr>
            <w:tcW w:type="dxa" w:w="2150"/>
            <w:tcMar>
              <w:top w:type="dxa" w:w="80"/>
              <w:left w:type="dxa" w:w="100"/>
              <w:bottom w:type="dxa" w:w="80"/>
              <w:right w:type="dxa" w:w="100"/>
            </w:tcMar>
          </w:tcPr>
          <w:p>
            <w:pPr>
              <w:spacing w:after="40"/>
            </w:pPr>
            <w:r>
              <w:rPr>
                <w:rFonts w:ascii="Calibri" w:cs="Calibri" w:eastAsia="Calibri" w:hAnsi="Calibri"/>
                <w:sz w:val="18"/>
                <w:szCs w:val="18"/>
              </w:rPr>
              <w:t xml:space="preserve">Chegaram por busca de literatura de humanas.</w:t>
            </w:r>
          </w:p>
        </w:tc>
        <w:tc>
          <w:tcPr>
            <w:tcW w:type="dxa" w:w="2900"/>
            <w:tcMar>
              <w:top w:type="dxa" w:w="80"/>
              <w:left w:type="dxa" w:w="100"/>
              <w:bottom w:type="dxa" w:w="80"/>
              <w:right w:type="dxa" w:w="100"/>
            </w:tcMar>
          </w:tcPr>
          <w:p>
            <w:pPr>
              <w:spacing w:after="40"/>
            </w:pPr>
            <w:r>
              <w:rPr>
                <w:rFonts w:ascii="Calibri" w:cs="Calibri" w:eastAsia="Calibri" w:hAnsi="Calibri"/>
                <w:sz w:val="18"/>
                <w:szCs w:val="18"/>
              </w:rPr>
              <w:t xml:space="preserve">Tentativa de cobrir P(heurístico | pressão, dificuldade).</w:t>
            </w:r>
          </w:p>
        </w:tc>
        <w:tc>
          <w:tcPr>
            <w:tcW w:type="dxa" w:w="1900"/>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DESACONSELHADAS</w:t>
            </w:r>
          </w:p>
          <w:p>
            <w:pPr>
              <w:spacing w:after="40"/>
            </w:pPr>
            <w:r>
              <w:rPr>
                <w:rFonts w:ascii="Calibri" w:cs="Calibri" w:eastAsia="Calibri" w:hAnsi="Calibri"/>
                <w:i/>
                <w:iCs/>
                <w:sz w:val="20"/>
                <w:szCs w:val="20"/>
              </w:rPr>
              <w:t xml:space="preserve">Veículo de baixa confiabilidade editorial. Sugestão de substituto para o mesmo construto: Soobaroyen (2006), International Journal of Auditing.</w:t>
            </w:r>
          </w:p>
        </w:tc>
      </w:tr>
    </w:tbl>
    <w:p>
      <w:r>
        <w:br w:type="page"/>
      </w:r>
    </w:p>
    <w:p>
      <w:pPr>
        <w:pStyle w:val="Heading1"/>
        <w:spacing w:after="200" w:before="360"/>
      </w:pPr>
      <w:r>
        <w:rPr>
          <w:rFonts w:ascii="Calibri" w:cs="Calibri" w:eastAsia="Calibri" w:hAnsi="Calibri"/>
          <w:b/>
          <w:bCs/>
          <w:color w:val="9B2C5E"/>
          <w:sz w:val="30"/>
          <w:szCs w:val="30"/>
        </w:rPr>
        <w:t xml:space="preserve">3. Achados da revisão independente</w:t>
      </w:r>
    </w:p>
    <w:p>
      <w:pPr>
        <w:spacing w:after="120" w:before="0"/>
      </w:pPr>
      <w:r>
        <w:rPr>
          <w:rFonts w:ascii="Calibri" w:cs="Calibri" w:eastAsia="Calibri" w:hAnsi="Calibri"/>
          <w:sz w:val="20"/>
          <w:szCs w:val="20"/>
        </w:rPr>
        <w:t xml:space="preserve">Verificações feitas por recomputação própria sobre o código e as saídas — não por aceitação do que foi reportado. Todo item abaixo foi reproduzido independentemente.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3000"/>
      </w:tblGrid>
      <w:tr>
        <w:trPr>
          <w:tblHeader/>
        </w:trPr>
        <w:tc>
          <w:tcPr>
            <w:tcW w:type="dxa" w:w="2400"/>
            <w:shd w:fill="5E1B39" w:color="auto" w:val="clear"/>
            <w:tcMar>
              <w:top w:type="dxa" w:w="80"/>
              <w:left w:type="dxa" w:w="100"/>
              <w:bottom w:type="dxa" w:w="80"/>
              <w:right w:type="dxa" w:w="100"/>
            </w:tcMar>
          </w:tcPr>
          <w:p>
            <w:r>
              <w:rPr>
                <w:rFonts w:ascii="Calibri" w:cs="Calibri" w:eastAsia="Calibri" w:hAnsi="Calibri"/>
                <w:b/>
                <w:bCs/>
                <w:color w:val="FFFFFF"/>
                <w:sz w:val="18"/>
                <w:szCs w:val="18"/>
              </w:rPr>
              <w:t xml:space="preserve">Achado</w:t>
            </w:r>
          </w:p>
        </w:tc>
        <w:tc>
          <w:tcPr>
            <w:tcW w:type="dxa" w:w="4300"/>
            <w:shd w:fill="5E1B39" w:color="auto" w:val="clear"/>
            <w:tcMar>
              <w:top w:type="dxa" w:w="80"/>
              <w:left w:type="dxa" w:w="100"/>
              <w:bottom w:type="dxa" w:w="80"/>
              <w:right w:type="dxa" w:w="100"/>
            </w:tcMar>
          </w:tcPr>
          <w:p>
            <w:r>
              <w:rPr>
                <w:rFonts w:ascii="Calibri" w:cs="Calibri" w:eastAsia="Calibri" w:hAnsi="Calibri"/>
                <w:b/>
                <w:bCs/>
                <w:color w:val="FFFFFF"/>
                <w:sz w:val="18"/>
                <w:szCs w:val="18"/>
              </w:rPr>
              <w:t xml:space="preserve">Evidência (recomputada)</w:t>
            </w:r>
          </w:p>
        </w:tc>
        <w:tc>
          <w:tcPr>
            <w:tcW w:type="dxa" w:w="3000"/>
            <w:shd w:fill="5E1B39" w:color="auto" w:val="clear"/>
            <w:tcMar>
              <w:top w:type="dxa" w:w="80"/>
              <w:left w:type="dxa" w:w="100"/>
              <w:bottom w:type="dxa" w:w="80"/>
              <w:right w:type="dxa" w:w="100"/>
            </w:tcMar>
          </w:tcPr>
          <w:p>
            <w:r>
              <w:rPr>
                <w:rFonts w:ascii="Calibri" w:cs="Calibri" w:eastAsia="Calibri" w:hAnsi="Calibri"/>
                <w:b/>
                <w:bCs/>
                <w:color w:val="FFFFFF"/>
                <w:sz w:val="18"/>
                <w:szCs w:val="18"/>
              </w:rPr>
              <w:t xml:space="preserve">Estado</w:t>
            </w:r>
          </w:p>
        </w:tc>
      </w:tr>
      <w:tr>
        <w:trPr>
          <w:cantSplit/>
        </w:trPr>
        <w:tc>
          <w:tcPr>
            <w:tcW w:type="dxa" w:w="2400"/>
            <w:tcMar>
              <w:top w:type="dxa" w:w="80"/>
              <w:left w:type="dxa" w:w="100"/>
              <w:bottom w:type="dxa" w:w="80"/>
              <w:right w:type="dxa" w:w="100"/>
            </w:tcMar>
          </w:tcPr>
          <w:p>
            <w:pPr>
              <w:spacing w:after="40"/>
            </w:pPr>
            <w:r>
              <w:rPr>
                <w:rFonts w:ascii="Calibri" w:cs="Calibri" w:eastAsia="Calibri" w:hAnsi="Calibri"/>
                <w:b/>
                <w:bCs/>
                <w:sz w:val="20"/>
                <w:szCs w:val="20"/>
              </w:rPr>
              <w:t xml:space="preserve">A-01 · CRÍTICO — Confusão de F_ancora com f_retrabalho</w:t>
            </w:r>
          </w:p>
        </w:tc>
        <w:tc>
          <w:tcPr>
            <w:tcW w:type="dxa" w:w="4300"/>
            <w:tcMar>
              <w:top w:type="dxa" w:w="80"/>
              <w:left w:type="dxa" w:w="100"/>
              <w:bottom w:type="dxa" w:w="80"/>
              <w:right w:type="dxa" w:w="100"/>
            </w:tcMar>
          </w:tcPr>
          <w:p>
            <w:pPr>
              <w:spacing w:after="40"/>
            </w:pPr>
            <w:r>
              <w:rPr>
                <w:rFonts w:ascii="Calibri" w:cs="Calibri" w:eastAsia="Calibri" w:hAnsi="Calibri"/>
                <w:sz w:val="18"/>
                <w:szCs w:val="18"/>
              </w:rPr>
              <w:t xml:space="preserve">Os observáveis agregados enxergam apenas o produto F_ancora × f_retrabalho; nenhum canal separa os fatores. Correlações medidas: taxa_omissao × F_ancora, r = 0,950; taxa_omissao × f_retrabalho, r = 0,022.</w:t>
            </w:r>
          </w:p>
        </w:tc>
        <w:tc>
          <w:tcPr>
            <w:tcW w:type="dxa" w:w="3000"/>
            <w:tcMar>
              <w:top w:type="dxa" w:w="80"/>
              <w:left w:type="dxa" w:w="100"/>
              <w:bottom w:type="dxa" w:w="80"/>
              <w:right w:type="dxa" w:w="100"/>
            </w:tcMar>
          </w:tcPr>
          <w:p>
            <w:pPr>
              <w:spacing w:after="40"/>
            </w:pPr>
            <w:r>
              <w:rPr>
                <w:rFonts w:ascii="Calibri" w:cs="Calibri" w:eastAsia="Calibri" w:hAnsi="Calibri"/>
                <w:sz w:val="18"/>
                <w:szCs w:val="18"/>
              </w:rPr>
              <w:t xml:space="preserve">Aberto. Rota de solução: ancoragem externa (D-07).</w:t>
            </w:r>
          </w:p>
        </w:tc>
      </w:tr>
      <w:tr>
        <w:trPr>
          <w:cantSplit/>
        </w:trPr>
        <w:tc>
          <w:tcPr>
            <w:tcW w:type="dxa" w:w="240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A-02 · CRÍTICO — O NROY esvazia, não estreita</w:t>
            </w:r>
          </w:p>
        </w:tc>
        <w:tc>
          <w:tcPr>
            <w:tcW w:type="dxa" w:w="43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Piloto de fronteira em K = 64: 4 de 4 pontos do NROY legado são rejeitados. V_obs responde por 74–86% do denominador; I(vetor verdadeiro) → 3,594 em atraso_relativo no limite — o alvo verdadeiro seria rejeitado.</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Aberto. Minha previsão quantitativa anterior (larguras a 60%/42%) foi RETIRADA — era conservadora. Ver R-03.</w:t>
            </w:r>
          </w:p>
        </w:tc>
      </w:tr>
      <w:tr>
        <w:trPr>
          <w:cantSplit/>
        </w:trPr>
        <w:tc>
          <w:tcPr>
            <w:tcW w:type="dxa" w:w="2400"/>
            <w:tcMar>
              <w:top w:type="dxa" w:w="80"/>
              <w:left w:type="dxa" w:w="100"/>
              <w:bottom w:type="dxa" w:w="80"/>
              <w:right w:type="dxa" w:w="100"/>
            </w:tcMar>
          </w:tcPr>
          <w:p>
            <w:pPr>
              <w:spacing w:after="40"/>
            </w:pPr>
            <w:r>
              <w:rPr>
                <w:rFonts w:ascii="Calibri" w:cs="Calibri" w:eastAsia="Calibri" w:hAnsi="Calibri"/>
                <w:b/>
                <w:bCs/>
                <w:sz w:val="20"/>
                <w:szCs w:val="20"/>
              </w:rPr>
              <w:t xml:space="preserve">A-03 · CRÍTICO — μ_cognitivo não depende da porta</w:t>
            </w:r>
          </w:p>
        </w:tc>
        <w:tc>
          <w:tcPr>
            <w:tcW w:type="dxa" w:w="4300"/>
            <w:tcMar>
              <w:top w:type="dxa" w:w="80"/>
              <w:left w:type="dxa" w:w="100"/>
              <w:bottom w:type="dxa" w:w="80"/>
              <w:right w:type="dxa" w:w="100"/>
            </w:tcMar>
          </w:tcPr>
          <w:p>
            <w:pPr>
              <w:spacing w:after="40"/>
            </w:pPr>
            <w:r>
              <w:rPr>
                <w:rFonts w:ascii="Calibri" w:cs="Calibri" w:eastAsia="Calibri" w:hAnsi="Calibri"/>
                <w:sz w:val="18"/>
                <w:szCs w:val="18"/>
              </w:rPr>
              <w:t xml:space="preserve">Em simulador.py, multiplicadores() devolve (fuzzy(fadiga,P), fuzzy(desconfiança,carga)) e é chamado ANTES do sorteio da porta (linha 456; sorteio na 460). O docstring das linhas 29–30 afirma o contrário. Os coeficientes k_heuristico = 0,10 e k_analitico = 0,04 não chegam a atuar.</w:t>
            </w:r>
          </w:p>
        </w:tc>
        <w:tc>
          <w:tcPr>
            <w:tcW w:type="dxa" w:w="3000"/>
            <w:tcMar>
              <w:top w:type="dxa" w:w="80"/>
              <w:left w:type="dxa" w:w="100"/>
              <w:bottom w:type="dxa" w:w="80"/>
              <w:right w:type="dxa" w:w="100"/>
            </w:tcMar>
          </w:tcPr>
          <w:p>
            <w:pPr>
              <w:spacing w:after="40"/>
            </w:pPr>
            <w:r>
              <w:rPr>
                <w:rFonts w:ascii="Calibri" w:cs="Calibri" w:eastAsia="Calibri" w:hAnsi="Calibri"/>
                <w:sz w:val="18"/>
                <w:szCs w:val="18"/>
              </w:rPr>
              <w:t xml:space="preserve">Aberto no legado. Metade de qualidade da Porta 1 ausente também no MVP.</w:t>
            </w:r>
          </w:p>
        </w:tc>
      </w:tr>
      <w:tr>
        <w:trPr>
          <w:cantSplit/>
        </w:trPr>
        <w:tc>
          <w:tcPr>
            <w:tcW w:type="dxa" w:w="240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A-04 · CRÍTICO — Teste do gêmeo idêntico inválido</w:t>
            </w:r>
          </w:p>
        </w:tc>
        <w:tc>
          <w:tcPr>
            <w:tcW w:type="dxa" w:w="43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Em 04_gemeo_identico.py, rng_desenho = default_rng(20260905) é re-semeado a cada invocação, então o desenho da onda 2 é imagem afim exata do da onda 1 — max |u₁ − u₂| = 1,22 × 10⁻¹⁵. O script imprimia “as ondas CONVERGIRAM” incondicionalmente.</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Confirmado e retratado pelo autor (Codex).</w:t>
            </w:r>
          </w:p>
        </w:tc>
      </w:tr>
      <w:tr>
        <w:trPr>
          <w:cantSplit/>
        </w:trPr>
        <w:tc>
          <w:tcPr>
            <w:tcW w:type="dxa" w:w="2400"/>
            <w:tcMar>
              <w:top w:type="dxa" w:w="80"/>
              <w:left w:type="dxa" w:w="100"/>
              <w:bottom w:type="dxa" w:w="80"/>
              <w:right w:type="dxa" w:w="100"/>
            </w:tcMar>
          </w:tcPr>
          <w:p>
            <w:pPr>
              <w:spacing w:after="40"/>
            </w:pPr>
            <w:r>
              <w:rPr>
                <w:rFonts w:ascii="Calibri" w:cs="Calibri" w:eastAsia="Calibri" w:hAnsi="Calibri"/>
                <w:b/>
                <w:bCs/>
                <w:sz w:val="20"/>
                <w:szCs w:val="20"/>
              </w:rPr>
              <w:t xml:space="preserve">A-05 · GRAVE — Porta de confiança degenerada</w:t>
            </w:r>
          </w:p>
        </w:tc>
        <w:tc>
          <w:tcPr>
            <w:tcW w:type="dxa" w:w="4300"/>
            <w:tcMar>
              <w:top w:type="dxa" w:w="80"/>
              <w:left w:type="dxa" w:w="100"/>
              <w:bottom w:type="dxa" w:w="80"/>
              <w:right w:type="dxa" w:w="100"/>
            </w:tcMar>
          </w:tcPr>
          <w:p>
            <w:pPr>
              <w:spacing w:after="40"/>
            </w:pPr>
            <w:r>
              <w:rPr>
                <w:rFonts w:ascii="Calibri" w:cs="Calibri" w:eastAsia="Calibri" w:hAnsi="Calibri"/>
                <w:sz w:val="18"/>
                <w:szCs w:val="18"/>
              </w:rPr>
              <w:t xml:space="preserve">Arranjo centralizado: 0,25 &gt; 0,60 é sempre falso. Arranjo adaptativo: 0,80 &gt; 0,25 é sempre verdadeiro. A porta nunca decide nada. Agravante: τ alimenta simultaneamente a porta e a entrada fuzzy (desconfianca = 1 − confianca), confundindo os dois canais.</w:t>
            </w:r>
          </w:p>
        </w:tc>
        <w:tc>
          <w:tcPr>
            <w:tcW w:type="dxa" w:w="3000"/>
            <w:tcMar>
              <w:top w:type="dxa" w:w="80"/>
              <w:left w:type="dxa" w:w="100"/>
              <w:bottom w:type="dxa" w:w="80"/>
              <w:right w:type="dxa" w:w="100"/>
            </w:tcMar>
          </w:tcPr>
          <w:p>
            <w:pPr>
              <w:spacing w:after="40"/>
            </w:pPr>
            <w:r>
              <w:rPr>
                <w:rFonts w:ascii="Calibri" w:cs="Calibri" w:eastAsia="Calibri" w:hAnsi="Calibri"/>
                <w:sz w:val="18"/>
                <w:szCs w:val="18"/>
              </w:rPr>
              <w:t xml:space="preserve">Decomposição 2×2 feita: TL porta +10,60 / rede 0,00 exato; TW porta −27,27 / rede −110,23; atraso porta −0,3085 / rede −0,3180; E_total com sinais opostos.</w:t>
            </w:r>
          </w:p>
        </w:tc>
      </w:tr>
      <w:tr>
        <w:trPr>
          <w:cantSplit/>
        </w:trPr>
        <w:tc>
          <w:tcPr>
            <w:tcW w:type="dxa" w:w="240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A-06 · GRAVE — atraso_relativo domina a implausibilidade sem carregar informação</w:t>
            </w:r>
          </w:p>
        </w:tc>
        <w:tc>
          <w:tcPr>
            <w:tcW w:type="dxa" w:w="43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atraso_relativo é o observável de máximo em 205 de 400 pontos, carregando |r| ≈ 0,01 com os parâmetros em disputa. Ele governa a rejeição sem informar sobre os parâmetros.</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Ligado a D-10 (linha de base errada).</w:t>
            </w:r>
          </w:p>
        </w:tc>
      </w:tr>
      <w:tr>
        <w:trPr>
          <w:cantSplit/>
        </w:trPr>
        <w:tc>
          <w:tcPr>
            <w:tcW w:type="dxa" w:w="2400"/>
            <w:tcMar>
              <w:top w:type="dxa" w:w="80"/>
              <w:left w:type="dxa" w:w="100"/>
              <w:bottom w:type="dxa" w:w="80"/>
              <w:right w:type="dxa" w:w="100"/>
            </w:tcMar>
          </w:tcPr>
          <w:p>
            <w:pPr>
              <w:spacing w:after="40"/>
            </w:pPr>
            <w:r>
              <w:rPr>
                <w:rFonts w:ascii="Calibri" w:cs="Calibri" w:eastAsia="Calibri" w:hAnsi="Calibri"/>
                <w:b/>
                <w:bCs/>
                <w:sz w:val="20"/>
                <w:szCs w:val="20"/>
              </w:rPr>
              <w:t xml:space="preserve">A-07 · GRAVE — MVP efd81b7: bloqueio contado como recusa</w:t>
            </w:r>
          </w:p>
        </w:tc>
        <w:tc>
          <w:tcPr>
            <w:tcW w:type="dxa" w:w="4300"/>
            <w:tcMar>
              <w:top w:type="dxa" w:w="80"/>
              <w:left w:type="dxa" w:w="100"/>
              <w:bottom w:type="dxa" w:w="80"/>
              <w:right w:type="dxa" w:w="100"/>
            </w:tcMar>
          </w:tcPr>
          <w:p>
            <w:pPr>
              <w:spacing w:after="40"/>
            </w:pPr>
            <w:r>
              <w:rPr>
                <w:rFonts w:ascii="Calibri" w:cs="Calibri" w:eastAsia="Calibri" w:hAnsi="Calibri"/>
                <w:sz w:val="18"/>
                <w:szCs w:val="18"/>
              </w:rPr>
              <w:t xml:space="preserve">No ramo else, self.cnt['p2_bloqueio'] += 1 e, se houver capazes, eventos_tau.append((a, False)) — registrando o bloqueio como recusa E imputando-o ao solicitante, não a quem bloqueou.</w:t>
            </w:r>
          </w:p>
        </w:tc>
        <w:tc>
          <w:tcPr>
            <w:tcW w:type="dxa" w:w="3000"/>
            <w:tcMar>
              <w:top w:type="dxa" w:w="80"/>
              <w:left w:type="dxa" w:w="100"/>
              <w:bottom w:type="dxa" w:w="80"/>
              <w:right w:type="dxa" w:w="100"/>
            </w:tcMar>
          </w:tcPr>
          <w:p>
            <w:pPr>
              <w:spacing w:after="40"/>
            </w:pPr>
            <w:r>
              <w:rPr>
                <w:rFonts w:ascii="Calibri" w:cs="Calibri" w:eastAsia="Calibri" w:hAnsi="Calibri"/>
                <w:sz w:val="18"/>
                <w:szCs w:val="18"/>
              </w:rPr>
              <w:t xml:space="preserve">Reportado ao autor. Corrige-se junto com D-01 (três contadores separados).</w:t>
            </w:r>
          </w:p>
        </w:tc>
      </w:tr>
      <w:tr>
        <w:trPr>
          <w:cantSplit/>
        </w:trPr>
        <w:tc>
          <w:tcPr>
            <w:tcW w:type="dxa" w:w="240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A-08 · GRAVE — MVP sem controle de identidade bit a bit</w:t>
            </w:r>
          </w:p>
        </w:tc>
        <w:tc>
          <w:tcPr>
            <w:tcW w:type="dxa" w:w="43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executar() foi reimplementado em simulador_mvp.py (225 linhas novas) sem nenhum teste que demonstre reprodução idêntica do legado sob as opções neutras. Sem isso, não se sabe se as diferenças observadas vêm das mudanças pretendidas ou de efeitos colaterais.</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Primeiro item da fila do Codex.</w:t>
            </w:r>
          </w:p>
        </w:tc>
      </w:tr>
      <w:tr>
        <w:trPr>
          <w:cantSplit/>
        </w:trPr>
        <w:tc>
          <w:tcPr>
            <w:tcW w:type="dxa" w:w="2400"/>
            <w:tcMar>
              <w:top w:type="dxa" w:w="80"/>
              <w:left w:type="dxa" w:w="100"/>
              <w:bottom w:type="dxa" w:w="80"/>
              <w:right w:type="dxa" w:w="100"/>
            </w:tcMar>
          </w:tcPr>
          <w:p>
            <w:pPr>
              <w:spacing w:after="40"/>
            </w:pPr>
            <w:r>
              <w:rPr>
                <w:rFonts w:ascii="Calibri" w:cs="Calibri" w:eastAsia="Calibri" w:hAnsi="Calibri"/>
                <w:b/>
                <w:bCs/>
                <w:sz w:val="20"/>
                <w:szCs w:val="20"/>
              </w:rPr>
              <w:t xml:space="preserve">A-09 · NOTA — O que o MVP acertou</w:t>
            </w:r>
          </w:p>
        </w:tc>
        <w:tc>
          <w:tcPr>
            <w:tcW w:type="dxa" w:w="4300"/>
            <w:tcMar>
              <w:top w:type="dxa" w:w="80"/>
              <w:left w:type="dxa" w:w="100"/>
              <w:bottom w:type="dxa" w:w="80"/>
              <w:right w:type="dxa" w:w="100"/>
            </w:tcMar>
          </w:tcPr>
          <w:p>
            <w:pPr>
              <w:spacing w:after="40"/>
            </w:pPr>
            <w:r>
              <w:rPr>
                <w:rFonts w:ascii="Calibri" w:cs="Calibri" w:eastAsia="Calibri" w:hAnsi="Calibri"/>
                <w:sz w:val="18"/>
                <w:szCs w:val="18"/>
              </w:rPr>
              <w:t xml:space="preserve">A fila de retrabalho (C1) está bem feita: ocupa agente e recurso e mantém invariante de conservação em tempo de execução. Legado e main não foram tocados.</w:t>
            </w:r>
          </w:p>
        </w:tc>
        <w:tc>
          <w:tcPr>
            <w:tcW w:type="dxa" w:w="3000"/>
            <w:tcMar>
              <w:top w:type="dxa" w:w="80"/>
              <w:left w:type="dxa" w:w="100"/>
              <w:bottom w:type="dxa" w:w="80"/>
              <w:right w:type="dxa" w:w="100"/>
            </w:tcMar>
          </w:tcPr>
          <w:p>
            <w:pPr>
              <w:spacing w:after="40"/>
            </w:pPr>
            <w:r>
              <w:rPr>
                <w:rFonts w:ascii="Calibri" w:cs="Calibri" w:eastAsia="Calibri" w:hAnsi="Calibri"/>
                <w:sz w:val="18"/>
                <w:szCs w:val="18"/>
              </w:rPr>
              <w:t xml:space="preserve">Registrado como crédito.</w:t>
            </w:r>
          </w:p>
        </w:tc>
      </w:tr>
      <w:tr>
        <w:trPr>
          <w:cantSplit/>
        </w:trPr>
        <w:tc>
          <w:tcPr>
            <w:tcW w:type="dxa" w:w="2400"/>
            <w:shd w:fill="F2F2F2" w:color="auto" w:val="clear"/>
            <w:tcMar>
              <w:top w:type="dxa" w:w="80"/>
              <w:left w:type="dxa" w:w="100"/>
              <w:bottom w:type="dxa" w:w="80"/>
              <w:right w:type="dxa" w:w="100"/>
            </w:tcMar>
          </w:tcPr>
          <w:p>
            <w:pPr>
              <w:spacing w:after="40"/>
            </w:pPr>
            <w:r>
              <w:rPr>
                <w:rFonts w:ascii="Calibri" w:cs="Calibri" w:eastAsia="Calibri" w:hAnsi="Calibri"/>
                <w:b/>
                <w:bCs/>
                <w:sz w:val="20"/>
                <w:szCs w:val="20"/>
              </w:rPr>
              <w:t xml:space="preserve">A-10 · NOTA — Di não mede o que o nome dizia</w:t>
            </w:r>
          </w:p>
        </w:tc>
        <w:tc>
          <w:tcPr>
            <w:tcW w:type="dxa" w:w="43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Di dominado por duracao_norm (r = +0,710). criticidade_sucessores tem r = +0,068 e não aparece na fórmula. Contra o conteúdo de trabalho WC: Pearson +0,647, mas concordância de faixa de apenas 49,7%.</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sz w:val="18"/>
                <w:szCs w:val="18"/>
              </w:rPr>
              <w:t xml:space="preserve">Resolvido por D-05 (renomeação + redescrição).</w:t>
            </w:r>
          </w:p>
        </w:tc>
      </w:tr>
    </w:tbl>
    <w:p>
      <w:r>
        <w:br w:type="page"/>
      </w:r>
    </w:p>
    <w:p>
      <w:pPr>
        <w:pStyle w:val="Heading1"/>
        <w:spacing w:after="200" w:before="360"/>
      </w:pPr>
      <w:r>
        <w:rPr>
          <w:rFonts w:ascii="Calibri" w:cs="Calibri" w:eastAsia="Calibri" w:hAnsi="Calibri"/>
          <w:b/>
          <w:bCs/>
          <w:color w:val="9B2C5E"/>
          <w:sz w:val="30"/>
          <w:szCs w:val="30"/>
        </w:rPr>
        <w:t xml:space="preserve">4. Retratações do revisor</w:t>
      </w:r>
    </w:p>
    <w:p>
      <w:pPr>
        <w:spacing w:after="120" w:before="0"/>
      </w:pPr>
      <w:r>
        <w:rPr>
          <w:rFonts w:ascii="Calibri" w:cs="Calibri" w:eastAsia="Calibri" w:hAnsi="Calibri"/>
          <w:sz w:val="20"/>
          <w:szCs w:val="20"/>
        </w:rPr>
        <w:t xml:space="preserve">Afirmações que eu fiz e depois tive de retirar. Ficam registradas em vez de apagadas, porque uma afirmação retirada pode ter circulado antes da retirada — e porque saber onde o revisor errou é informação sobre o quanto confiar no resto.</w:t>
      </w:r>
    </w:p>
    <w:p>
      <w:pPr>
        <w:pStyle w:val="Heading3"/>
        <w:spacing w:after="100" w:before="220"/>
      </w:pPr>
      <w:r>
        <w:rPr>
          <w:rFonts w:ascii="Calibri" w:cs="Calibri" w:eastAsia="Calibri" w:hAnsi="Calibri"/>
          <w:b/>
          <w:bCs/>
          <w:color w:val="333333"/>
          <w:sz w:val="21"/>
          <w:szCs w:val="21"/>
        </w:rPr>
        <w:t xml:space="preserve">R-01 — f_atalho ≈ 0,87 derivado do estudo de leitura</w:t>
      </w:r>
    </w:p>
    <w:p>
      <w:pPr>
        <w:spacing w:after="90"/>
        <w:ind w:left="200"/>
      </w:pPr>
      <w:r>
        <w:rPr>
          <w:rFonts w:ascii="Calibri" w:cs="Calibri" w:eastAsia="Calibri" w:hAnsi="Calibri"/>
          <w:b/>
          <w:bCs/>
          <w:color w:val="9B2C5E"/>
          <w:sz w:val="20"/>
          <w:szCs w:val="20"/>
        </w:rPr>
        <w:t xml:space="preserve">O que eu disse:  </w:t>
      </w:r>
      <w:r>
        <w:rPr>
          <w:rFonts w:ascii="Calibri" w:cs="Calibri" w:eastAsia="Calibri" w:hAnsi="Calibri"/>
          <w:sz w:val="20"/>
          <w:szCs w:val="20"/>
        </w:rPr>
        <w:t xml:space="preserve">que o estudo de leitura sob restrição de tempo permitia estimar o fator de encurtamento de duração da heurística em cerca de 0,87.</w:t>
      </w:r>
    </w:p>
    <w:p>
      <w:pPr>
        <w:spacing w:after="90"/>
        <w:ind w:left="200"/>
      </w:pPr>
      <w:r>
        <w:rPr>
          <w:rFonts w:ascii="Calibri" w:cs="Calibri" w:eastAsia="Calibri" w:hAnsi="Calibri"/>
          <w:b/>
          <w:bCs/>
          <w:color w:val="9B2C5E"/>
          <w:sz w:val="20"/>
          <w:szCs w:val="20"/>
        </w:rPr>
        <w:t xml:space="preserve">Por que está errado:  </w:t>
      </w:r>
      <w:r>
        <w:rPr>
          <w:rFonts w:ascii="Calibri" w:cs="Calibri" w:eastAsia="Calibri" w:hAnsi="Calibri"/>
          <w:sz w:val="20"/>
          <w:szCs w:val="20"/>
        </w:rPr>
        <w:t xml:space="preserve">obtive o texto integral e o orçamento de tempo é fixado pelo experimentador (30 / 60 / 90 s). A velocidade ali é resposta a um prazo imposto, não ganho intrínseco da estratégia. A direção causal é inversa à do modelo.</w:t>
      </w:r>
    </w:p>
    <w:p>
      <w:pPr>
        <w:spacing w:after="90"/>
        <w:ind w:left="200"/>
      </w:pPr>
      <w:r>
        <w:rPr>
          <w:rFonts w:ascii="Calibri" w:cs="Calibri" w:eastAsia="Calibri" w:hAnsi="Calibri"/>
          <w:b/>
          <w:bCs/>
          <w:color w:val="9B2C5E"/>
          <w:sz w:val="20"/>
          <w:szCs w:val="20"/>
        </w:rPr>
        <w:t xml:space="preserve">Estado:  </w:t>
      </w:r>
      <w:r>
        <w:rPr>
          <w:rFonts w:ascii="Calibri" w:cs="Calibri" w:eastAsia="Calibri" w:hAnsi="Calibri"/>
          <w:sz w:val="20"/>
          <w:szCs w:val="20"/>
        </w:rPr>
        <w:t xml:space="preserve">f_atalho volta a ser parâmetro sem fonte (D-03).</w:t>
      </w:r>
    </w:p>
    <w:p>
      <w:pPr>
        <w:pStyle w:val="Heading3"/>
        <w:spacing w:after="100" w:before="220"/>
      </w:pPr>
      <w:r>
        <w:rPr>
          <w:rFonts w:ascii="Calibri" w:cs="Calibri" w:eastAsia="Calibri" w:hAnsi="Calibri"/>
          <w:b/>
          <w:bCs/>
          <w:color w:val="333333"/>
          <w:sz w:val="21"/>
          <w:szCs w:val="21"/>
        </w:rPr>
        <w:t xml:space="preserve">R-02 — “46% está fora de qualquer leitura razoável”</w:t>
      </w:r>
    </w:p>
    <w:p>
      <w:pPr>
        <w:spacing w:after="90"/>
        <w:ind w:left="200"/>
      </w:pPr>
      <w:r>
        <w:rPr>
          <w:rFonts w:ascii="Calibri" w:cs="Calibri" w:eastAsia="Calibri" w:hAnsi="Calibri"/>
          <w:b/>
          <w:bCs/>
          <w:color w:val="9B2C5E"/>
          <w:sz w:val="20"/>
          <w:szCs w:val="20"/>
        </w:rPr>
        <w:t xml:space="preserve">O que eu disse:  </w:t>
      </w:r>
      <w:r>
        <w:rPr>
          <w:rFonts w:ascii="Calibri" w:cs="Calibri" w:eastAsia="Calibri" w:hAnsi="Calibri"/>
          <w:sz w:val="20"/>
          <w:szCs w:val="20"/>
        </w:rPr>
        <w:t xml:space="preserve">que 46% de retrabalho contra a faixa empírica de 4–11% estava fora de qualquer leitura razoável.</w:t>
      </w:r>
    </w:p>
    <w:p>
      <w:pPr>
        <w:spacing w:after="90"/>
        <w:ind w:left="200"/>
      </w:pPr>
      <w:r>
        <w:rPr>
          <w:rFonts w:ascii="Calibri" w:cs="Calibri" w:eastAsia="Calibri" w:hAnsi="Calibri"/>
          <w:b/>
          <w:bCs/>
          <w:color w:val="9B2C5E"/>
          <w:sz w:val="20"/>
          <w:szCs w:val="20"/>
        </w:rPr>
        <w:t xml:space="preserve">Por que está errado:  </w:t>
      </w:r>
      <w:r>
        <w:rPr>
          <w:rFonts w:ascii="Calibri" w:cs="Calibri" w:eastAsia="Calibri" w:hAnsi="Calibri"/>
          <w:sz w:val="20"/>
          <w:szCs w:val="20"/>
        </w:rPr>
        <w:t xml:space="preserve">exagero. Você contrapôs com Boehm &amp; Basili (40–50% do esforço de software em retrabalho evitável) e o contraponto é legítimo.</w:t>
      </w:r>
    </w:p>
    <w:p>
      <w:pPr>
        <w:spacing w:after="90"/>
        <w:ind w:left="200"/>
      </w:pPr>
      <w:r>
        <w:rPr>
          <w:rFonts w:ascii="Calibri" w:cs="Calibri" w:eastAsia="Calibri" w:hAnsi="Calibri"/>
          <w:b/>
          <w:bCs/>
          <w:color w:val="9B2C5E"/>
          <w:sz w:val="20"/>
          <w:szCs w:val="20"/>
        </w:rPr>
        <w:t xml:space="preserve">Posição corrigida:  </w:t>
      </w:r>
      <w:r>
        <w:rPr>
          <w:rFonts w:ascii="Calibri" w:cs="Calibri" w:eastAsia="Calibri" w:hAnsi="Calibri"/>
          <w:sz w:val="20"/>
          <w:szCs w:val="20"/>
        </w:rPr>
        <w:t xml:space="preserve">concedo o exagero, mas mantenho que o contraponto desloca o problema em vez de resolvê-lo — ele reintroduz empréstimo entre domínios. A posição honesta é que 46% hoje não é defensável nem refutável, por falta de comparador na mesma unidade (D-08).</w:t>
      </w:r>
    </w:p>
    <w:p>
      <w:pPr>
        <w:pStyle w:val="Heading3"/>
        <w:spacing w:after="100" w:before="220"/>
      </w:pPr>
      <w:r>
        <w:rPr>
          <w:rFonts w:ascii="Calibri" w:cs="Calibri" w:eastAsia="Calibri" w:hAnsi="Calibri"/>
          <w:b/>
          <w:bCs/>
          <w:color w:val="333333"/>
          <w:sz w:val="21"/>
          <w:szCs w:val="21"/>
        </w:rPr>
        <w:t xml:space="preserve">R-03 — Previsão quantitativa do estreitamento do NROY</w:t>
      </w:r>
    </w:p>
    <w:p>
      <w:pPr>
        <w:spacing w:after="90"/>
        <w:ind w:left="200"/>
      </w:pPr>
      <w:r>
        <w:rPr>
          <w:rFonts w:ascii="Calibri" w:cs="Calibri" w:eastAsia="Calibri" w:hAnsi="Calibri"/>
          <w:b/>
          <w:bCs/>
          <w:color w:val="9B2C5E"/>
          <w:sz w:val="20"/>
          <w:szCs w:val="20"/>
        </w:rPr>
        <w:t xml:space="preserve">O que eu disse:  </w:t>
      </w:r>
      <w:r>
        <w:rPr>
          <w:rFonts w:ascii="Calibri" w:cs="Calibri" w:eastAsia="Calibri" w:hAnsi="Calibri"/>
          <w:sz w:val="20"/>
          <w:szCs w:val="20"/>
        </w:rPr>
        <w:t xml:space="preserve">que sob CRITICAL-2 as larguras do NROY apertariam para cerca de 60% e 42%.</w:t>
      </w:r>
    </w:p>
    <w:p>
      <w:pPr>
        <w:spacing w:after="90"/>
        <w:ind w:left="200"/>
      </w:pPr>
      <w:r>
        <w:rPr>
          <w:rFonts w:ascii="Calibri" w:cs="Calibri" w:eastAsia="Calibri" w:hAnsi="Calibri"/>
          <w:b/>
          <w:bCs/>
          <w:color w:val="9B2C5E"/>
          <w:sz w:val="20"/>
          <w:szCs w:val="20"/>
        </w:rPr>
        <w:t xml:space="preserve">Por que está errado:  </w:t>
      </w:r>
      <w:r>
        <w:rPr>
          <w:rFonts w:ascii="Calibri" w:cs="Calibri" w:eastAsia="Calibri" w:hAnsi="Calibri"/>
          <w:sz w:val="20"/>
          <w:szCs w:val="20"/>
        </w:rPr>
        <w:t xml:space="preserve">o piloto de fronteira mostrou 4 de 4 pontos do NROY legado rejeitados em K = 64. O NROY esvazia, não estreita. Minha aproximação de mesa era conservadora demais.</w:t>
      </w:r>
    </w:p>
    <w:p>
      <w:pPr>
        <w:pStyle w:val="Heading3"/>
        <w:spacing w:after="100" w:before="220"/>
      </w:pPr>
      <w:r>
        <w:rPr>
          <w:rFonts w:ascii="Calibri" w:cs="Calibri" w:eastAsia="Calibri" w:hAnsi="Calibri"/>
          <w:b/>
          <w:bCs/>
          <w:color w:val="333333"/>
          <w:sz w:val="21"/>
          <w:szCs w:val="21"/>
        </w:rPr>
        <w:t xml:space="preserve">R-04 — “Renomear” o gradiente</w:t>
      </w:r>
    </w:p>
    <w:p>
      <w:pPr>
        <w:spacing w:after="90"/>
        <w:ind w:left="200"/>
      </w:pPr>
      <w:r>
        <w:rPr>
          <w:rFonts w:ascii="Calibri" w:cs="Calibri" w:eastAsia="Calibri" w:hAnsi="Calibri"/>
          <w:b/>
          <w:bCs/>
          <w:color w:val="9B2C5E"/>
          <w:sz w:val="20"/>
          <w:szCs w:val="20"/>
        </w:rPr>
        <w:t xml:space="preserve">O que eu disse:  </w:t>
      </w:r>
      <w:r>
        <w:rPr>
          <w:rFonts w:ascii="Calibri" w:cs="Calibri" w:eastAsia="Calibri" w:hAnsi="Calibri"/>
          <w:sz w:val="20"/>
          <w:szCs w:val="20"/>
        </w:rPr>
        <w:t xml:space="preserve">que trocar o eixo de complexidade ciclomática por tamanho era, na prática, renomear o gradiente.</w:t>
      </w:r>
    </w:p>
    <w:p>
      <w:pPr>
        <w:spacing w:after="90"/>
        <w:ind w:left="200"/>
      </w:pPr>
      <w:r>
        <w:rPr>
          <w:rFonts w:ascii="Calibri" w:cs="Calibri" w:eastAsia="Calibri" w:hAnsi="Calibri"/>
          <w:b/>
          <w:bCs/>
          <w:color w:val="9B2C5E"/>
          <w:sz w:val="20"/>
          <w:szCs w:val="20"/>
        </w:rPr>
        <w:t xml:space="preserve">Por que está errado:  </w:t>
      </w:r>
      <w:r>
        <w:rPr>
          <w:rFonts w:ascii="Calibri" w:cs="Calibri" w:eastAsia="Calibri" w:hAnsi="Calibri"/>
          <w:sz w:val="20"/>
          <w:szCs w:val="20"/>
        </w:rPr>
        <w:t xml:space="preserve">você apontou corretamente que multiplicadores calculados sobre quartis de complexidade ciclomática não podem ser rerrotulados como gradiente de tamanho depois do fato. O recálculo sobre linhas de código é necessário, não opcional — e os próprios números que eu havia reportado (2,99 contra 5,37) já mostravam que o resultado muda.</w:t>
      </w:r>
    </w:p>
    <w:p>
      <w:pPr>
        <w:pStyle w:val="Heading3"/>
        <w:spacing w:after="100" w:before="220"/>
      </w:pPr>
      <w:r>
        <w:rPr>
          <w:rFonts w:ascii="Calibri" w:cs="Calibri" w:eastAsia="Calibri" w:hAnsi="Calibri"/>
          <w:b/>
          <w:bCs/>
          <w:color w:val="333333"/>
          <w:sz w:val="21"/>
          <w:szCs w:val="21"/>
        </w:rPr>
        <w:t xml:space="preserve">R-05 — “History Matching identifica o vetor verdadeiro”</w:t>
      </w:r>
    </w:p>
    <w:p>
      <w:pPr>
        <w:spacing w:after="90"/>
        <w:ind w:left="200"/>
      </w:pPr>
      <w:r>
        <w:rPr>
          <w:rFonts w:ascii="Calibri" w:cs="Calibri" w:eastAsia="Calibri" w:hAnsi="Calibri"/>
          <w:b/>
          <w:bCs/>
          <w:color w:val="9B2C5E"/>
          <w:sz w:val="20"/>
          <w:szCs w:val="20"/>
        </w:rPr>
        <w:t xml:space="preserve">O que eu disse:  </w:t>
      </w:r>
      <w:r>
        <w:rPr>
          <w:rFonts w:ascii="Calibri" w:cs="Calibri" w:eastAsia="Calibri" w:hAnsi="Calibri"/>
          <w:sz w:val="20"/>
          <w:szCs w:val="20"/>
        </w:rPr>
        <w:t xml:space="preserve">que o History Matching identificaria o vetor verdadeiro de parâmetros.</w:t>
      </w:r>
    </w:p>
    <w:p>
      <w:pPr>
        <w:spacing w:after="90"/>
        <w:ind w:left="200"/>
      </w:pPr>
      <w:r>
        <w:rPr>
          <w:rFonts w:ascii="Calibri" w:cs="Calibri" w:eastAsia="Calibri" w:hAnsi="Calibri"/>
          <w:b/>
          <w:bCs/>
          <w:color w:val="9B2C5E"/>
          <w:sz w:val="20"/>
          <w:szCs w:val="20"/>
        </w:rPr>
        <w:t xml:space="preserve">Por que está errado:  </w:t>
      </w:r>
      <w:r>
        <w:rPr>
          <w:rFonts w:ascii="Calibri" w:cs="Calibri" w:eastAsia="Calibri" w:hAnsi="Calibri"/>
          <w:sz w:val="20"/>
          <w:szCs w:val="20"/>
        </w:rPr>
        <w:t xml:space="preserve">o HM elimina regiões implausíveis e devolve o NROY. Não aponta o verdadeiro. A correção precisa chegar também à linguagem impressa pelos scripts, não só aos textos (D-09).</w:t>
      </w:r>
    </w:p>
    <w:p>
      <w:r>
        <w:br w:type="page"/>
      </w:r>
    </w:p>
    <w:p>
      <w:pPr>
        <w:pStyle w:val="Heading1"/>
        <w:spacing w:after="200" w:before="360"/>
      </w:pPr>
      <w:r>
        <w:rPr>
          <w:rFonts w:ascii="Calibri" w:cs="Calibri" w:eastAsia="Calibri" w:hAnsi="Calibri"/>
          <w:b/>
          <w:bCs/>
          <w:color w:val="9B2C5E"/>
          <w:sz w:val="30"/>
          <w:szCs w:val="30"/>
        </w:rPr>
        <w:t xml:space="preserve">5. Gargalos abertos</w:t>
      </w:r>
    </w:p>
    <w:p>
      <w:pPr>
        <w:spacing w:after="120" w:before="0"/>
      </w:pPr>
      <w:r>
        <w:rPr>
          <w:rFonts w:ascii="Calibri" w:cs="Calibri" w:eastAsia="Calibri" w:hAnsi="Calibri"/>
          <w:sz w:val="20"/>
          <w:szCs w:val="20"/>
        </w:rPr>
        <w:t xml:space="preserve">Três pontos ainda sem fonte que os sustente. São o que falta para o trabalho fechar o argumento empírico.</w:t>
      </w:r>
    </w:p>
    <w:p>
      <w:pPr>
        <w:pStyle w:val="Heading2"/>
        <w:spacing w:after="140" w:before="280"/>
      </w:pPr>
      <w:r>
        <w:rPr>
          <w:rFonts w:ascii="Calibri" w:cs="Calibri" w:eastAsia="Calibri" w:hAnsi="Calibri"/>
          <w:b/>
          <w:bCs/>
          <w:color w:val="5E1B39"/>
          <w:sz w:val="24"/>
          <w:szCs w:val="24"/>
        </w:rPr>
        <w:t xml:space="preserve">G-01 — Retrabalho medido em horas: o comparador que não existe</w:t>
      </w:r>
    </w:p>
    <w:p>
      <w:pPr>
        <w:spacing w:after="90"/>
        <w:ind w:left="200"/>
      </w:pPr>
      <w:r>
        <w:rPr>
          <w:rFonts w:ascii="Calibri" w:cs="Calibri" w:eastAsia="Calibri" w:hAnsi="Calibri"/>
          <w:b/>
          <w:bCs/>
          <w:color w:val="9B2C5E"/>
          <w:sz w:val="20"/>
          <w:szCs w:val="20"/>
        </w:rPr>
        <w:t xml:space="preserve">O problema:  </w:t>
      </w:r>
      <w:r>
        <w:rPr>
          <w:rFonts w:ascii="Calibri" w:cs="Calibri" w:eastAsia="Calibri" w:hAnsi="Calibri"/>
          <w:sz w:val="20"/>
          <w:szCs w:val="20"/>
        </w:rPr>
        <w:t xml:space="preserve">o modelo reporta retrabalho como TR / E_plano, uma fração de esforço. A literatura empírica de construção reporta fração de CUSTO. Enquanto as duas grandezas não forem postas na mesma base, nenhuma comparação decide se o modelo está alto, baixo ou certo — e é exatamente isso que trava D-08.</w:t>
      </w:r>
    </w:p>
    <w:p>
      <w:pPr>
        <w:spacing w:after="90"/>
        <w:ind w:left="200"/>
      </w:pPr>
      <w:r>
        <w:rPr>
          <w:rFonts w:ascii="Calibri" w:cs="Calibri" w:eastAsia="Calibri" w:hAnsi="Calibri"/>
          <w:b/>
          <w:bCs/>
          <w:color w:val="9B2C5E"/>
          <w:sz w:val="20"/>
          <w:szCs w:val="20"/>
        </w:rPr>
        <w:t xml:space="preserve">O que resolveria:  </w:t>
      </w:r>
      <w:r>
        <w:rPr>
          <w:rFonts w:ascii="Calibri" w:cs="Calibri" w:eastAsia="Calibri" w:hAnsi="Calibri"/>
          <w:sz w:val="20"/>
          <w:szCs w:val="20"/>
        </w:rPr>
        <w:t xml:space="preserve">um estudo que reporte horas de retrabalho contra horas planejadas, na mesma unidade de trabalho, em projeto de engenharia. Alternativa: uma conversão explícita e defensável de custo para esforço, com a hipótese de proporcionalidade declarada.</w:t>
      </w:r>
    </w:p>
    <w:p>
      <w:pPr>
        <w:spacing w:after="90"/>
        <w:ind w:left="200"/>
      </w:pPr>
      <w:r>
        <w:rPr>
          <w:rFonts w:ascii="Calibri" w:cs="Calibri" w:eastAsia="Calibri" w:hAnsi="Calibri"/>
          <w:b/>
          <w:bCs/>
          <w:color w:val="9B2C5E"/>
          <w:sz w:val="20"/>
          <w:szCs w:val="20"/>
        </w:rPr>
        <w:t xml:space="preserve">Onde procurar:  </w:t>
      </w:r>
      <w:r>
        <w:rPr>
          <w:rFonts w:ascii="Calibri" w:cs="Calibri" w:eastAsia="Calibri" w:hAnsi="Calibri"/>
          <w:sz w:val="20"/>
          <w:szCs w:val="20"/>
        </w:rPr>
        <w:t xml:space="preserve">relatórios do CII com dados de homem-hora; literatura de medição de produtividade em construção e em desenvolvimento de produto; bases públicas de esforço de projeto de software (ISBSG, PROMISE) — com atenção a que qualquer uma delas troca o domínio.</w:t>
      </w:r>
    </w:p>
    <w:p>
      <w:pPr>
        <w:pStyle w:val="Heading2"/>
        <w:spacing w:after="140" w:before="280"/>
      </w:pPr>
      <w:r>
        <w:rPr>
          <w:rFonts w:ascii="Calibri" w:cs="Calibri" w:eastAsia="Calibri" w:hAnsi="Calibri"/>
          <w:b/>
          <w:bCs/>
          <w:color w:val="5E1B39"/>
          <w:sz w:val="24"/>
          <w:szCs w:val="24"/>
        </w:rPr>
        <w:t xml:space="preserve">G-02 — A ponte de agregação do HEART</w:t>
      </w:r>
    </w:p>
    <w:p>
      <w:pPr>
        <w:spacing w:after="90"/>
        <w:ind w:left="200"/>
      </w:pPr>
      <w:r>
        <w:rPr>
          <w:rFonts w:ascii="Calibri" w:cs="Calibri" w:eastAsia="Calibri" w:hAnsi="Calibri"/>
          <w:b/>
          <w:bCs/>
          <w:color w:val="9B2C5E"/>
          <w:sz w:val="20"/>
          <w:szCs w:val="20"/>
        </w:rPr>
        <w:t xml:space="preserve">O problema:  </w:t>
      </w:r>
      <w:r>
        <w:rPr>
          <w:rFonts w:ascii="Calibri" w:cs="Calibri" w:eastAsia="Calibri" w:hAnsi="Calibri"/>
          <w:sz w:val="20"/>
          <w:szCs w:val="20"/>
        </w:rPr>
        <w:t xml:space="preserve">a probabilidade de erro humano do HEART é definida por passo elementar. Uma atividade do conjunto J60 agrega muitos passos. Sem uma regra de composição explícita — quantos passos elementares há numa atividade, e como as probabilidades se combinam — o número do HEART não pode ser lido como F_ancora.</w:t>
      </w:r>
    </w:p>
    <w:p>
      <w:pPr>
        <w:spacing w:after="90"/>
        <w:ind w:left="200"/>
      </w:pPr>
      <w:r>
        <w:rPr>
          <w:rFonts w:ascii="Calibri" w:cs="Calibri" w:eastAsia="Calibri" w:hAnsi="Calibri"/>
          <w:b/>
          <w:bCs/>
          <w:color w:val="9B2C5E"/>
          <w:sz w:val="20"/>
          <w:szCs w:val="20"/>
        </w:rPr>
        <w:t xml:space="preserve">O que resolveria:  </w:t>
      </w:r>
      <w:r>
        <w:rPr>
          <w:rFonts w:ascii="Calibri" w:cs="Calibri" w:eastAsia="Calibri" w:hAnsi="Calibri"/>
          <w:sz w:val="20"/>
          <w:szCs w:val="20"/>
        </w:rPr>
        <w:t xml:space="preserve">uma regra de composição justificada (por exemplo, 1 − Π(1 − pₖ) sobre k passos, com k estimado a partir de decomposição de tarefa), OU uma fonte de confiabilidade humana que já reporte no nível de pacote de trabalho.</w:t>
      </w:r>
    </w:p>
    <w:p>
      <w:pPr>
        <w:spacing w:after="90"/>
        <w:ind w:left="200"/>
      </w:pPr>
      <w:r>
        <w:rPr>
          <w:rFonts w:ascii="Calibri" w:cs="Calibri" w:eastAsia="Calibri" w:hAnsi="Calibri"/>
          <w:b/>
          <w:bCs/>
          <w:color w:val="9B2C5E"/>
          <w:sz w:val="20"/>
          <w:szCs w:val="20"/>
        </w:rPr>
        <w:t xml:space="preserve">Registrado em:  </w:t>
      </w:r>
      <w:r>
        <w:rPr>
          <w:rFonts w:ascii="Calibri" w:cs="Calibri" w:eastAsia="Calibri" w:hAnsi="Calibri"/>
          <w:sz w:val="20"/>
          <w:szCs w:val="20"/>
        </w:rPr>
        <w:t xml:space="preserve">§9 do parecer 12.</w:t>
      </w:r>
    </w:p>
    <w:p>
      <w:pPr>
        <w:pStyle w:val="Heading2"/>
        <w:spacing w:after="140" w:before="280"/>
      </w:pPr>
      <w:r>
        <w:rPr>
          <w:rFonts w:ascii="Calibri" w:cs="Calibri" w:eastAsia="Calibri" w:hAnsi="Calibri"/>
          <w:b/>
          <w:bCs/>
          <w:color w:val="5E1B39"/>
          <w:sz w:val="24"/>
          <w:szCs w:val="24"/>
        </w:rPr>
        <w:t xml:space="preserve">G-03 — P(heurístico | pressão, dificuldade): a validação dos 64%</w:t>
      </w:r>
    </w:p>
    <w:p>
      <w:pPr>
        <w:spacing w:after="90"/>
        <w:ind w:left="200"/>
      </w:pPr>
      <w:r>
        <w:rPr>
          <w:rFonts w:ascii="Calibri" w:cs="Calibri" w:eastAsia="Calibri" w:hAnsi="Calibri"/>
          <w:b/>
          <w:bCs/>
          <w:color w:val="9B2C5E"/>
          <w:sz w:val="20"/>
          <w:szCs w:val="20"/>
        </w:rPr>
        <w:t xml:space="preserve">O problema:  </w:t>
      </w:r>
      <w:r>
        <w:rPr>
          <w:rFonts w:ascii="Calibri" w:cs="Calibri" w:eastAsia="Calibri" w:hAnsi="Calibri"/>
          <w:sz w:val="20"/>
          <w:szCs w:val="20"/>
        </w:rPr>
        <w:t xml:space="preserve">o modelo produz uma taxa de escolha da rota heurística que ninguém validou externamente. p_heu = σ((E − τ_sat)/s) com E = D·P/B é uma forma funcional escolhida, não medida.</w:t>
      </w:r>
    </w:p>
    <w:p>
      <w:pPr>
        <w:spacing w:after="90"/>
        <w:ind w:left="200"/>
      </w:pPr>
      <w:r>
        <w:rPr>
          <w:rFonts w:ascii="Calibri" w:cs="Calibri" w:eastAsia="Calibri" w:hAnsi="Calibri"/>
          <w:b/>
          <w:bCs/>
          <w:color w:val="9B2C5E"/>
          <w:sz w:val="20"/>
          <w:szCs w:val="20"/>
        </w:rPr>
        <w:t xml:space="preserve">O que resolveria:  </w:t>
      </w:r>
      <w:r>
        <w:rPr>
          <w:rFonts w:ascii="Calibri" w:cs="Calibri" w:eastAsia="Calibri" w:hAnsi="Calibri"/>
          <w:sz w:val="20"/>
          <w:szCs w:val="20"/>
        </w:rPr>
        <w:t xml:space="preserve">estudo empírico que reporte a proporção de decisões tomadas por atalho heurístico em função de pressão de prazo e de dificuldade de tarefa, em contexto profissional. A literatura de decisão adaptativa e de seleção de estratégia é o lugar natural.</w:t>
      </w:r>
    </w:p>
    <w:p>
      <w:pPr>
        <w:spacing w:after="90"/>
        <w:ind w:left="200"/>
      </w:pPr>
      <w:r>
        <w:rPr>
          <w:rFonts w:ascii="Calibri" w:cs="Calibri" w:eastAsia="Calibri" w:hAnsi="Calibri"/>
          <w:b/>
          <w:bCs/>
          <w:color w:val="9B2C5E"/>
          <w:sz w:val="20"/>
          <w:szCs w:val="20"/>
        </w:rPr>
        <w:t xml:space="preserve">Estado:  </w:t>
      </w:r>
      <w:r>
        <w:rPr>
          <w:rFonts w:ascii="Calibri" w:cs="Calibri" w:eastAsia="Calibri" w:hAnsi="Calibri"/>
          <w:sz w:val="20"/>
          <w:szCs w:val="20"/>
        </w:rPr>
        <w:t xml:space="preserve">duas candidatas levantadas foram desaconselhadas por baixa confiabilidade editorial (ver 2.2). Continua aberto.</w:t>
      </w:r>
    </w:p>
    <w:p>
      <w:r>
        <w:br w:type="page"/>
      </w:r>
    </w:p>
    <w:p>
      <w:pPr>
        <w:pStyle w:val="Heading1"/>
        <w:spacing w:after="200" w:before="360"/>
      </w:pPr>
      <w:r>
        <w:rPr>
          <w:rFonts w:ascii="Calibri" w:cs="Calibri" w:eastAsia="Calibri" w:hAnsi="Calibri"/>
          <w:b/>
          <w:bCs/>
          <w:color w:val="9B2C5E"/>
          <w:sz w:val="30"/>
          <w:szCs w:val="30"/>
        </w:rPr>
        <w:t xml:space="preserve">6. Onde estão os documentos</w:t>
      </w:r>
    </w:p>
    <w:p>
      <w:pPr>
        <w:spacing w:after="120" w:before="0"/>
      </w:pPr>
      <w:r>
        <w:rPr>
          <w:rFonts w:ascii="Calibri" w:cs="Calibri" w:eastAsia="Calibri" w:hAnsi="Calibri"/>
          <w:sz w:val="20"/>
          <w:szCs w:val="20"/>
        </w:rPr>
        <w:t xml:space="preserve">Rastreabilidade dos pareceres. Os documentos estão no repositório TCC2, pasta projeto/.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3000"/>
      </w:tblGrid>
      <w:tr>
        <w:trPr>
          <w:tblHeader/>
        </w:trPr>
        <w:tc>
          <w:tcPr>
            <w:tcW w:type="dxa" w:w="2400"/>
            <w:shd w:fill="5E1B39" w:color="auto" w:val="clear"/>
            <w:tcMar>
              <w:top w:type="dxa" w:w="80"/>
              <w:left w:type="dxa" w:w="100"/>
              <w:bottom w:type="dxa" w:w="80"/>
              <w:right w:type="dxa" w:w="100"/>
            </w:tcMar>
          </w:tcPr>
          <w:p>
            <w:r>
              <w:rPr>
                <w:rFonts w:ascii="Calibri" w:cs="Calibri" w:eastAsia="Calibri" w:hAnsi="Calibri"/>
                <w:b/>
                <w:bCs/>
                <w:color w:val="FFFFFF"/>
                <w:sz w:val="18"/>
                <w:szCs w:val="18"/>
              </w:rPr>
              <w:t xml:space="preserve">Documento</w:t>
            </w:r>
          </w:p>
        </w:tc>
        <w:tc>
          <w:tcPr>
            <w:tcW w:type="dxa" w:w="4300"/>
            <w:shd w:fill="5E1B39" w:color="auto" w:val="clear"/>
            <w:tcMar>
              <w:top w:type="dxa" w:w="80"/>
              <w:left w:type="dxa" w:w="100"/>
              <w:bottom w:type="dxa" w:w="80"/>
              <w:right w:type="dxa" w:w="100"/>
            </w:tcMar>
          </w:tcPr>
          <w:p>
            <w:r>
              <w:rPr>
                <w:rFonts w:ascii="Calibri" w:cs="Calibri" w:eastAsia="Calibri" w:hAnsi="Calibri"/>
                <w:b/>
                <w:bCs/>
                <w:color w:val="FFFFFF"/>
                <w:sz w:val="18"/>
                <w:szCs w:val="18"/>
              </w:rPr>
              <w:t xml:space="preserve">Conteúdo</w:t>
            </w:r>
          </w:p>
        </w:tc>
        <w:tc>
          <w:tcPr>
            <w:tcW w:type="dxa" w:w="3000"/>
            <w:shd w:fill="5E1B39" w:color="auto" w:val="clear"/>
            <w:tcMar>
              <w:top w:type="dxa" w:w="80"/>
              <w:left w:type="dxa" w:w="100"/>
              <w:bottom w:type="dxa" w:w="80"/>
              <w:right w:type="dxa" w:w="100"/>
            </w:tcMar>
          </w:tcPr>
          <w:p>
            <w:r>
              <w:rPr>
                <w:rFonts w:ascii="Calibri" w:cs="Calibri" w:eastAsia="Calibri" w:hAnsi="Calibri"/>
                <w:b/>
                <w:bCs/>
                <w:color w:val="FFFFFF"/>
                <w:sz w:val="18"/>
                <w:szCs w:val="18"/>
              </w:rPr>
              <w:t xml:space="preserve">Onde está</w:t>
            </w:r>
          </w:p>
        </w:tc>
      </w:tr>
      <w:tr>
        <w:trPr>
          <w:cantSplit/>
        </w:trPr>
        <w:tc>
          <w:tcPr>
            <w:tcW w:type="dxa" w:w="2400"/>
            <w:tcMar>
              <w:top w:type="dxa" w:w="80"/>
              <w:left w:type="dxa" w:w="100"/>
              <w:bottom w:type="dxa" w:w="80"/>
              <w:right w:type="dxa" w:w="100"/>
            </w:tcMar>
          </w:tcPr>
          <w:p>
            <w:r>
              <w:rPr>
                <w:rFonts w:ascii="Calibri" w:cs="Calibri" w:eastAsia="Calibri" w:hAnsi="Calibri"/>
                <w:sz w:val="18"/>
                <w:szCs w:val="18"/>
              </w:rPr>
              <w:t xml:space="preserve">09_REVISAO_INDEPENDENTE_2026-09-15.md</w:t>
            </w:r>
          </w:p>
        </w:tc>
        <w:tc>
          <w:tcPr>
            <w:tcW w:type="dxa" w:w="4300"/>
            <w:tcMar>
              <w:top w:type="dxa" w:w="80"/>
              <w:left w:type="dxa" w:w="100"/>
              <w:bottom w:type="dxa" w:w="80"/>
              <w:right w:type="dxa" w:w="100"/>
            </w:tcMar>
          </w:tcPr>
          <w:p>
            <w:r>
              <w:rPr>
                <w:rFonts w:ascii="Calibri" w:cs="Calibri" w:eastAsia="Calibri" w:hAnsi="Calibri"/>
                <w:sz w:val="18"/>
                <w:szCs w:val="18"/>
              </w:rPr>
              <w:t xml:space="preserve">Primeira rodada de revisão independente.</w:t>
            </w:r>
          </w:p>
        </w:tc>
        <w:tc>
          <w:tcPr>
            <w:tcW w:type="dxa" w:w="3000"/>
            <w:tcMar>
              <w:top w:type="dxa" w:w="80"/>
              <w:left w:type="dxa" w:w="100"/>
              <w:bottom w:type="dxa" w:w="80"/>
              <w:right w:type="dxa" w:w="100"/>
            </w:tcMar>
          </w:tcPr>
          <w:p>
            <w:r>
              <w:rPr>
                <w:rFonts w:ascii="Calibri" w:cs="Calibri" w:eastAsia="Calibri" w:hAnsi="Calibri"/>
                <w:sz w:val="18"/>
                <w:szCs w:val="18"/>
              </w:rPr>
              <w:t xml:space="preserve">Commitado, ramo do Codex.</w:t>
            </w:r>
          </w:p>
        </w:tc>
      </w:tr>
      <w:tr>
        <w:trPr>
          <w:cantSplit/>
        </w:trPr>
        <w:tc>
          <w:tcPr>
            <w:tcW w:type="dxa" w:w="2400"/>
            <w:shd w:fill="F2F2F2" w:color="auto" w:val="clear"/>
            <w:tcMar>
              <w:top w:type="dxa" w:w="80"/>
              <w:left w:type="dxa" w:w="100"/>
              <w:bottom w:type="dxa" w:w="80"/>
              <w:right w:type="dxa" w:w="100"/>
            </w:tcMar>
          </w:tcPr>
          <w:p>
            <w:r>
              <w:rPr>
                <w:rFonts w:ascii="Calibri" w:cs="Calibri" w:eastAsia="Calibri" w:hAnsi="Calibri"/>
                <w:sz w:val="18"/>
                <w:szCs w:val="18"/>
              </w:rPr>
              <w:t xml:space="preserve">10_REVISAO_INDEPENDENTE_RODADA2_2026-09-15.md</w:t>
            </w:r>
          </w:p>
        </w:tc>
        <w:tc>
          <w:tcPr>
            <w:tcW w:type="dxa" w:w="4300"/>
            <w:shd w:fill="F2F2F2" w:color="auto" w:val="clear"/>
            <w:tcMar>
              <w:top w:type="dxa" w:w="80"/>
              <w:left w:type="dxa" w:w="100"/>
              <w:bottom w:type="dxa" w:w="80"/>
              <w:right w:type="dxa" w:w="100"/>
            </w:tcMar>
          </w:tcPr>
          <w:p>
            <w:r>
              <w:rPr>
                <w:rFonts w:ascii="Calibri" w:cs="Calibri" w:eastAsia="Calibri" w:hAnsi="Calibri"/>
                <w:sz w:val="18"/>
                <w:szCs w:val="18"/>
              </w:rPr>
              <w:t xml:space="preserve">Segunda rodada.</w:t>
            </w:r>
          </w:p>
        </w:tc>
        <w:tc>
          <w:tcPr>
            <w:tcW w:type="dxa" w:w="3000"/>
            <w:shd w:fill="F2F2F2" w:color="auto" w:val="clear"/>
            <w:tcMar>
              <w:top w:type="dxa" w:w="80"/>
              <w:left w:type="dxa" w:w="100"/>
              <w:bottom w:type="dxa" w:w="80"/>
              <w:right w:type="dxa" w:w="100"/>
            </w:tcMar>
          </w:tcPr>
          <w:p>
            <w:r>
              <w:rPr>
                <w:rFonts w:ascii="Calibri" w:cs="Calibri" w:eastAsia="Calibri" w:hAnsi="Calibri"/>
                <w:sz w:val="18"/>
                <w:szCs w:val="18"/>
              </w:rPr>
              <w:t xml:space="preserve">Commitado, ramo do Codex.</w:t>
            </w:r>
          </w:p>
        </w:tc>
      </w:tr>
      <w:tr>
        <w:trPr>
          <w:cantSplit/>
        </w:trPr>
        <w:tc>
          <w:tcPr>
            <w:tcW w:type="dxa" w:w="2400"/>
            <w:tcMar>
              <w:top w:type="dxa" w:w="80"/>
              <w:left w:type="dxa" w:w="100"/>
              <w:bottom w:type="dxa" w:w="80"/>
              <w:right w:type="dxa" w:w="100"/>
            </w:tcMar>
          </w:tcPr>
          <w:p>
            <w:r>
              <w:rPr>
                <w:rFonts w:ascii="Calibri" w:cs="Calibri" w:eastAsia="Calibri" w:hAnsi="Calibri"/>
                <w:sz w:val="18"/>
                <w:szCs w:val="18"/>
              </w:rPr>
              <w:t xml:space="preserve">12_ANCORAGEM_EXTERNA_F_ANCORA.md</w:t>
            </w:r>
          </w:p>
        </w:tc>
        <w:tc>
          <w:tcPr>
            <w:tcW w:type="dxa" w:w="4300"/>
            <w:tcMar>
              <w:top w:type="dxa" w:w="80"/>
              <w:left w:type="dxa" w:w="100"/>
              <w:bottom w:type="dxa" w:w="80"/>
              <w:right w:type="dxa" w:w="100"/>
            </w:tcMar>
          </w:tcPr>
          <w:p>
            <w:r>
              <w:rPr>
                <w:rFonts w:ascii="Calibri" w:cs="Calibri" w:eastAsia="Calibri" w:hAnsi="Calibri"/>
                <w:sz w:val="18"/>
                <w:szCs w:val="18"/>
              </w:rPr>
              <w:t xml:space="preserve">Ancoragem externa de F_ancora e do produto F × f; §9 com os quatro descasamentos de unidade e fronteira.</w:t>
            </w:r>
          </w:p>
        </w:tc>
        <w:tc>
          <w:tcPr>
            <w:tcW w:type="dxa" w:w="3000"/>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Só no Mac — fora do Git</w:t>
            </w:r>
          </w:p>
          <w:p>
            <w:pPr>
              <w:spacing w:after="40"/>
            </w:pPr>
            <w:r>
              <w:rPr>
                <w:rFonts w:ascii="Calibri" w:cs="Calibri" w:eastAsia="Calibri" w:hAnsi="Calibri"/>
                <w:i/>
                <w:iCs/>
                <w:sz w:val="20"/>
                <w:szCs w:val="20"/>
              </w:rPr>
              <w:t xml:space="preserve">Precisa ser commitado.</w:t>
            </w:r>
          </w:p>
        </w:tc>
      </w:tr>
      <w:tr>
        <w:trPr>
          <w:cantSplit/>
        </w:trPr>
        <w:tc>
          <w:tcPr>
            <w:tcW w:type="dxa" w:w="2400"/>
            <w:shd w:fill="F2F2F2" w:color="auto" w:val="clear"/>
            <w:tcMar>
              <w:top w:type="dxa" w:w="80"/>
              <w:left w:type="dxa" w:w="100"/>
              <w:bottom w:type="dxa" w:w="80"/>
              <w:right w:type="dxa" w:w="100"/>
            </w:tcMar>
          </w:tcPr>
          <w:p>
            <w:r>
              <w:rPr>
                <w:rFonts w:ascii="Calibri" w:cs="Calibri" w:eastAsia="Calibri" w:hAnsi="Calibri"/>
                <w:sz w:val="18"/>
                <w:szCs w:val="18"/>
              </w:rPr>
              <w:t xml:space="preserve">13_GRADIENTE_E_CONSTRUTO.md</w:t>
            </w:r>
          </w:p>
        </w:tc>
        <w:tc>
          <w:tcPr>
            <w:tcW w:type="dxa" w:w="4300"/>
            <w:shd w:fill="F2F2F2" w:color="auto" w:val="clear"/>
            <w:tcMar>
              <w:top w:type="dxa" w:w="80"/>
              <w:left w:type="dxa" w:w="100"/>
              <w:bottom w:type="dxa" w:w="80"/>
              <w:right w:type="dxa" w:w="100"/>
            </w:tcMar>
          </w:tcPr>
          <w:p>
            <w:r>
              <w:rPr>
                <w:rFonts w:ascii="Calibri" w:cs="Calibri" w:eastAsia="Calibri" w:hAnsi="Calibri"/>
                <w:sz w:val="18"/>
                <w:szCs w:val="18"/>
              </w:rPr>
              <w:t xml:space="preserve">Gradiente NASA e o construto por trás de Di.</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b/>
                <w:bCs/>
                <w:color w:val="9C2B1B"/>
                <w:sz w:val="18"/>
                <w:szCs w:val="18"/>
              </w:rPr>
              <w:t xml:space="preserve">Só no Mac — fora do Git</w:t>
            </w:r>
          </w:p>
          <w:p>
            <w:pPr>
              <w:spacing w:after="40"/>
            </w:pPr>
            <w:r>
              <w:rPr>
                <w:rFonts w:ascii="Calibri" w:cs="Calibri" w:eastAsia="Calibri" w:hAnsi="Calibri"/>
                <w:i/>
                <w:iCs/>
                <w:sz w:val="20"/>
                <w:szCs w:val="20"/>
              </w:rPr>
              <w:t xml:space="preserve">Precisa ser commitado.</w:t>
            </w:r>
          </w:p>
        </w:tc>
      </w:tr>
      <w:tr>
        <w:trPr>
          <w:cantSplit/>
        </w:trPr>
        <w:tc>
          <w:tcPr>
            <w:tcW w:type="dxa" w:w="2400"/>
            <w:tcMar>
              <w:top w:type="dxa" w:w="80"/>
              <w:left w:type="dxa" w:w="100"/>
              <w:bottom w:type="dxa" w:w="80"/>
              <w:right w:type="dxa" w:w="100"/>
            </w:tcMar>
          </w:tcPr>
          <w:p>
            <w:r>
              <w:rPr>
                <w:rFonts w:ascii="Calibri" w:cs="Calibri" w:eastAsia="Calibri" w:hAnsi="Calibri"/>
                <w:sz w:val="18"/>
                <w:szCs w:val="18"/>
              </w:rPr>
              <w:t xml:space="preserve">14_PORTA1_NAO_E_SATISFICING.md</w:t>
            </w:r>
          </w:p>
        </w:tc>
        <w:tc>
          <w:tcPr>
            <w:tcW w:type="dxa" w:w="4300"/>
            <w:tcMar>
              <w:top w:type="dxa" w:w="80"/>
              <w:left w:type="dxa" w:w="100"/>
              <w:bottom w:type="dxa" w:w="80"/>
              <w:right w:type="dxa" w:w="100"/>
            </w:tcMar>
          </w:tcPr>
          <w:p>
            <w:r>
              <w:rPr>
                <w:rFonts w:ascii="Calibri" w:cs="Calibri" w:eastAsia="Calibri" w:hAnsi="Calibri"/>
                <w:sz w:val="18"/>
                <w:szCs w:val="18"/>
              </w:rPr>
              <w:t xml:space="preserve">Por que a Porta 1 não instancia o arquétipo (D-04).</w:t>
            </w:r>
          </w:p>
        </w:tc>
        <w:tc>
          <w:tcPr>
            <w:tcW w:type="dxa" w:w="3000"/>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Staged no Windows — falta commit+push</w:t>
            </w:r>
          </w:p>
        </w:tc>
      </w:tr>
      <w:tr>
        <w:trPr>
          <w:cantSplit/>
        </w:trPr>
        <w:tc>
          <w:tcPr>
            <w:tcW w:type="dxa" w:w="2400"/>
            <w:shd w:fill="F2F2F2" w:color="auto" w:val="clear"/>
            <w:tcMar>
              <w:top w:type="dxa" w:w="80"/>
              <w:left w:type="dxa" w:w="100"/>
              <w:bottom w:type="dxa" w:w="80"/>
              <w:right w:type="dxa" w:w="100"/>
            </w:tcMar>
          </w:tcPr>
          <w:p>
            <w:r>
              <w:rPr>
                <w:rFonts w:ascii="Calibri" w:cs="Calibri" w:eastAsia="Calibri" w:hAnsi="Calibri"/>
                <w:sz w:val="18"/>
                <w:szCs w:val="18"/>
              </w:rPr>
              <w:t xml:space="preserve">15_TESTE_LOCAL_PORTA1.md</w:t>
            </w:r>
          </w:p>
        </w:tc>
        <w:tc>
          <w:tcPr>
            <w:tcW w:type="dxa" w:w="4300"/>
            <w:shd w:fill="F2F2F2" w:color="auto" w:val="clear"/>
            <w:tcMar>
              <w:top w:type="dxa" w:w="80"/>
              <w:left w:type="dxa" w:w="100"/>
              <w:bottom w:type="dxa" w:w="80"/>
              <w:right w:type="dxa" w:w="100"/>
            </w:tcMar>
          </w:tcPr>
          <w:p>
            <w:r>
              <w:rPr>
                <w:rFonts w:ascii="Calibri" w:cs="Calibri" w:eastAsia="Calibri" w:hAnsi="Calibri"/>
                <w:sz w:val="18"/>
                <w:szCs w:val="18"/>
              </w:rPr>
              <w:t xml:space="preserve">Teste local de 256 execuções com controle positivo (D-04).</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Staged no Windows — falta commit+push</w:t>
            </w:r>
          </w:p>
        </w:tc>
      </w:tr>
      <w:tr>
        <w:trPr>
          <w:cantSplit/>
        </w:trPr>
        <w:tc>
          <w:tcPr>
            <w:tcW w:type="dxa" w:w="2400"/>
            <w:tcMar>
              <w:top w:type="dxa" w:w="80"/>
              <w:left w:type="dxa" w:w="100"/>
              <w:bottom w:type="dxa" w:w="80"/>
              <w:right w:type="dxa" w:w="100"/>
            </w:tcMar>
          </w:tcPr>
          <w:p>
            <w:r>
              <w:rPr>
                <w:rFonts w:ascii="Calibri" w:cs="Calibri" w:eastAsia="Calibri" w:hAnsi="Calibri"/>
                <w:sz w:val="18"/>
                <w:szCs w:val="18"/>
              </w:rPr>
              <w:t xml:space="preserve">16_AUDITORIA_MVP_efd81b7.md</w:t>
            </w:r>
          </w:p>
        </w:tc>
        <w:tc>
          <w:tcPr>
            <w:tcW w:type="dxa" w:w="4300"/>
            <w:tcMar>
              <w:top w:type="dxa" w:w="80"/>
              <w:left w:type="dxa" w:w="100"/>
              <w:bottom w:type="dxa" w:w="80"/>
              <w:right w:type="dxa" w:w="100"/>
            </w:tcMar>
          </w:tcPr>
          <w:p>
            <w:r>
              <w:rPr>
                <w:rFonts w:ascii="Calibri" w:cs="Calibri" w:eastAsia="Calibri" w:hAnsi="Calibri"/>
                <w:sz w:val="18"/>
                <w:szCs w:val="18"/>
              </w:rPr>
              <w:t xml:space="preserve">Auditoria do MVP (A-07, A-08, A-09).</w:t>
            </w:r>
          </w:p>
        </w:tc>
        <w:tc>
          <w:tcPr>
            <w:tcW w:type="dxa" w:w="3000"/>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Staged no Windows — falta commit+push</w:t>
            </w:r>
          </w:p>
        </w:tc>
      </w:tr>
      <w:tr>
        <w:trPr>
          <w:cantSplit/>
        </w:trPr>
        <w:tc>
          <w:tcPr>
            <w:tcW w:type="dxa" w:w="2400"/>
            <w:shd w:fill="F2F2F2" w:color="auto" w:val="clear"/>
            <w:tcMar>
              <w:top w:type="dxa" w:w="80"/>
              <w:left w:type="dxa" w:w="100"/>
              <w:bottom w:type="dxa" w:w="80"/>
              <w:right w:type="dxa" w:w="100"/>
            </w:tcMar>
          </w:tcPr>
          <w:p>
            <w:r>
              <w:rPr>
                <w:rFonts w:ascii="Calibri" w:cs="Calibri" w:eastAsia="Calibri" w:hAnsi="Calibri"/>
                <w:sz w:val="18"/>
                <w:szCs w:val="18"/>
              </w:rPr>
              <w:t xml:space="preserve">17_RHO_OMISSAO_DADOS_HUMANOS.md</w:t>
            </w:r>
          </w:p>
        </w:tc>
        <w:tc>
          <w:tcPr>
            <w:tcW w:type="dxa" w:w="4300"/>
            <w:shd w:fill="F2F2F2" w:color="auto" w:val="clear"/>
            <w:tcMar>
              <w:top w:type="dxa" w:w="80"/>
              <w:left w:type="dxa" w:w="100"/>
              <w:bottom w:type="dxa" w:w="80"/>
              <w:right w:type="dxa" w:w="100"/>
            </w:tcMar>
          </w:tcPr>
          <w:p>
            <w:r>
              <w:rPr>
                <w:rFonts w:ascii="Calibri" w:cs="Calibri" w:eastAsia="Calibri" w:hAnsi="Calibri"/>
                <w:sz w:val="18"/>
                <w:szCs w:val="18"/>
              </w:rPr>
              <w:t xml:space="preserve">Derivação de ρ_omissão a partir do depósito OSF (D-02).</w:t>
            </w:r>
          </w:p>
        </w:tc>
        <w:tc>
          <w:tcPr>
            <w:tcW w:type="dxa" w:w="3000"/>
            <w:shd w:fill="F2F2F2" w:color="auto" w:val="clear"/>
            <w:tcMar>
              <w:top w:type="dxa" w:w="80"/>
              <w:left w:type="dxa" w:w="100"/>
              <w:bottom w:type="dxa" w:w="80"/>
              <w:right w:type="dxa" w:w="100"/>
            </w:tcMar>
          </w:tcPr>
          <w:p>
            <w:pPr>
              <w:spacing w:after="40"/>
            </w:pPr>
            <w:r>
              <w:rPr>
                <w:rFonts w:ascii="Calibri" w:cs="Calibri" w:eastAsia="Calibri" w:hAnsi="Calibri"/>
                <w:b/>
                <w:bCs/>
                <w:color w:val="8A6300"/>
                <w:sz w:val="18"/>
                <w:szCs w:val="18"/>
              </w:rPr>
              <w:t xml:space="preserve">Staged no Windows — falta commit+push</w:t>
            </w:r>
          </w:p>
        </w:tc>
      </w:tr>
    </w:tbl>
    <w:p>
      <w:pPr>
        <w:pStyle w:val="Heading2"/>
        <w:spacing w:after="140" w:before="280"/>
      </w:pPr>
      <w:r>
        <w:rPr>
          <w:rFonts w:ascii="Calibri" w:cs="Calibri" w:eastAsia="Calibri" w:hAnsi="Calibri"/>
          <w:b/>
          <w:bCs/>
          <w:color w:val="5E1B39"/>
          <w:sz w:val="24"/>
          <w:szCs w:val="24"/>
        </w:rPr>
        <w:t xml:space="preserve">Comandos para destravar (rodar no terminal do Windows)</w:t>
      </w:r>
    </w:p>
    <w:p>
      <w:pPr>
        <w:spacing w:after="120" w:before="0"/>
      </w:pPr>
      <w:r>
        <w:rPr>
          <w:rFonts w:ascii="Calibri" w:cs="Calibri" w:eastAsia="Calibri" w:hAnsi="Calibri"/>
          <w:sz w:val="20"/>
          <w:szCs w:val="20"/>
        </w:rPr>
        <w:t xml:space="preserve">Os quatro arquivos já estão no índice do Git. Falta apenas confirmar e enviar — precisa ser do seu terminal, porque a identidade e as credenciais do GitHub estão lá, não no ambiente de onde eu opero.</w:t>
      </w:r>
    </w:p>
    <w:p>
      <w:pPr>
        <w:shd w:fill="F5F5F5" w:color="auto" w:val="clear"/>
        <w:spacing w:after="100" w:before="100"/>
      </w:pPr>
      <w:r>
        <w:rPr>
          <w:rFonts w:ascii="Consolas" w:cs="Consolas" w:eastAsia="Consolas" w:hAnsi="Consolas"/>
          <w:sz w:val="18"/>
          <w:szCs w:val="18"/>
        </w:rPr>
        <w:t xml:space="preserve">cd C:\Users\Isadora\Dev\TCC2</w:t>
      </w:r>
    </w:p>
    <w:p>
      <w:pPr>
        <w:shd w:fill="F5F5F5" w:color="auto" w:val="clear"/>
        <w:spacing w:after="100"/>
      </w:pPr>
      <w:r>
        <w:rPr>
          <w:rFonts w:ascii="Consolas" w:cs="Consolas" w:eastAsia="Consolas" w:hAnsi="Consolas"/>
          <w:sz w:val="18"/>
          <w:szCs w:val="18"/>
        </w:rPr>
        <w:t xml:space="preserve">git commit -m "Pareceres do revisor: Porta 1, teste local, auditoria do MVP e rho_omissao"</w:t>
      </w:r>
    </w:p>
    <w:p>
      <w:pPr>
        <w:shd w:fill="F5F5F5" w:color="auto" w:val="clear"/>
        <w:spacing w:after="160"/>
      </w:pPr>
      <w:r>
        <w:rPr>
          <w:rFonts w:ascii="Consolas" w:cs="Consolas" w:eastAsia="Consolas" w:hAnsi="Consolas"/>
          <w:sz w:val="18"/>
          <w:szCs w:val="18"/>
        </w:rPr>
        <w:t xml:space="preserve">git push origin revisao-auditoria</w:t>
      </w:r>
    </w:p>
    <w:p>
      <w:pPr>
        <w:spacing w:after="120" w:before="0"/>
      </w:pPr>
      <w:r>
        <w:rPr>
          <w:rFonts w:ascii="Calibri" w:cs="Calibri" w:eastAsia="Calibri" w:hAnsi="Calibri"/>
          <w:sz w:val="20"/>
          <w:szCs w:val="20"/>
        </w:rPr>
        <w:t xml:space="preserve">Existe uma pasta _to_delete na raiz do repositório com arquivos de trava (index.lock) que eu precisei remover de dentro de .git/. Pode apagar essa pasta à vontade — é lixo, não entra em nenhum commit.</w:t>
      </w:r>
    </w:p>
    <w:p>
      <w:r>
        <w:br w:type="page"/>
      </w:r>
    </w:p>
    <w:p>
      <w:pPr>
        <w:pStyle w:val="Heading1"/>
        <w:spacing w:after="200" w:before="360"/>
      </w:pPr>
      <w:r>
        <w:rPr>
          <w:rFonts w:ascii="Calibri" w:cs="Calibri" w:eastAsia="Calibri" w:hAnsi="Calibri"/>
          <w:b/>
          <w:bCs/>
          <w:color w:val="9B2C5E"/>
          <w:sz w:val="30"/>
          <w:szCs w:val="30"/>
        </w:rPr>
        <w:t xml:space="preserve">7. Como manter este documento</w:t>
      </w:r>
    </w:p>
    <w:p>
      <w:pPr>
        <w:spacing w:after="120" w:before="0"/>
      </w:pPr>
      <w:r>
        <w:rPr>
          <w:rFonts w:ascii="Calibri" w:cs="Calibri" w:eastAsia="Calibri" w:hAnsi="Calibri"/>
          <w:sz w:val="20"/>
          <w:szCs w:val="20"/>
        </w:rPr>
        <w:t xml:space="preserve">A manutenção é por acréscimo. Nada sai.</w:t>
      </w:r>
    </w:p>
    <w:p>
      <w:pPr>
        <w:pStyle w:val="ListParagraph"/>
        <w:numPr>
          <w:ilvl w:val="0"/>
          <w:numId w:val="2"/>
        </w:numPr>
        <w:spacing w:after="70"/>
      </w:pPr>
      <w:r>
        <w:rPr>
          <w:rFonts w:ascii="Calibri" w:cs="Calibri" w:eastAsia="Calibri" w:hAnsi="Calibri"/>
          <w:sz w:val="20"/>
          <w:szCs w:val="20"/>
        </w:rPr>
        <w:t xml:space="preserve">Decisão nova: abrir D-13, D-14 … na seção 1, sempre com os quatro campos — Decisão, Base, Estado, Ressalva. Se não há ressalva, escrever “nenhuma identificada”, em vez de omitir o campo.</w:t>
      </w:r>
    </w:p>
    <w:p>
      <w:pPr>
        <w:pStyle w:val="ListParagraph"/>
        <w:numPr>
          <w:ilvl w:val="0"/>
          <w:numId w:val="2"/>
        </w:numPr>
        <w:spacing w:after="70"/>
      </w:pPr>
      <w:r>
        <w:rPr>
          <w:rFonts w:ascii="Calibri" w:cs="Calibri" w:eastAsia="Calibri" w:hAnsi="Calibri"/>
          <w:sz w:val="20"/>
          <w:szCs w:val="20"/>
        </w:rPr>
        <w:t xml:space="preserve">Decisão revista: NÃO editar a entrada original. Acrescentar abaixo dela um parágrafo “Revisão em &lt;data&gt;:” dizendo o que mudou e por quê. O histórico é o valor do documento.</w:t>
      </w:r>
    </w:p>
    <w:p>
      <w:pPr>
        <w:pStyle w:val="ListParagraph"/>
        <w:numPr>
          <w:ilvl w:val="0"/>
          <w:numId w:val="2"/>
        </w:numPr>
        <w:spacing w:after="70"/>
      </w:pPr>
      <w:r>
        <w:rPr>
          <w:rFonts w:ascii="Calibri" w:cs="Calibri" w:eastAsia="Calibri" w:hAnsi="Calibri"/>
          <w:sz w:val="20"/>
          <w:szCs w:val="20"/>
        </w:rPr>
        <w:t xml:space="preserve">Fonte nova: entra na seção 2.2 por padrão. Só sobe para 2.1 depois que o texto integral for obtido E a afirmação específica for conferida contra o que está escrito nele.</w:t>
      </w:r>
    </w:p>
    <w:p>
      <w:pPr>
        <w:pStyle w:val="ListParagraph"/>
        <w:numPr>
          <w:ilvl w:val="0"/>
          <w:numId w:val="2"/>
        </w:numPr>
        <w:spacing w:after="70"/>
      </w:pPr>
      <w:r>
        <w:rPr>
          <w:rFonts w:ascii="Calibri" w:cs="Calibri" w:eastAsia="Calibri" w:hAnsi="Calibri"/>
          <w:sz w:val="20"/>
          <w:szCs w:val="20"/>
        </w:rPr>
        <w:t xml:space="preserve">Fonte descartada: fica registrada, com o motivo do descarte. Saber o que foi considerado e rejeitado é parte da defesa metodológica.</w:t>
      </w:r>
    </w:p>
    <w:p>
      <w:pPr>
        <w:pStyle w:val="ListParagraph"/>
        <w:numPr>
          <w:ilvl w:val="0"/>
          <w:numId w:val="2"/>
        </w:numPr>
        <w:spacing w:after="70"/>
      </w:pPr>
      <w:r>
        <w:rPr>
          <w:rFonts w:ascii="Calibri" w:cs="Calibri" w:eastAsia="Calibri" w:hAnsi="Calibri"/>
          <w:sz w:val="20"/>
          <w:szCs w:val="20"/>
        </w:rPr>
        <w:t xml:space="preserve">Achado novo do revisor: A-11, A-12 … na seção 3, sempre com a evidência recomputada, nunca com o relato de terceiro.</w:t>
      </w:r>
    </w:p>
    <w:p>
      <w:pPr>
        <w:pStyle w:val="ListParagraph"/>
        <w:numPr>
          <w:ilvl w:val="0"/>
          <w:numId w:val="2"/>
        </w:numPr>
        <w:spacing w:after="70"/>
      </w:pPr>
      <w:r>
        <w:rPr>
          <w:rFonts w:ascii="Calibri" w:cs="Calibri" w:eastAsia="Calibri" w:hAnsi="Calibri"/>
          <w:sz w:val="20"/>
          <w:szCs w:val="20"/>
        </w:rPr>
        <w:t xml:space="preserve">Retratação: sempre em R-xx na seção 4, com o que foi dito, por que está errado e qual é a posição corrigida.</w:t>
      </w:r>
    </w:p>
    <w:p>
      <w:pPr>
        <w:spacing w:after="120" w:before="160"/>
      </w:pPr>
      <w:r>
        <w:rPr>
          <w:rFonts w:ascii="Calibri" w:cs="Calibri" w:eastAsia="Calibri" w:hAnsi="Calibri"/>
          <w:b/>
          <w:bCs/>
          <w:sz w:val="20"/>
          <w:szCs w:val="20"/>
        </w:rPr>
        <w:t xml:space="preserve">Regra que não muda: nenhuma afirmação vai para a monografia apoiada em fonte marcada como NÃO VERIFICADA ou METADADOS CONFERIDOS. Ou o texto é obtido e lido, ou a afirmação sai.</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TCC2 — Histórico de decisões e fontes · v1 · 16/09/2026 · página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oozxhinqvjck_85jyalo" Type="http://schemas.openxmlformats.org/officeDocument/2006/relationships/hyperlink" Target="https://doi.org/10.1109/TSMCA.2012.2199304" TargetMode="External"/><Relationship Id="rIdgis_sjpuho-zlw7jm8dpe" Type="http://schemas.openxmlformats.org/officeDocument/2006/relationships/hyperlink" Target="https://osf.io/q2dm6/" TargetMode="External"/><Relationship Id="rIdevdu4cg660w1xt68dhi6_" Type="http://schemas.openxmlformats.org/officeDocument/2006/relationships/hyperlink" Target="https://doi.org/10.1177/154193120805201944" TargetMode="External"/><Relationship Id="rIdv1vt2lzhb5zvprsi7otm9" Type="http://schemas.openxmlformats.org/officeDocument/2006/relationships/hyperlink" Target="https://doi.org/10.1109/TSE.2013.11" TargetMode="External"/><Relationship Id="rIdip0o5l0ngsrrpu50aaebf" Type="http://schemas.openxmlformats.org/officeDocument/2006/relationships/hyperlink" Target="https://doi.org/10.1016/0749-5978(86)90044-0" TargetMode="External"/><Relationship Id="rIdaubq_csj0flmpake8i58r" Type="http://schemas.openxmlformats.org/officeDocument/2006/relationships/hyperlink" Target="https://doi.org/10.1016/j.ergon.2012.09.001" TargetMode="External"/><Relationship Id="rIdekkbb4euqf87y5kroc_02" Type="http://schemas.openxmlformats.org/officeDocument/2006/relationships/hyperlink" Target="https://doi.org/10.1371/journal.pcbi.1003968" TargetMode="External"/><Relationship Id="rIdobwmlntvnajw_ffyj1b3p" Type="http://schemas.openxmlformats.org/officeDocument/2006/relationships/hyperlink" Target="https://doi.org/10.1080/00031305.1994.10476030" TargetMode="External"/><Relationship Id="rIdsb1edig3elwoeorybp_ua" Type="http://schemas.openxmlformats.org/officeDocument/2006/relationships/hyperlink" Target="https://doi.org/10.1093/bioinformatics/btp358" TargetMode="External"/><Relationship Id="rIdd3j_qa0pllf7gdngxfvoy" Type="http://schemas.openxmlformats.org/officeDocument/2006/relationships/hyperlink" Target="https://doi.org/10.1126/science.1116681" TargetMode="External"/><Relationship Id="rId-ycc3s-djt_jgqd5gl-bu" Type="http://schemas.openxmlformats.org/officeDocument/2006/relationships/hyperlink" Target="https://arxiv.org/abs/1804.06788" TargetMode="External"/><Relationship Id="rIdimeoaaatjm7yzl82rltuv" Type="http://schemas.openxmlformats.org/officeDocument/2006/relationships/hyperlink" Target="https://doi.org/10.1080/01446190050024897" TargetMode="External"/><Relationship Id="rIdj4ktsjojr5tulfagbwcn8" Type="http://schemas.openxmlformats.org/officeDocument/2006/relationships/hyperlink" Target="http://www.om-db.wi.tum.de/psplib/"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TCC2 — Histórico de decisões e fontes</dc:title>
  <dc:creator>Isadora M. Carvalho</dc:creator>
  <dc:description>Registro incremental de decisões e fontes do TCC2</dc:description>
  <cp:lastModifiedBy>Un-named</cp:lastModifiedBy>
  <cp:revision>1</cp:revision>
  <dcterms:created xsi:type="dcterms:W3CDTF">2026-09-16T14:25:28.595Z</dcterms:created>
  <dcterms:modified xsi:type="dcterms:W3CDTF">2026-09-16T14:25:28.595Z</dcterms:modified>
</cp:coreProperties>
</file>

<file path=docProps/custom.xml><?xml version="1.0" encoding="utf-8"?>
<Properties xmlns="http://schemas.openxmlformats.org/officeDocument/2006/custom-properties" xmlns:vt="http://schemas.openxmlformats.org/officeDocument/2006/docPropsVTypes"/>
</file>