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UNIVERSIDADE FEDERAL DE MINAS GERAIS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Engenharia de Sistemas — Trabalho de Conclusão de Curso II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Pensamento sistêmico aplicado à gestão de equipes em projetos de engenharia: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metodologia e resultados iniciais da calibração empírica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Isadora Maria Carvalho Lopes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Orientador: Prof. André Batista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Belo Horizonte, setembro de 2026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 METODOLOGIA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1.1  Classificação e abordagem da pesquisa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Esta pesquisa fundamenta-se no método científico-tecnológico, caracterizando-se como pesquisa aplicada e experimental. Quanto à abordagem do problema, o estudo é quantitativo, pois as questões centrais do trabalho — se a complexidade de uma tarefa está associada à ocorrência de falhas, em que magnitude, e se essa associação é estável o bastante para ser transferida ordinalmente a outro domínio — são formuladas como hipóteses estatísticas sobre parâmetros populacionais e respondidas por estimação de efeitos, intervalos de confiança e testes de hipótese sobre bases de dados públicas.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Cabe uma delimitação metodológica desde já. O trabalho não busca construir o melhor classificador de módulos defeituosos, objetivo usual da literatura de predição de defeitos de software. Busca-se uma relação interpretável e ordinalmente transferível entre um nível de dificuldade técnica e um risco basal de retrabalho, a ser incorporada a um modelo de simulação de equipes de projeto. Essa diferença de objetivo é o que justifica privilegiar interpretabilidade e estabilidade sobre acurácia preditiva, e é o critério declarado que orienta todas as escolhas de modelagem descritas adiante.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procedimentos técnicos adotados baseiam-se na engenharia sistemática e em uma metodologia de desenvolvimento de sistemas organizada em ciclos de concepção, especificação, implementação e validação, aplicados de forma incremental a cada etapa do pipeline de dados.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1.2  Materiais, ferramentas e recursos de engenharia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o planejamento, a modelagem e a execução das atividades foram utilizados os seguintes recursos técnicos.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Ambientes de desenvolvimento e software: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Visual Studio Code 1.125 como ambiente de desenvolvimento; Git 2.49 para controle de versão, com repositório remoto privado no GitHub garantindo sincronização entre as duas estações de trabalho utilizadas; ambiente virtual Python isolado por projeto, com dependências declaradas em arquivo de requisitos versionado.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Linguagens, frameworks e bibliotecas: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Python 3.14 como linguagem de implementação. Bibliotecas: pandas 3.0.5 (manipulação tabular), NumPy 2.5.2 (álgebra numérica), SciPy 1.15 (distribuições e testes), statsmodels 0.15 (regressão logística, verossimilhança e inferência) e Matplotlib 3.10 (figuras). A etapa de auditoria dos arquivos brutos foi implementada exclusivamente com a biblioteca padrão, por decisão metodológica justificada na Seção 1.4.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Componentes de hardware e instrumentação: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 aplicável. O trabalho é integralmente computacional, baseado em análise secundária de bases públicas e em simulação.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Bases de dados e fontes de informação: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(i) NASA Metrics Data Program (MDP), nas versões limpas D′ e D″ disponibilizadas por Shepperd et al. (2013), utilizadas para a calibração da relação entre complexidade e defeito; (ii) NASA Promise Data Repository, versões brutas dos conjuntos CM1, JM1, KC1, KC2 e PC1, utilizadas como termo de comparação e para a auditoria de proveniência; (iii) PSPLIB, conjunto J60, com 480 instâncias de projeto, utilizado para a estrutura de execução — tarefas, precedências, durações e restrições de recursos; (iv) NASA Software Engineering Handbook, requisito SWE-220, e relatório NASA/TM-20205011566 (NESC), como fonte normativa dos limiares de complexidade ciclomática.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1.3  Processo de desenvolvimento do software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desenvolvimento seguiu um ciclo de engenharia incremental, no qual cada etapa do pipeline é implementada como um script independente, verificada isoladamente e só então integrada à etapa seguinte. A estrutura adotada é a seguinte.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Requisitos e restrições: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imutabilidade dos dados brutos; rastreabilidade de cada observação até o arquivo e a linha de origem; toda transformação realizada por código e registrada em log; distinção explícita entre o que provém da literatura, o que é decisão metodológica deste trabalho e o que é exploração.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Projeto e arquitetura: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separação entre camada de dados brutos (somente leitura), camada de processamento (scripts numerados na ordem de execução) e camada de saídas (tabelas, figuras e logs), conforme a Figura 1.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seis scripts em Python, executáveis de forma independente e em sequência, cada um documentando internamente o problema que resolve, sua entrada, sua saída, sua lógica, a origem de cada decisão e o critério de verificação do próprio resultado.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Verificação e ensaios: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cada script encerra com um bloco de verificações automáticas que compara seu resultado com invariantes conhecidas — totais que devem se conservar, chaves que devem ser únicas, ausências que não podem existir, propriedades matemáticas que devem valer. Uma verificação que falha interrompe a execução com código de erro, de modo que uma etapa defeituosa não alimenta silenciosamente a seguinte.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1.4  Procedimentos experimentais e coleta de dados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dados foram extraídos de forma integralmente automatizada, por meio dos scripts descritos, a partir dos arquivos originais dos repositórios públicos. Nenhum arquivo bruto foi editado em momento algum: todas as transformações produzem arquivos derivados, e a integridade dos originais é verificável por resumo criptográfico SHA-256 calculado a cada execução. O repositório está configurado para preservar os bytes originais dos arquivos de dados, impedindo que o sistema de controle de versão converta terminadores de linha e altere fisicamente os arquivos entre as duas estações de trabalho — precaução sem a qual a verificação por resumo criptográfico deixaria de ser reproduzível.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etapa de auditoria foi implementada sem bibliotecas de leitura de alto nível, com uso exclusivo da biblioteca padrão do Python. A justificativa é metodológica: leitores de dados de alto nível convertem tipos, tratam valores ausentes e descartam registros malformados de maneira silenciosa, o que destruiria precisamente a evidência que a auditoria pretende coletar. A partir da etapa de consolidação, com os dados já caracterizados, o uso de bibliotecas de análise passa a ser adequado.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condições controladas dos ensaios são as seguintes: a base de análise é fixa (17.377 observações de 12 projetos); a unidade de observação é o módulo de software; o desfecho é binário (módulo defeituoso ou não); o efeito do projeto de origem é sempre incluído nos modelos, de modo que nenhuma associação seja atribuída a uma métrica quando puder ser explicada pela procedência da observação; e todos os testes de robustez — sensibilidade aos pontos de corte e validação por exclusão sucessiva de projetos — são executados sobre a mesma base, sem reamostragem aleatória, o que torna os resultados determinísticos e reproduzíveis bit a bit.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 RESULTADOS INICIAIS E DISCUSSÃO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  Arquitetura e implementação da solução inicial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primeira versão funcional do pipeline de dados foi concluída e validada. Os requisitos essenciais de rastreabilidade, imutabilidade e verificação automática foram atendidos. A Figura 1 apresenta a arquitetura implementada, organizada em três camadas: dados brutos imutáveis, scripts de processamento e saídas auditáveis.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1: Arquitetura do pipeline de dados implementado. 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verificação independente de reprodutibilidade, o pipeline foi executado em dois ambientes computacionais distintos — sistemas operacionais e versões de biblioteca diferentes — produzindo resultados numericamente idênticos em todas as etapas.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2.2  Métricas de desempenho e resultados dos ensaios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ensaios iniciais avaliaram três dimensões: a integridade dos dados de entrada, a fidelidade da base de análise em relação ao procedimento publicado que a gerou, e a magnitude e a estabilidade das associações estatísticas de interesse. A Tabela 1 consolida os indicadores obtidos.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 – Indicadores de desempenho obtidos nos ensaios iniciais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750"/>
        <w:gridCol w:w="2550"/>
        <w:gridCol w:w="3170"/>
        <w:gridCol w:w="1600"/>
      </w:tblGrid>
      <w:tr>
        <w:trPr>
          <w:tblHeader/>
        </w:trPr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2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 analisado</w:t>
            </w:r>
          </w:p>
        </w:tc>
        <w:tc>
          <w:tcPr>
            <w:tcW w:type="dxa" w:w="31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/ métrica medida</w:t>
            </w:r>
          </w:p>
        </w:tc>
        <w:tc>
          <w:tcPr>
            <w:tcW w:type="dxa" w:w="16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01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Cobertura e integridade dos arquivos brutos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 arquivos, 49.942 observações; resumo SHA-256 por arquivo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01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Correspondência entre pares ARFF e CSV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 de 5 pares equivalentes; JM1 divergente (10.885 vs. 13.204 registros)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Anomalia identificada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 – Validação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Reprodução de D′ para D″ pelo algoritmo publicado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 de 12 conjuntos reproduzidos no conjunto de módulos preservados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 – Validação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Resíduo não explicado pelo pseudocódigo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46 de 17.377 registros (0,26%), restritos à escolha do rótulo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Documentado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02 – Consolidação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Base única com rastreabilidade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17.377 observações, 12 projetos, 20 métricas, 0 valores ausentes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Ganho explicativo da complexidade sobre o efeito de projeto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LR = 639,8; gl = 1; p ≈ 3,6 × 10⁻¹⁴¹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Efeito da complexidade ciclomática controlando o tamanho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RC = 0,944; IC 95% [0,870; 1,024]; p = 0,17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Multicolinearidade entre métricas (VIF)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HALSTEAD_EFFORT = 23,1; HALSTEAD_DIFFICULTY = 15,2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Métricas excluídas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Ordenação do risco por faixa de complexidade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0,147 / 0,285 / 0,348 / 0,439; tendência z = 25,6; p ≈ 1,8 × 10⁻¹⁴⁴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aos pontos de corte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Ordenação monotônica preservada em 5 de 5 esquemas testados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Validação por exclusão sucessiva de projetos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Monotonicidade em 12 de 12 reamostragens; amplitude máxima 0,087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Integridade estrutural das instâncias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480 arquivos; 62 nós e 4 recursos renováveis em todos; 480/480 grafos acíclicos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Reconstrução do delineamento experimental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Fatorial 3 × 4 × 4 = 48 células completo e balanceado, 10 instâncias por célula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Pipeline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Reprodutibilidade entre ambientes distintos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Resultados numericamente idênticos em duas execuções independentes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RC = razão de chances; LR = estatística do teste da razão de verossimilhança; VIF = fator de inflação da variância.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2.3  Discussão científica preliminar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solução comporta-se de maneira estável sob as condições de ensaio. Três resultados merecem discussão.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Qualidade e proveniência dos dados.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auditoria confirmou empiricamente as advertências de Shepperd et al. (2013) quanto à circulação de versões divergentes dos conjuntos NASA. Os cinco pares de arquivos do repositório Promise reproduzem exatamente as contagens tabuladas pelos autores, exceto o JM1: o arquivo em formato ARFF contém 10.885 registros, coincidindo com o catalogado, enquanto o arquivo CSV homônimo contém 13.204. Os dois arquivos compartilham praticamente o mesmo conjunto de observações distintas, diferindo na multiplicidade das repetições, o que indica que um deles já passou por remoção parcial de duplicatas antes de ser distribuído como bruto. A versão CSV foi, por isso, descartada.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Fidelidade da base de análise.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Optou-se por utilizar a versão D″ publicada, e não por reproduzir a limpeza a partir dos dados brutos, porque o algoritmo dos autores pressupõe atributos (MODULE_ID, ERROR_DENSITY e ERROR_COUNT) ausentes das versões do repositório Promise disponíveis: aplicá-lo a essas versões constituiria adaptação, não replicação. Essa decisão exigia, contudo, verificar que os arquivos D″ são o que declaram ser. Dispondo também da versão D′, aplicaram-se a ela os dois passos do algoritmo que distinguem uma versão da outra — remoção de casos idênticos e de casos inconsistentes. O conjunto de módulos preservados foi reproduzido exatamente nos 12 conjuntos. Registrou-se, entretanto, uma discrepância: sob a leitura literal do pseudocódigo, que determina remover ambos os membros de um par inconsistente, apenas 4 dos 12 conjuntos são reproduzidos; sob a interpretação de que se preserva um representante por vetor de atributos, os 12 são reproduzidos em contagem. O resíduo restante — 46 registros, ou 0,26% da base — restringe-se a qual rótulo foi mantido nos grupos conflitantes. Conclui-se que os arquivos distribuídos são consistentes com o procedimento publicado quanto aos módulos selecionados, mas não seguem literalmente o pseudocódigo quanto ao tratamento do rótulo. O achado é registrado como limitação conhecida e quantificada da base, e é ele próprio um exemplo do problema de documentação de pré-processamento que os autores denunciam.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Complexidade, tamanho e risco.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resultado de maior consequência para o trabalho é negativo e foi obtido pelo teste que a metodologia previa. Isoladamente, a complexidade ciclomática apresenta associação forte com a ocorrência de defeito, mesmo controlando o projeto de origem (razão de chances 1,90 por unidade logarítmica; LR = 639,8). Contudo, ao se acrescentar o tamanho do módulo ao modelo, o efeito da complexidade desaparece: a razão de chances ajustada cai para 0,944, com intervalo de confiança de 95% entre 0,870 e 1,024 — contendo, portanto, o valor nulo — e p = 0,17. A relação inversa não se verifica: o tamanho sobrevive folgadamente ao controle pela complexidade (LR = 431,2; p ≈ 9 × 10⁻⁹⁶). A Figura 2 apresenta o mesmo teste aplicado a todas as métricas candidatas; nenhuma delas exibe efeito positivo independente do tamanho, e as que permanecem estatisticamente distinguíveis do nulo o fazem com sinal negativo, padrão característico de colinearidade e não de mecanismo causal.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2: Razões de chances das métricas candidatas antes e depois do controle pelo tamanho do módulo. 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Esse resultado não invalida o uso da complexidade como eixo ordinal, mas altera o que se pode afirmar a partir dele. A ordenação do risco pelas faixas de complexidade é forte e robusta, como mostram a Figura 3 e a Tabela 1: o risco cresce monotonicamente de 0,147 a 0,439 entre a faixa mais baixa e a mais alta, a tendência é altamente significativa, e a monotonicidade se preserva sob todos os cinco esquemas alternativos de corte testados e sob todas as doze reamostragens por exclusão de projeto. O que os dados não sustentam é a atribuição causal: a complexidade ciclomática opera, nesta base, como marcador ordinal de risco correlacionado ao tamanho, e não como fator de risco independente dele. Para o propósito deste trabalho — transferência ordinal de risco entre domínios — um marcador estável é suficiente; a afirmação de efeito independente, que não seria sustentável, é explicitamente abandonada.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3: Risco basal por faixa de complexidade ciclomática, em frequência bruta e em probabilidade ajustada pelo efeito do projeto de origem. 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faixas adotadas — v(G) ≤ 10, de 11 a 15, de 16 a 20 e acima de 20 — constituem adaptação metodológica deste trabalho a partir das faixas interpretativas do NASA Software Engineering Handbook, cujo requisito SWE-220 estabelece o limiar de 15 para software crítico de segurança e exige revisão formal e justificativa documentada para qualquer excedente. As faixas da fonte original são cinco e sobrepõem-se nos extremos; a adaptação a quatro níveis não sobrepostos, alinhada ao limiar normativo, é registrada como decisão deste trabalho e não como classificação oficial.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4: Estabilidade da ordenação sob exclusão sucessiva de cada projeto. 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Limitações.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Três limitações condicionam a leitura destes resultados. Primeira, e mais importante, os dados NASA descrevem módulos de software, ao passo que o objeto do trabalho são tarefas de projetos de engenharia; não se afirma equivalência métrica entre os domínios, e a transferência prevista é ordinal, não cardinal — a ser explicitamente qualificada na monografia. Segunda, a proveniência dos arquivos utilizados é de segunda mão: os arquivos do repositório Promise foram obtidos por meio de um espelho público que declara sua origem, e os arquivos D′ e D″ têm data anterior ao artigo que os descreve, o que recomenda confirmação junto à coleção oficial dos autores antes da redação final. Terceira, a métrica HALSTEAD_ERROR_EST foi deliberadamente excluída da seleção por circularidade: sendo definida como estimativa do número de erros derivada do volume do programa, seu uso para explicar a ocorrência de defeito equivaleria a prever defeito a partir de uma previsão de defeito; sua correlação de Spearman de 0,979 com HALSTEAD_EFFORT confirma que ela não carrega informação estrutural independente.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Consequência para a próxima etapa.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achado sobre complexidade e tamanho tem implicação direta sobre a construção do índice de dificuldade técnica no PSPLIB J60. O componente do índice análogo à magnitude da tarefa — duração normalizada e intensidade de recursos — encontra respaldo empírico na base NASA, ao passo que o componente análogo à complexidade estrutural, a criticidade na rede de precedências, não encontra respaldo independente. Recomenda-se, portanto, ponderar conservadoramente o componente estrutural e submetê-lo a análise de sensibilidade específica, em vez de tratá-lo como equivalente ao componente de magnitude. A decisão final sobre a ponderação será tomada após a caracterização do J60 e registrada no guia metodológico.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2.4  Caracterização da base PSPLIB J60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segunda base do trabalho, que fornece a estrutura de execução de projeto — tarefas, precedências, durações e restrições de recursos —, foi auditada com o mesmo protocolo. As 480 instâncias do conjunto J60 foram lidas diretamente do formato original, sem intermediários, e verificadas quanto à integridade estrutural: todas declaram 62 atividades, sendo 60 reais e duas fictícias, e 4 recursos renováveis; os 480 grafos de precedência são acíclicos.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verificação central, contudo, não é estrutural e sim de delineamento. As instâncias do PSPLIB são geradas por um projeto experimental fatorial sobre três parâmetros definidos por Kolisch, Sprecher e Drexl (1995): a complexidade de rede, dada pela razão entre arcos de precedência e atividades; o fator de recursos, que mede a fração média de tipos de recurso requisitados por atividade; e a força de recursos, que posiciona a disponibilidade entre o mínimo de viabilidade e o pico de demanda do cronograma de inícios mais cedo. Os três parâmetros foram recalculados a partir dos arquivos e seus níveis foram reconstruídos por agrupamento dos valores obtidos, sem que nenhum valor de referência fosse suposto. A Tabela 2 apresenta o resultado.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2 – Níveis dos parâmetros de delineamento reconstruídos a partir das instâncias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400"/>
        <w:gridCol w:w="3670"/>
        <w:gridCol w:w="3000"/>
      </w:tblGrid>
      <w:tr>
        <w:trPr>
          <w:tblHeader/>
        </w:trPr>
        <w:tc>
          <w:tcPr>
            <w:tcW w:type="dxa" w:w="2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36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Níveis reconstruídos dos arquivos</w:t>
            </w:r>
          </w:p>
        </w:tc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Níveis nominais do delineamento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Complexidade de rede (NC)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1,5000 / 1,8065 / 2,1129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 / 1,8 / 2,1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Fator de recursos (RF)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0,2500 / 0,5042 / 0,7542 / 1,0000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 / 0,50 / 0,75 / 1,00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Força de recursos (RS)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0,1975 / 0,5106 / 0,7038 / 1,0000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 / 0,50 / 0,70 / 1,00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reconstrução recupera um delineamento fatorial completo e balanceado de 3 × 4 × 4 = 48 células, com exatamente uma combinação por célula e dez instâncias por combinação. Como os níveis foram derivados dos próprios arquivos, o resultado valida simultaneamente a rotina de leitura e as três formulações implementadas.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Registrou-se ainda uma característica relevante do conjunto: a complexidade de rede e o fator de recursos são exatamente constantes dentro de cada combinação, ao passo que a força de recursos não é, variando em até 0,12 dentro de uma mesma célula. A causa é estrutural e não constitui defeito: a disponibilidade de cada recurso é um número inteiro, de modo que o gerador não realiza exatamente o valor pretendido e arredonda. A consequência metodológica é que o nível nominal e o valor realizado são variáveis distintas — o primeiro é um fator do delineamento, o segundo uma medida contínua — e tratá-los como equivalentes converteria ruído de arredondamento em variação experimental. Nos modelos subsequentes, o nível nominal será utilizado como fator e o valor realizado, quando pertinente, como covariável.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2.5  Cronograma de atividades e próximas etapas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3 distribui cronologicamente as atividades previstas para a conclusão do trabalho.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3 – Cronograma de finalização do trabalho (TCC II)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4270"/>
        <w:gridCol w:w="960"/>
        <w:gridCol w:w="960"/>
        <w:gridCol w:w="960"/>
        <w:gridCol w:w="960"/>
        <w:gridCol w:w="960"/>
      </w:tblGrid>
      <w:tr>
        <w:trPr>
          <w:tblHeader/>
        </w:trPr>
        <w:tc>
          <w:tcPr>
            <w:tcW w:type="dxa" w:w="42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Atividade / etapa de engenharia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Set.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Out.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Nov.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Dez.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Jan.</w:t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 Confirmação da proveniência dos dados junto à coleção oficial e fechamento da calibração NASA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 Auditoria do PSPLIB J60 e validação dos parâmetros NC, RF e RS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 Construção do proxy de dificuldade técnica e da transferência ordinal de risco NASA → J60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 Implementação do modelo de inferência difusa e integração ao simulador de equipes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 Ensaios finais, análise de sensibilidade e validação do modelo integrado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 Redação final da monografia conforme normas ABNT e preparação da defesa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REFERÊNCIAS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McCABE, T. J. A complexity measure. IEEE Transactions on Software Engineering, v. SE-2, n. 4, p. 308-320, 1976.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AERONAUTICS AND SPACE ADMINISTRATION. SWE-220 – Cyclomatic complexity for safety-critical software. NASA Software Engineering Handbook, versão D. Disponível em: https://swehb.nasa.gov. Acesso em: 3 set. 2026.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AERONAUTICS AND SPACE ADMINISTRATION. Cyclomatic complexity assessment. NASA/TM-20205011566, NESC-RP-20-01515. Washington: NASA, 2020.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SHEPPERD, M.; SONG, Q.; SUN, Z.; MAIR, C. Data quality: some comments on the NASA software defect datasets. IEEE Transactions on Software Engineering, v. 39, n. 9, p. 1208-1215, 2013.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SHEPPERD, M. The cleaned NASA MDP data sets. Thoughts on Empirical Software Engineering, 1 abr. 2018. Disponível em: https://empiricalsoftwareengineering.wordpress.com. Acesso em: 3 set. 2026.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R.; SPRECHER, A. PSPLIB – a project scheduling problem library. European Journal of Operational Research, v. 96, n. 1, p. 205-216, 1997.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R.; SPRECHER, A.; DREXL, A. Characterization and generation of a general class of resource-constrained project scheduling problems. Management Science, v. 41, n. 10, p. 1693-1703, 1995.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997be8cc4e2d43d7937ffc9c05516cb93f0b222.png"/><Relationship Id="rId8" Type="http://schemas.openxmlformats.org/officeDocument/2006/relationships/image" Target="media/bd2aeb83e116abee4f19db3d651242ed60e7b683.png"/><Relationship Id="rId9" Type="http://schemas.openxmlformats.org/officeDocument/2006/relationships/image" Target="media/14f930279bfd1e0fce3dfc9de1def10b8ade1afc.png"/><Relationship Id="rId10" Type="http://schemas.openxmlformats.org/officeDocument/2006/relationships/image" Target="media/3bf2fa59d9763d8544097b408777fb39f848d75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TCC II — Metodologia e Resultados Iniciais</dc:title>
  <dc:creator>Isadora Maria Carvalho Lopes</dc:creator>
  <cp:lastModifiedBy>Un-named</cp:lastModifiedBy>
  <cp:revision>1</cp:revision>
  <dcterms:created xsi:type="dcterms:W3CDTF">2026-09-03T19:00:21.191Z</dcterms:created>
  <dcterms:modified xsi:type="dcterms:W3CDTF">2026-09-03T19:00:21.192Z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