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UNIVERSIDADE FEDERAL DE MINAS GERAIS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Engenharia de Sistemas — Trabalho de Conclusão de Curso II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Pensamento sistêmico aplicado à gestão de equipes em projetos de engenharia: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metodologia e resultados iniciais da calibração empírica e da transferência ordinal de risco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Isadora Maria Carvalho Lopes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Orientador: Prof. André Batista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Belo Horizonte, setembro de 2026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 METODOLOGIA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1.1  Classificação e abordagem da pesquisa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pesquisa fundamenta-se no método científico-tecnológico, caracterizando-se como pesquisa aplicada e experimental. Quanto à abordagem do problema, o estudo é quantitativo, pois as questões centrais do trabalho — se a complexidade de uma tarefa está associada à ocorrência de falhas, em que magnitude, e se essa associação é estável o bastante para ser transferida ordinalmente a outro domínio — são formuladas como hipóteses estatísticas sobre parâmetros populacionais e respondidas por estimação de efeitos, intervalos de confiança e testes de hipótese sobre bases de dados públicas.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Cabe uma delimitação metodológica desde já. O trabalho não busca construir o melhor classificador de módulos defeituosos, objetivo usual da literatura de predição de defeitos de software. Busca-se uma relação interpretável e ordinalmente transferível entre um nível de dificuldade técnica e um risco basal de retrabalho, a ser incorporada a um modelo de simulação de equipes de projeto. Essa diferença de objetivo é o que justifica privilegiar interpretabilidade e estabilidade sobre acurácia preditiva, e é o critério declarado que orienta todas as escolhas de modelagem descritas adiante.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procedimentos técnicos adotados baseiam-se na engenharia sistemática e em uma metodologia de desenvolvimento de sistemas organizada em ciclos de concepção, especificação, implementação e validação, aplicados de forma incremental a cada etapa do pipeline de dados.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1.2  Materiais, ferramentas e recursos de engenharia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o planejamento, a modelagem e a execução das atividades foram utilizados os seguintes recursos técnicos.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Ambientes de desenvolvimento e software: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Visual Studio Code 1.125 como ambiente de desenvolvimento; Git 2.49 para controle de versão, com repositório remoto privado no GitHub garantindo sincronização entre as duas estações de trabalho utilizadas; ambiente virtual Python isolado por projeto, com dependências declaradas em arquivo de requisitos versionado.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Linguagens, frameworks e bibliotecas: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Python 3.14 como linguagem de implementação. Bibliotecas: pandas 3.0.5 (manipulação tabular), NumPy 2.5.2 (álgebra numérica), SciPy 1.15 (distribuições e testes), statsmodels 0.15 (regressão logística, verossimilhança e inferência) e Matplotlib 3.10 (figuras). A etapa de auditoria dos arquivos brutos foi implementada exclusivamente com a biblioteca padrão, por decisão metodológica justificada na Seção 1.4.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Componentes de hardware e instrumentação: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 aplicável. O trabalho é integralmente computacional, baseado em análise secundária de bases públicas e em simulação.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Bases de dados e fontes de informação: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(i) NASA Metrics Data Program (MDP), nas versões limpas D′ e D″ disponibilizadas por Shepperd et al. (2013), utilizadas para a calibração da relação entre complexidade e defeito; (ii) NASA Promise Data Repository, versões brutas dos conjuntos CM1, JM1, KC1, KC2 e PC1, utilizadas como termo de comparação e para a auditoria de proveniência; (iii) PSPLIB, conjunto J60, com 480 instâncias de projeto, utilizado para a estrutura de execução — tarefas, precedências, durações e restrições de recursos; (iv) NASA Software Engineering Handbook, requisito SWE-220, e relatório NASA/TM-20205011566 (NESC), como fonte normativa dos limiares de complexidade ciclomática.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1.3  Processo de desenvolvimento do software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desenvolvimento seguiu um ciclo de engenharia incremental, no qual cada etapa do pipeline é implementada como um script independente, verificada isoladamente e só então integrada à etapa seguinte. A estrutura adotada é a seguinte.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Requisitos e restrições: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imutabilidade dos dados brutos; rastreabilidade de cada observação até o arquivo e a linha de origem; toda transformação realizada por código e registrada em log; distinção explícita entre o que provém da literatura, o que é decisão metodológica deste trabalho e o que é exploração.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Projeto e arquitetura: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separação entre camada de dados brutos (somente leitura), camada de processamento (scripts numerados na ordem de execução) e camada de saídas (tabelas, figuras e logs), conforme a Figura 1.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seis scripts em Python, executáveis de forma independente e em sequência, cada um documentando internamente o problema que resolve, sua entrada, sua saída, sua lógica, a origem de cada decisão e o critério de verificação do próprio resultado.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Verificação e ensaios: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cada script encerra com um bloco de verificações automáticas que compara seu resultado com invariantes conhecidas — totais que devem se conservar, chaves que devem ser únicas, ausências que não podem existir, propriedades matemáticas que devem valer. Uma verificação que falha interrompe a execução com código de erro, de modo que uma etapa defeituosa não alimenta silenciosamente a seguinte.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1.4  Procedimentos experimentais e coleta de dados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dados foram extraídos de forma integralmente automatizada, por meio dos scripts descritos, a partir dos arquivos originais dos repositórios públicos. Nenhum arquivo bruto foi editado em momento algum: todas as transformações produzem arquivos derivados, e a integridade dos originais é verificável por resumo criptográfico SHA-256 calculado a cada execução. O repositório está configurado para preservar os bytes originais dos arquivos de dados, impedindo que o sistema de controle de versão converta terminadores de linha e altere fisicamente os arquivos entre as duas estações de trabalho — precaução sem a qual a verificação por resumo criptográfico deixaria de ser reproduzível.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etapa de auditoria foi implementada sem bibliotecas de leitura de alto nível, com uso exclusivo da biblioteca padrão do Python. A justificativa é metodológica: leitores de dados de alto nível convertem tipos, tratam valores ausentes e descartam registros malformados de maneira silenciosa, o que destruiria precisamente a evidência que a auditoria pretende coletar. A partir da etapa de consolidação, com os dados já caracterizados, o uso de bibliotecas de análise passa a ser adequado.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condições controladas dos ensaios são as seguintes: a base de análise é fixa (17.377 observações de 12 projetos); a unidade de observação é o módulo de software; o desfecho é binário (módulo defeituoso ou não); o efeito do projeto de origem é sempre incluído nos modelos, de modo que nenhuma associação seja atribuída a uma métrica quando puder ser explicada pela procedência da observação; e todos os testes de robustez — sensibilidade aos pontos de corte e validação por exclusão sucessiva de projetos — são executados sobre a mesma base, sem reamostragem aleatória, o que torna os resultados determinísticos e reproduzíveis bit a bit.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1.5  Modelagem do sistema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objeto construído é um modelo híbrido que acopla Dinâmica de Sistemas e Modelagem Baseada em Agentes, especificado na fase conceitual deste trabalho. O ecossistema é povoado por duas classes de agentes. O Agente Gestor controla um vetor dinâmico de restrições, composto pela pressão de cronograma P(t), pela restrição orçamentária Ω e pela topologia do fluxo de trabalho W, em que cada nó guarda uma dificuldade técnica Dᵢ. O Agente Engenheiro é caracterizado por um vetor contínuo de atributos que evoluem ao longo da simulação: competência técnica C(t), bateria cognitiva B(t), disponibilidade a(t), taxa de resposta na rede R(t), confiança mútua τ(t) e limiar de saturação da atenção τ_sat.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grandeza que engatilha as transições de estado é o esforço cognitivo exigido pela tarefa, que cresce com a dificuldade técnica e com a pressão de cronograma, e é aliviado pela capacidade cognitiva disponível: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E(t) = Dᵢ · P(t) / B(t)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índice de dificuldade técnica da tarefa i;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P(t)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pressão de cronograma imposta pelo gestor;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B(t)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bateria cognitiva disponível do agente.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Quando existe hiato de competência e o agente recorre à rede, a transferência lateral de conhecimento produz incremento de competência ao custo de tempo, conforme a formulação de Crowder, Robinson e Hughes (2012):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ΔC = [ 15 + 3 ( C_k − C ) ] / 100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escalares 15 e 3 representam, respectivamente, o incremento base de assimilação por interação bem-sucedida e um fator de eficiência de transferência proporcional ao hiato técnico entre provedor e receptor. São premissas iniciais e serão submetidos a análise de sensibilidade na fase de implementação, e não tratados como constantes absolutas.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saturação individual e o atrito na rede traduzem-se em multiplicadores adimensionais no intervalo [0,1], obtidos por inferência difusa — fuzzificação dos estados contínuos de fadiga e atrito por funções de pertinência, avaliação por regras e defuzzificação —, procedimento validado para representar variáveis qualitativas em Dinâmica de Sistemas (Liu, Triantis e Sarangi, 2011). A produtividade efetiva resulta da modulação da produtividade nominal por esses multiplicadores: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PR_efetiva = PR_nominal · μ_cognitivo · μ_rede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(3)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válvula que alimenta o estoque de retrabalho oculto é regida pela equação de falhas, na qual o risco basal da tarefa soma-se a uma parcela que cresce à medida que a degradação cognitiva avança: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TGE = PR_efetiva · ( F_base + R_error · ( 1 − μ_cognitivo )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(4)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F_base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risco basal de falha associado à dificuldade da tarefa;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R_error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taxa de erro adicional sob degradação cognitiva.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métrica terminal condensa a ociosidade da rede e a penalidade do satisficing num índice de eficiência total do esforço, razão entre o tempo de trabalho efetivo e o tempo total consumido: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E_total = Σ TWᵢ / Σ ( TWᵢ + TLᵢ + TUᵢ + TRᵢ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(5)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TWᵢ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trabalho efetivo na tarefa i;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TLᵢ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espera por suporte técnico;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TUᵢ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improdutivo por adiamento ou indisponibilidade da rede;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TRᵢ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retrabalho decorrente de falhas detectadas.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execução temporal dessas equações é governada por uma árvore de decisão de três portas, avaliada a cada passo. A Porta 1 detecta sobrecarga: quando o esforço exigido supera o limiar de saturação, o agente transita para processamento heurístico e, conforme o nível da restrição orçamentária, ou adia a tarefa ou a conclui com erro, injetando no estoque de retrabalho oculto uma parcela proporcional ao excesso sobre o limiar. A Porta 2 trata o hiato de competência, disparando requisição à rede e aplicando a equação (2) caso exista agente disponível e com confiança mútua suficiente. A Porta 3 corresponde à execução analítica nominal, acionada quando não há sobrecarga nem hiato de competência.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Os três estoques.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camada de dinâmica de sistemas do modelo é composta por três estoques, cujas taxas de entrada e saída são alimentadas pelas decisões dos agentes. O desgaste cognitivo acumulado (S_DC) acumula a drenagem da bateria cognitiva de todos os agentes e mede o custo cognitivo total incorrido pela equipe. O progresso validado (S_PV) acumula a duração nominal das tarefas concluídas sem defeito, e é a única medida de avanço que o modelo considera legítima: uma tarefa concluída com defeito oculto não incrementa esse estoque, ainda que o cronograma a registre como pronta. A dívida técnica latente (S_UR) acumula o esforço de retrabalho que já foi gerado mas ainda não foi detectado, medido em períodos de trabalho futuro; é o estoque que materializa a diferença entre progresso aparente e progresso real.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separação entre S_PV e o simples número de tarefas concluídas é o mecanismo pelo qual o modelo representa a patologia central que o trabalho investiga: sob pressão, a equipe continua a marcar tarefas como concluídas enquanto S_PV estagna e S_UR cresce, de modo que o painel de controle do projeto melhora exatamente enquanto o projeto piora.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Portas de decisão.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cada período, para cada tarefa elegível, o agente designado percorre uma árvore de três portas. A Porta 1 corresponde ao modo heurístico: acionada quando o esforço percebido excede o limiar de saturação, ela executa a tarefa com custo cognitivo elevado e probabilidade de defeito aumentada, e é a porta pela qual o defeito tende a ficar oculto. A Porta 2 corresponde ao adiamento: o agente reconhece que não dispõe de condições para executar a tarefa e a devolve à fila, incorrendo em tempo improdutivo. A Porta 3 corresponde à execução analítica: o agente executa a tarefa em modo deliberado, com custo cognitivo menor e risco de defeito reduzido ao patamar basal da faixa de dificuldade. A probabilidade de transição entre os modos é estocástica e governada pela Equação 6.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p_heurístico = 1 / ( 1 + exp[ − ( E − τ_sat ) / s ]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(6)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esforço percebido, conforme Equação 1;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τ_sat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limiar de saturação cognitiva do agente;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parâmetro de suavidade da transição.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estocástica foi adotada porque o texto do TCC I descreve a transição como estocástica enquanto o pseudocódigo a escreve como limiar determinístico. Com s tendendo a zero a Equação 6 recupera o limiar determinístico, de modo que as duas leituras passam a ser alternativas testáveis por análise de sensibilidade em vez de escolhas arbitrárias.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1.6  Sistema de inferência difusa e garantia de monotonicidade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multiplicadores de produtividade μ_cognitivo e μ_rede são produzidos por um sistema de inferência difusa de Mamdani–Assilian com duas entradas, três termos linguísticos triangulares por variável, base completa de nove regras e defuzzificação por centroide, conforme especificado na fase conceitual do trabalho e conforme a prática consolidada de acoplar lógica difusa a modelos de dinâmica de sistemas (LIU; TRIANTIS; SARANGI, 2011).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Requisito de monotonicidade.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saída do sistema é um multiplicador de produtividade. Exige-se, portanto, que ela seja monotonicamente não crescente em ambas as entradas: a produtividade não pode aumentar quando a fadiga ou a pressão aumentam. Trata-se de requisito estrutural do modelo, e não de preferência estética; sua violação tornaria possível que uma equipe mais fatigada produzisse mais.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implementação inicial, fiel à especificação conceitual, empregava a t-norma mínimo, isto é, a inferência conhecida como Max-Min. A superfície resultante apresentou regiões de derivada positiva. O refinamento sucessivo da malha de integração mostrou que o efeito não era artefato de discretização: a violação escalava linearmente com o passo da malha, convergindo para uma derivada positiva máxima de aproximadamente 0,26.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causa é um resultado formal.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Van Broekhoven e De Baets (2009) demonstram que a monotonicidade de modelos de Mamdani–Assilian sob defuzzificação por centroide não decorre de a base de regras ser monótona, e enumeram as cinco únicas configurações para as quais a garantia existe. Para modelos de duas entradas há uma única configuração garantida: t-norma produto com base de regras monótona e suave. A combinação de duas entradas com t-norma mínimo não figura entre elas. A não monotonicidade observada não era, portanto, defeito de implementação nem ruído numérico, mas o comportamento previsto pela teoria para a configuração escolhida.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Duas premissas do teorema foram verificadas por código sobre a base de regras adotada. A primeira, de que a base seja monótona e suave nos termos das Definições 2.1 e 2.2 dos autores, já era satisfeita: as diferenças de índice de consequente entre regras vizinhas são todas nulas ou unitárias. A segunda, de que os termos de saída constituam uma partição difusa, não era satisfeita pelos conjuntos originalmente adotados, cujas pertinências somavam entre zero e um ao longo do domínio.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Decisão metodológica.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 a configuração garantida: t-norma produto e partição difusa uniforme na saída. A configuração originalmente especificada foi mantida como valor alternativo do parâmetro declarado t_norma e é executada em varredura, de modo que a diferença entre as duas seja medida e não decretada. A Tabela 1 apresenta a medição sobre malha de 161 por 161 pontos.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 – Maior derivada positiva da superfície difusa por configuração de inferência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5230"/>
        <w:gridCol w:w="1920"/>
        <w:gridCol w:w="1920"/>
      </w:tblGrid>
      <w:tr>
        <w:trPr>
          <w:tblHeader/>
        </w:trPr>
        <w:tc>
          <w:tcPr>
            <w:tcW w:type="dxa" w:w="523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19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Garantida pelo teorema</w:t>
            </w:r>
          </w:p>
        </w:tc>
        <w:tc>
          <w:tcPr>
            <w:tcW w:type="dxa" w:w="19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Maior derivada positiva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mínimo com conjuntos originais (especificação conceitual)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0,258112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produto com conjuntos originais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0,000000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mínimo com partição difusa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0,420881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produto com partição difusa (configuração adotada)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0,000000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garantia corresponde à linha 4 da Tabela IX de Van Broekhoven e De Baets (2009).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configuração adotada é exatamente monótona dentro da precisão da integração numérica, com derivada positiva máxima da ordem de 10⁻¹⁴. O critério de verificação deixou de ser uma tolerância arbitrada por este trabalho e passou a ser a previsão do teorema. A verificação exige, adicionalmente, que a configuração de t-norma mínimo continue violando a monotonicidade: caso deixasse de violar, o diagnóstico estaria incorreto e a substituição da t-norma perderia justificativa.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adoção da partição uniforme teve um efeito colateral favorável ao rigor do modelo: os centros dos termos de saída passaram a ser estruturais, com núcleos em zero, meio e um, e dois parâmetros anteriormente arbitrados deixaram de existir.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1.7  Instrumental de calibração empírica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equações anteriores descrevem o modelo; as seguintes descrevem os métodos empregados para estimar, a partir de dados observados, os parâmetros Dᵢ e F_base que nelas aparecem. As equações (7) a (10) constituem o instrumental estatístico; as (11) a (13), os parâmetros de delineamento das instâncias; e as (14) a (20), a construção do índice de dificuldade e a transferência de risco entre domínios.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associação entre métricas e ocorrência de defeito é modelada por regressão logística. Como o desfecho é binário, modela-se o logaritmo da chance, e não a probabilidade — esta é limitada ao intervalo [0,1], que uma função linear extrapolaria: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ln [ p / ( 1 − p ) ] = β₀ + β₁x₁ + β₂x₂ + … + βₚxₚ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(7)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probabilidade de o módulo ser defeituoso;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xᵢ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variáveis explicativas, incluindo o projeto de origem como fator;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βᵢ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coeficientes estimados por máxima verossimilhança.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interpretação dos coeficientes dá-se pela razão de chances, que exprime por quanto a chance de defeito é multiplicada a cada aumento unitário na variável, mantidas as demais constantes: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RC = exp(β)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(8)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comparação entre modelos aninhados emprega o teste da razão de verossimilhança, cuja estatística segue aproximadamente uma distribuição qui-quadrado com graus de liberdade iguais ao número de parâmetros adicionais: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LR = 2 ( ℓ_completo − ℓ_reduzido )  ~  χ² ( gl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diagnóstico de multicolinearidade utiliza o fator de inflação da variância, obtido da regressão auxiliar de cada variável contra as demais: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VIFⱼ = 1 / ( 1 − R²ⱼ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(10)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três parâmetros de delineamento das instâncias do PSPLIB, conforme Kolisch, Sprecher e Drexl (1995), são a complexidade de rede, o fator de recursos e a força de recursos: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NC = | A | / | V |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(11)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| A |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número de arcos de precedência;  | V | — número de atividades, incluindo as fictícias.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RF = ( 1/n ) · Σⱼ [ ( 1/K ) · Σₖ 1{ rⱼₖ &gt; 0 } 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(12)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n, 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número de atividades reais e de tipos de recurso;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rⱼₖ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demanda da atividade j pelo recurso k;  1{·} — função indicadora.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RSₖ = ( aₖ − rₖᵐⁱⁿ ) / ( rₖᵐᵃˣ − rₖᵐⁱⁿ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(13)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aₖ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disponibilidade do recurso k;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rₖᵐⁱⁿ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maior demanda individual, menor disponibilidade que mantém o problema viável;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rₖᵐᵃˣ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pico de demanda no cronograma de inícios mais cedo.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criticidade de cada atividade é medida pela folga total, obtida das passagens para frente e para trás do método do caminho crítico: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folgaⱼ = LSⱼ − ESⱼ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(14)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ESⱼ, LSⱼ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início mais cedo e início mais tarde admissível sem atrasar o projeto.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índice de dificuldade técnica compõe três grandezas, normalizadas para [0,1] dentro de cada instância: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dⱼ = ( durⱼ − dur_mín ) / ( dur_máx − dur_mín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(15)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rⱼ = ( 1/K ) · Σₖ ( rⱼₖ / aₖ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(16)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cⱼ = 1 − folga_normⱼ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(17)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sendo o índice a combinação ponderada dos três componentes: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Dⱼ = w₁ dⱼ + w₂ rⱼ + w₃ cⱼ ,   com  w₁ + w₂ + w₃ =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(18)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pesos são tratados como suposição de partida, fixados em 1/3 cada, e submetidos a análise de sensibilidade conforme reportado na Seção 2.5.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transferência de risco entre domínios opera sobre razões, e não sobre níveis absolutos. Para cada nível ordinal ℓ, a razão de risco é estimada na base NASA em relação ao nível de referência ℓ₀: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RR( ℓ ) = F( ℓ ) / F( ℓ₀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 o risco basal atribuído a uma tarefa do PSPLIB no nível ℓ resulta do produto dessa razão por uma taxa basal do domínio de engenharia: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F_base( ℓ ) = F_âncora × RR( ℓ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(20)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F(ℓ)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frequência de defeito observada no nível ℓ da base NASA;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ℓ₀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nível de referência, correspondente à dificuldade mais baixa;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F_âncora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taxa basal de retrabalho do domínio de engenharia; parâmetro do modelo, não estimado neste trabalho.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1.8  Calibração do modelo e avaliação de identificabilidade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modelo contém parâmetros que não são diretamente observáveis. Duas perguntas distintas precisam de resposta: qual o procedimento que os fixa a partir de dados, e qual a evidência de que esse procedimento de fato os identifica. Responder apenas à primeira entregaria um algoritmo em execução, sem demonstração de que ele extrai informação.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Procedimento.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 o History Matching (ANDRIANAKIS et al., 2015). Em vez de buscar um vetor ótimo de parâmetros, o método descarta do espaço tudo o que é implausível à luz dos dados, e devolve um conjunto — designado NROY, do inglês not ruled out yet — em lugar de uma estimativa pontual. A medida de implausibilidade de cada saída e a regra de descarte são dadas pelas Equações 21 e 22.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I_j( x ) = | z_j − f̄_j( x ) | / √( V_obs,j + V_sim,j + V_mod,j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(21)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I( x ) = máx_j I_j( x ) ,   x ∈ NROY  ⟺  I( x ) ≤ 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(22)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z_j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valor observado da saída j;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f̄_j(x)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média do simulador na saída j sob o vetor de parâmetros x;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V_obs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variância da observação;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V_sim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variância da média do simulador, decorrente da estocasticidade;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V_mod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variância de discrepância entre modelo e realidade.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corte em três desvios não é escolha deste trabalho. Pela desigualdade de Vysochanskii–Petunin, para qualquer distribuição unimodal ao menos noventa e cinco por cento da massa de probabilidade situa-se a menos de três desvios da média, de modo que descartar valores com implausibilidade superior a três raramente descarta o vetor verdadeiro (PUKELSHEIM, 1994).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Dispensa do emulador.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literatura de History Matching recorre a emuladores estatísticos porque o simulador que se deseja calibrar costuma ser caro. O simulador aqui construído custa cerca de um décimo de segundo por execução, e o delineamento completo, com três mil e duzentas execuções, conclui em minutos. Avalia-se o simulador diretamente. A decisão elimina o termo de erro de emulação da Equação 21, isto é, remove uma aproximação em vez de acrescentá-la. Caso o modelo venha a encarecer, o emulador pode ser introduzido sem alteração do restante do procedimento.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Validação por gêmeo idêntico.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verificar se o procedimento identifica parâmetros, empregou-se o teste do gêmeo idêntico (McCULLOCH et al., 2022): geram-se observações sintéticas a partir de um vetor de parâmetros conhecido, executa-se a calibração sem informar esse vetor, e verifica-se se o conjunto NROY resultante o contém. Duas precauções de desenho foram adotadas. O vetor verdadeiro foi posicionado deliberadamente fora do centro das faixas, pois um alvo situado no meio do espaço não testa as bordas do procedimento. E as sementes aleatórias que geram as observações sintéticas são disjuntas das utilizadas pelo simulador durante a calibração; sem essa separação, o teste compararia ruído idêntico consigo mesmo e seria aprovado trivialmente.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Limitação a declarar.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teste do gêmeo idêntico o modelo é, por construção, a própria verdade, de modo que a variância de discrepância V_mod é nula. O teste é, portanto, otimista: mede se o procedimento identifica parâmetros no cenário mais favorável concebível. A reprovação nele condenaria o procedimento, mas a aprovação não garante desempenho equivalente diante de dados reais, situação em que V_mod é positiva e precisa ser especificada. Essa assimetria é mantida explícita na leitura dos resultados.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1.9  Matriz de cenários e desenho experimental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experimento central do trabalho contrasta dois arranjos de governança submetidos a condições externas idênticas. A Tabela 2 apresenta os parâmetros organizacionais que os distinguem. Todos os demais elementos — instâncias de projeto, índice de dificuldade das tarefas, disponibilidade de recursos e função de pressão — são idênticos entre os braços, e constituem o controle experimental.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2 – Matriz de cenários: parâmetros organizacionais que distinguem os arranjos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100"/>
        <w:gridCol w:w="1500"/>
        <w:gridCol w:w="1500"/>
        <w:gridCol w:w="3970"/>
      </w:tblGrid>
      <w:tr>
        <w:trPr>
          <w:tblHeader/>
        </w:trPr>
        <w:tc>
          <w:tcPr>
            <w:tcW w:type="dxa" w:w="21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Adaptativa</w:t>
            </w:r>
          </w:p>
        </w:tc>
        <w:tc>
          <w:tcPr>
            <w:tcW w:type="dxa" w:w="39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Interpretação organizacional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τ_inicial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0,80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confiança inicial na rede de pares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τ_mín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0,60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limiar de confiança para conceder ajuda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p_reporte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probabilidade de reportar defeito em vez de ocultá-lo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p_detecção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0,12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probabilidade de a dívida oculta aflorar por período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(2026), a partir de config/parametros.yaml.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Quatro parâmetros variam simultaneamente.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dois arranjos diferem em todos os quatro parâmetros organizacionais, e não apenas na probabilidade de reporte. Essa é uma limitação de delineamento que precisa ser declarada: um contraste que move quatro variáveis ao mesmo tempo não permite atribuir o efeito observado a nenhum mecanismo isolado. O experimento compara dois PACOTES de governança, e é assim que deve ser lido. A decomposição do efeito por parâmetro exige um ensaio de ablação, que consta do cronograma e ainda não foi executado.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Sobre a probabilidade de detecção.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probabilidade de a dívida oculta aflorar por período é quatro vezes maior no arranjo adaptativo. Ela não é, portanto, uma constante do ambiente: é parte do pacote de governança, e responde pela diferença no tempo que o projeto passa aguardando o afloramento de defeitos já cometidos. Uma versão anterior deste documento afirmava que esse parâmetro era idêntico entre os braços e que não constituía variável de governança; a afirmação era falsa e foi corrigida.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Segurança psicológica como mecanismo.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parâmetro que distingue substantivamente os dois arranjos é a probabilidade de reporte de defeito. Ela operacionaliza a noção de segurança psicológica: em um arranjo centralizado, o agente que detecta um defeito próprio antecipa custo pessoal ao reportá-lo e tende a ocultá-lo, alimentando o estoque de dívida técnica latente; em um arranjo adaptativo, o mesmo agente reporta, e o retrabalho é pago imediatamente e de forma visível. O modelo não presume qual arranjo é superior: a diferença de desempenho, se existir, emerge da interação entre ocultação, acúmulo de dívida e pressão de prazo.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Delineamento pareado.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Cada par de execuções emprega a mesma instância e a mesma semente aleatória nos dois braços. A variação atribuível à instância e ao sorteio é, portanto, comum aos dois e cancela-se na diferença, o que eleva substancialmente a potência estatística em relação a um delineamento independente de mesmo tamanho. A inferência emprega o teste de Wilcoxon para amostras pareadas, e não o teste t, porque as saídas do modelo são assimétricas e limitadas inferiormente por zero. O tamanho de efeito é reportado pelo d de Cohen pareado e pela proporção de pares favoráveis, uma vez que, com centenas de pares, o valor-p isoladamente não distingue diferença relevante de diferença meramente detectável.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1.10  Pontos de acoplamento entre a calibração e o modelo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duas formulações anteriores encontram-se em dois pontos precisos, e é esse encontro que define o escopo da presente entrega.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Primeiro acoplamento.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índice Dᵢ, construído pela equação (18) sobre as 28.800 tarefas do PSPLIB J60, é exatamente a grandeza que aparece no numerador da equação (1). Antes desta etapa, a dificuldade técnica das tarefas seria um parâmetro arbitrado; ela passa a ser derivada de grandezas medidas nas próprias instâncias.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Segundo acoplamento.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risco basal F_base, obtido pela equação (20) a partir da calibração sobre a base NASA, é o termo que aparece na equação de falhas (4), governando a válvula que alimenta o estoque de retrabalho oculto. Antes desta etapa, esse risco seria uma suposição; ele passa a ser um gradiente estimado empiricamente, com incerteza quantificada, ainda que ancorado a uma taxa basal a definir.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resultados apresentados no capítulo seguinte referem-se integralmente a esses dois acoplamentos. Os demais componentes do modelo — a inferência difusa que produz μ_cognitivo e μ_rede, a árvore de decisão de três portas, os estoques e a integração temporal — permanecem na especificação formal estabelecida na fase conceitual e serão implementados na etapa subsequente, conforme o cronograma da Seção 2.7.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 RESULTADOS INICIAIS E DISCUSSÃO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  Arquitetura e implementação da solução inicial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primeira versão funcional do pipeline de dados foi concluída e validada. Os requisitos essenciais de rastreabilidade, imutabilidade e verificação automática foram atendidos. A Figura 1 apresenta a arquitetura implementada, organizada em três camadas: dados brutos imutáveis, scripts de processamento e saídas auditáveis.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1 – Arquitetura do pipeline de dados implementado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verificação independente de reprodutibilidade, o pipeline foi executado em dois ambientes computacionais distintos — sistemas operacionais e versões de biblioteca diferentes — produzindo resultados numericamente idênticos em todas as etapas.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2.2  Métricas de desempenho e resultados dos ensaios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ensaios iniciais avaliaram três dimensões: a integridade dos dados de entrada, a fidelidade da base de análise em relação ao procedimento publicado que a gerou, e a magnitude e a estabilidade das associações estatísticas de interesse. A Tabela 3 consolida os indicadores obtidos.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3 – Indicadores de desempenho obtidos nos ensaios iniciais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750"/>
        <w:gridCol w:w="2550"/>
        <w:gridCol w:w="3170"/>
        <w:gridCol w:w="1600"/>
      </w:tblGrid>
      <w:tr>
        <w:trPr>
          <w:tblHeader/>
        </w:trPr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2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 analisado</w:t>
            </w:r>
          </w:p>
        </w:tc>
        <w:tc>
          <w:tcPr>
            <w:tcW w:type="dxa" w:w="31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/ métrica medida</w:t>
            </w:r>
          </w:p>
        </w:tc>
        <w:tc>
          <w:tcPr>
            <w:tcW w:type="dxa" w:w="16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Cobertura e integridade dos arquivos brutos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 arquivos, 49.942 observações; resumo SHA-256 por arquivo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Correspondência entre pares ARFF e CSV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 de 5 pares equivalentes; JM1 divergente (10.885 vs. 13.204 registros)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Anomalia identificada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Reprodução de D′ para D″ pelo algoritmo publicado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 de 12 conjuntos reproduzidos no conjunto de módulos preservados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Resíduo não explicado pelo pseudocódigo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46 de 17.377 registros (0,26%), restritos à escolha do rótulo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Documentado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02 – Consolidação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Base única com rastreabilidade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17.377 observações, 12 projetos, 20 métricas, 0 valores ausentes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Ganho explicativo da complexidade sobre o efeito de projeto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LR = 639,8; gl = 1; p ≈ 3,6 × 10⁻¹⁴¹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Efeito da complexidade ciclomática controlando o tamanho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RC = 0,944; IC 95% [0,870; 1,024]; p = 0,17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Multicolinearidade entre métricas (VIF)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HALSTEAD_EFFORT = 23,1; HALSTEAD_DIFFICULTY = 15,2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Métricas excluídas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do risco por faixa de complexidade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0,147 / 0,285 / 0,348 / 0,439; tendência z = 25,6; p ≈ 1,8 × 10⁻¹⁴⁴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aos pontos de corte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monotônica preservada em 5 de 5 esquemas testados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Validação por exclusão sucessiva de projetos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Monotonicidade em 12 de 12 reamostragens; amplitude máxima 0,087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Integridade estrutural das instâncias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480 arquivos; 62 nós e 4 recursos renováveis em todos; 480/480 grafos acíclicos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Reconstrução do delineamento experimental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Fatorial 3 × 4 × 4 = 48 células completo e balanceado, 10 instâncias por célula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Ortogonalidade entre os componentes do índice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Spearman entre duração, intensidade e criticidade: −0,004; 0,003; 0,193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Adequação da medida de criticidade prevista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Contagem de sucessores × folga total: Spearman 0,116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Substituída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da ordenação aos pesos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Menor correlação de ordenação entre 6 esquemas: 0,847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Gradiente de risco NASA → J60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RR = 1,00 / 1,94 / 2,37 / 2,99; IC 95% por bootstrap de projetos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Viés da correspondência direta de rótulos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Inflação de 1,74× no risco médio, por artefato do tamanho dos estratos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Método descartado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Pipeline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Reprodutibilidade entre ambientes distintos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Resultados numericamente idênticos em duas execuções independentes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RC = razão de chances; LR = estatística do teste da razão de verossimilhança; VIF = fator de inflação da variância.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2.3  Discussão científica preliminar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solução comporta-se de maneira estável sob as condições de ensaio. Três resultados merecem discussão.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Qualidade e proveniência dos dados.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auditoria confirmou empiricamente as advertências de Shepperd et al. (2013) quanto à circulação de versões divergentes dos conjuntos NASA. Os cinco pares de arquivos do repositório Promise reproduzem exatamente as contagens tabuladas pelos autores, exceto o JM1: o arquivo em formato ARFF contém 10.885 registros, coincidindo com o catalogado, enquanto o arquivo CSV homônimo contém 13.204. Os dois arquivos compartilham praticamente o mesmo conjunto de observações distintas, diferindo na multiplicidade das repetições, o que indica que um deles já passou por remoção parcial de duplicatas antes de ser distribuído como bruto. A versão CSV foi, por isso, descartada.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Fidelidade da base de análise.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Optou-se por utilizar a versão D″ publicada, e não por reproduzir a limpeza a partir dos dados brutos, porque o algoritmo dos autores pressupõe atributos (MODULE_ID, ERROR_DENSITY e ERROR_COUNT) ausentes das versões do repositório Promise disponíveis: aplicá-lo a essas versões constituiria adaptação, não replicação. Essa decisão exigia, contudo, verificar que os arquivos D″ são o que declaram ser. Dispondo também da versão D′, aplicaram-se a ela os dois passos do algoritmo que distinguem uma versão da outra — remoção de casos idênticos e de casos inconsistentes. O conjunto de módulos preservados foi reproduzido exatamente nos 12 conjuntos. Registrou-se, entretanto, uma discrepância: sob a leitura literal do pseudocódigo, que determina remover ambos os membros de um par inconsistente, apenas 4 dos 12 conjuntos são reproduzidos; sob a interpretação de que se preserva um representante por vetor de atributos, os 12 são reproduzidos em contagem. O resíduo restante — 46 registros, ou 0,26% da base — restringe-se a qual rótulo foi mantido nos grupos conflitantes. Conclui-se que os arquivos distribuídos são consistentes com o procedimento publicado quanto aos módulos selecionados, mas não seguem literalmente o pseudocódigo quanto ao tratamento do rótulo. O achado é registrado como limitação conhecida e quantificada da base, e é ele próprio um exemplo do problema de documentação de pré-processamento que os autores denunciam.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Complexidade, tamanho e risco.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resultado de maior consequência para o trabalho é negativo e foi obtido pelo teste que a metodologia previa. Isoladamente, a complexidade ciclomática apresenta associação forte com a ocorrência de defeito, mesmo controlando o projeto de origem (razão de chances 1,90 por unidade logarítmica; LR = 639,8). Contudo, ao se acrescentar o tamanho do módulo ao modelo, o efeito da complexidade desaparece: a razão de chances ajustada cai para 0,944, com intervalo de confiança de 95% entre 0,870 e 1,024 — contendo, portanto, o valor nulo — e p = 0,17. A relação inversa não se verifica: o tamanho sobrevive folgadamente ao controle pela complexidade (LR = 431,2; p ≈ 9 × 10⁻⁹⁶). A Figura 2 apresenta o mesmo teste aplicado a todas as métricas candidatas; nenhuma delas exibe efeito positivo independente do tamanho, e as que permanecem estatisticamente distinguíveis do nulo o fazem com sinal negativo, padrão característico de colinearidade e não de mecanismo causal.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2 – Razões de chances das métricas candidatas antes e depois do controle pelo tamanho do módulo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Esse resultado não invalida o uso da complexidade como eixo ordinal, mas altera o que se pode afirmar a partir dele. A ordenação do risco pelas faixas de complexidade é forte e robusta, como mostram a Figura 3 e a Tabela 3: o risco cresce monotonicamente de 0,147 a 0,439 entre a faixa mais baixa e a mais alta, a tendência é altamente significativa, e a monotonicidade se preserva sob todos os cinco esquemas alternativos de corte testados e sob todas as doze reamostragens por exclusão de projeto. O que os dados não sustentam é a atribuição causal: a complexidade ciclomática opera, nesta base, como marcador ordinal de risco correlacionado ao tamanho, e não como fator de risco independente dele. Para o propósito deste trabalho — transferência ordinal de risco entre domínios — um marcador estável é suficiente; a afirmação de efeito independente, que não seria sustentável, é explicitamente abandonada.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3 – Risco basal por faixa de complexidade ciclomática, em frequência bruta e em probabilidade ajustada pelo efeito do projeto de origem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faixas adotadas — v(G) ≤ 10, de 11 a 15, de 16 a 20 e acima de 20 — constituem adaptação metodológica deste trabalho a partir das faixas interpretativas do NASA Software Engineering Handbook, cujo requisito SWE-220 estabelece o limiar de 15 para software crítico de segurança e exige revisão formal e justificativa documentada para qualquer excedente. As faixas da fonte original são cinco e sobrepõem-se nos extremos; a adaptação a quatro níveis não sobrepostos, alinhada ao limiar normativo, é registrada como decisão deste trabalho e não como classificação oficial.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4 – Estabilidade da ordenação sob exclusão sucessiva de cada projeto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Limitações.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Três limitações condicionam a leitura destes resultados. Primeira, e mais importante, os dados NASA descrevem módulos de software, ao passo que o objeto do trabalho são tarefas de projetos de engenharia; não se afirma equivalência métrica entre os domínios, e a transferência prevista é ordinal, não cardinal — a ser explicitamente qualificada na monografia. Segunda, a proveniência dos arquivos utilizados é de segunda mão: os arquivos do repositório Promise foram obtidos por meio de um espelho público que declara sua origem, e os arquivos D′ e D″ têm data anterior ao artigo que os descreve, o que recomenda confirmação junto à coleção oficial dos autores antes da redação final. Terceira, a métrica HALSTEAD_ERROR_EST foi deliberadamente excluída da seleção por circularidade: sendo definida como estimativa do número de erros derivada do volume do programa, seu uso para explicar a ocorrência de defeito equivaleria a prever defeito a partir de uma previsão de defeito; sua correlação de Spearman de 0,979 com HALSTEAD_EFFORT confirma que ela não carrega informação estrutural independente.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Consequência para a próxima etapa.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achado sobre complexidade e tamanho tem implicação direta sobre a construção do índice de dificuldade técnica no PSPLIB J60. O componente do índice análogo à magnitude da tarefa — duração normalizada e intensidade de recursos — encontra respaldo empírico na base NASA, ao passo que o componente análogo à complexidade estrutural, a criticidade na rede de precedências, não encontra respaldo independente. Recomenda-se, portanto, ponderar conservadoramente o componente estrutural e submetê-lo a análise de sensibilidade específica, em vez de tratá-lo como equivalente ao componente de magnitude. A decisão final sobre a ponderação será tomada após a caracterização do J60 e registrada no guia metodológico.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2.4  Caracterização da base PSPLIB J60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segunda base do trabalho, que fornece a estrutura de execução de projeto — tarefas, precedências, durações e restrições de recursos —, foi auditada com o mesmo protocolo. As 480 instâncias do conjunto J60 foram lidas diretamente do formato original, sem intermediários, e verificadas quanto à integridade estrutural: todas declaram 62 atividades, sendo 60 reais e duas fictícias, e 4 recursos renováveis; os 480 grafos de precedência são acíclicos.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verificação central, contudo, não é estrutural e sim de delineamento. As instâncias do PSPLIB são geradas por um projeto experimental fatorial sobre três parâmetros definidos por Kolisch, Sprecher e Drexl (1995): a complexidade de rede, dada pela razão entre arcos de precedência e atividades; o fator de recursos, que mede a fração média de tipos de recurso requisitados por atividade; e a força de recursos, que posiciona a disponibilidade entre o mínimo de viabilidade e o pico de demanda do cronograma de inícios mais cedo. Os três parâmetros foram recalculados a partir dos arquivos e seus níveis foram reconstruídos por agrupamento dos valores obtidos, sem que nenhum valor de referência fosse suposto. A Tabela 4 apresenta o resultado.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4 – Níveis dos parâmetros de delineamento reconstruídos a partir das instâncias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400"/>
        <w:gridCol w:w="3670"/>
        <w:gridCol w:w="3000"/>
      </w:tblGrid>
      <w:tr>
        <w:trPr>
          <w:tblHeader/>
        </w:trPr>
        <w:tc>
          <w:tcPr>
            <w:tcW w:type="dxa" w:w="2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36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reconstruídos dos arquivos</w:t>
            </w:r>
          </w:p>
        </w:tc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nominais do delineamento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Complexidade de rede (NC)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1,5000 / 1,8065 / 2,1129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 / 1,8 / 2,1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 de recursos (RF)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0,2500 / 0,5042 / 0,7542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 / 0,50 / 0,75 / 1,00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Força de recursos (RS)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0,1975 / 0,5106 / 0,7038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 / 0,50 / 0,70 / 1,00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reconstrução recupera um delineamento fatorial completo e balanceado de 3 × 4 × 4 = 48 células, com exatamente uma combinação por célula e dez instâncias por combinação. Como os níveis foram derivados dos próprios arquivos, o resultado valida simultaneamente a rotina de leitura e as três formulações implementadas.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Registrou-se ainda uma característica relevante do conjunto: a complexidade de rede e o fator de recursos são exatamente constantes dentro de cada combinação, ao passo que a força de recursos não é, variando em até 0,12 dentro de uma mesma célula. A causa é estrutural e não constitui defeito: a disponibilidade de cada recurso é um número inteiro, de modo que o gerador não realiza exatamente o valor pretendido e arredonda. A consequência metodológica é que o nível nominal e o valor realizado são variáveis distintas — o primeiro é um fator do delineamento, o segundo uma medida contínua — e tratá-los como equivalentes converteria ruído de arredondamento em variação experimental. Nos modelos subsequentes, o nível nominal será utilizado como fator e o valor realizado, quando pertinente, como covariável.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2.5  Índice de dificuldade técnica das tarefas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 as instâncias caracterizadas, construiu-se o índice de dificuldade técnica que atribui a cada tarefa um nível ordinal. O índice, definido pelas equações (15) a (18), combina três grandezas medidas nas próprias instâncias: a duração normalizada, a intensidade de uso de recursos — definida como a fração média da disponibilidade de cada recurso que a tarefa consome, adaptação por atividade do fator de recursos de Kolisch, Sprecher e Drexl (1995) — e a criticidade na rede de precedências. As normalizações são feitas dentro de cada instância, uma vez que o modelo compara tarefas de um mesmo projeto e não tarefas de projetos distintos.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de uma atribuição de fonte.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preliminar deste trabalho atribuía a construção do índice a De Reyck e Herroelen (1996). A verificação da fonte mostrou que a atribuição era imprópria: o índice de complexidade ali discutido deriva de Bein, Kamburowski e Stallmann (1992) e mede a distância da rede inteira à série-paralelidade, sendo uma propriedade do grafo e não da atividade. A referência foi mantida no trabalho, porém realocada para sustentar a caracterização da rede por instância, e o índice por tarefa passou a ser declarado como construção deste trabalho, com cada componente apoiado em fonte própria.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Substituição da medida de criticidade.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preliminar previa a contagem de sucessores como medida de criticidade. Comparada à folga total obtida do método do caminho crítico, sobre as mesmas 28.800 tarefas, a correlação de Spearman entre as duas é de apenas 0,116, e 3.488 tarefas apresentam folga acima da mediana e três ou mais sucessores — isto é, muitos sucessores e nenhuma urgência. A criticidade passou a ser medida pela folga total, que é a medida canônica no nível da atividade. A contagem de sucessores permanece calculada e gravada na base, disponível como variável alternativa para análise de sensibilidade.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três componentes mostram-se quase ortogonais entre si, com correlações de Spearman de −0,004 entre duração e intensidade de recursos, 0,003 entre intensidade e criticidade, e 0,193 entre duração e criticidade. Cada um carrega, portanto, informação distinta, e o índice composto não é uma única grandeza sob três nomes — situação oposta à observada na base NASA, onde complexidade e tamanho apresentavam correlação de 0,752 e o composto colapsava sobre um único eixo. A Figura 5 apresenta o comportamento dos níveis resultantes.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5 – Duração média e folga total média por nível de dificuldade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duração média cresce e a folga média decresce monotonicamente ao longo dos quatro níveis, comportamento coerente com a interpretação do índice. Os pontos de corte são os quartis da distribuição, decisão declarada deste trabalho: ao contrário do domínio de software, que dispõe do limiar normativo do requisito SWE-220, não há para tarefas de projeto um limiar externo equivalente. A ordenação mostrou-se razoavelmente robusta à ponderação: entre seis esquemas alternativos de pesos, a menor correlação de ordenação observada foi de 0,847.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2.6  Transferência ordinal de risco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etapa que liga as duas bases consiste em atribuir às tarefas do PSPLIB o risco calibrado sobre os módulos da NASA. A forma dessa atribuição não é indiferente, e a decisão adotada apoia-se em evidência numérica.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quatro níveis não têm o mesmo tamanho relativo nos dois domínios: na base NASA, 86,24% dos módulos situam-se no nível mais baixo, contra 25,00% das tarefas do J60, por construção dos quartis. Atribuir a cada nível do J60 o risco absoluto do nível homônimo da NASA produziria risco médio de 0,3046 nas tarefas, contra taxa observada de 0,1749 na NASA — uma inflação de 1,74 vezes gerada exclusivamente pela diferença de tamanho dos estratos, e não por qualquer propriedade das tarefas. Seria um artefato de construção apresentado como resultado.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Adotou-se, portanto, a transferência por razão de risco relativo, conforme as equações (19) e (20). O que os dados NASA sustentam não é o nível absoluto de risco de um módulo de software, que não tem razão para valer em tarefas de engenharia, e sim a forma do gradiente: quantas vezes mais arriscada é uma tarefa difícil em relação a uma fácil. Essa razão é adimensional e independe da taxa basal do domínio. A Tabela 5 e a Figura 6 apresentam as razões estimadas.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5 – Razões de risco transferidas, com intervalos por reamostragem de projetos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500"/>
        <w:gridCol w:w="2200"/>
        <w:gridCol w:w="2000"/>
        <w:gridCol w:w="2370"/>
      </w:tblGrid>
      <w:tr>
        <w:trPr>
          <w:tblHeader/>
        </w:trPr>
        <w:tc>
          <w:tcPr>
            <w:tcW w:type="dxa" w:w="2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Nível de dificuldade</w:t>
            </w:r>
          </w:p>
        </w:tc>
        <w:tc>
          <w:tcPr>
            <w:tcW w:type="dxa" w:w="22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Risco basal NASA</w:t>
            </w:r>
          </w:p>
        </w:tc>
        <w:tc>
          <w:tcPr>
            <w:tcW w:type="dxa" w:w="2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Razão de risco</w:t>
            </w:r>
          </w:p>
        </w:tc>
        <w:tc>
          <w:tcPr>
            <w:tcW w:type="dxa" w:w="23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IC 95% (bootstrap)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baixa (referência)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0,1470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1,000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média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0,2845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1,935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[1,758; 2,599]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0,3479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2,367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[1,720; 3,229]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muito alta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0,4388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2,985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[1,878; 4,156]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Bootstrap com 4.000 réplicas, reamostrando projetos.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6 – Gradiente de risco transferido, com intervalo de confiança</w:t>
      </w:r>
    </w:p>
    <w:p>
      <w:pPr>
        <w:spacing w:after="40" w:before="200"/>
        <w:jc w:val="center"/>
      </w:pPr>
      <w:r>
        <w:drawing>
          <wp:inline distT="0" distB="0" distL="0" distR="0">
            <wp:extent cx="503872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Unidade de reamostragem.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intervalos foram obtidos reamostrando projetos, e não observações individuais. As observações de um mesmo projeto não são independentes, pois compartilham equipe, processo, domínio de aplicação e critério de registro de defeito; reamostrar módulos trataria 17.377 observações como 17.377 evidências independentes e produziria intervalos artificialmente estreitos. A unidade de agrupamento correta é o projeto — o mesmo raciocínio que fundamenta a validação por exclusão sucessiva de projetos apresentada na Seção 2.3.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intervalos resultantes são largos, sobretudo no nível mais alto, cujo limite superior alcança 4,156. Isso constitui informação e não deficiência: com doze projetos, a incerteza sobre o gradiente é substancial, e reportá-la é preferível a apresentar a estimativa pontual como se fosse precisa.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âncora do modelo.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razão de risco fixa a forma da relação, não o seu nível. O risco atribuído a uma tarefa é o produto da razão por uma taxa basal de retrabalho do domínio de engenharia, que este trabalho não estima e trata explicitamente como parâmetro do modelo, a ser fixado por dado do domínio ou tratado como incerteza na simulação. Por essa razão, a base de tarefas resultante grava o multiplicador de risco e seu intervalo, e não uma probabilidade absoluta: gravar a probabilidade embutiria um valor arbitrário na base como se fosse dado observado.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Limitação a declarar.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construção assume que o gradiente ordinal de risco por dificuldade é transferível entre domínios, ainda que o nível absoluto não seja. Trata-se de suposição e não de resultado. É uma suposição mais fraca do que a de equivalência métrica direta, que os dados não sustentam, mas não é vazia, e será mantida explícita na redação final.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2.7  Verificação do simulador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cada verificação sustenta.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seção intitulava-se “verificação e validação”. O termo validação foi retirado: não há neste trabalho critério confrontado com dado externo capaz de reprovar o modelo, e chamar de validação um teste que não pode reprovar nada seria atribuir ao resultado uma força que ele não tem. As verificações passam a ser declaradas por classe, e a classe determina o que se pode afirmar a partir delas.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Verdadeiras por construção: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passam qualquer que seja o modelo, porque decorrem da forma como a grandeza é construída. São registradas para que não sejam confundidas com evidência. Exemplo: com risco basal e pressão nulos, a dívida técnica é nula porque o termo que a gera foi zerado.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Invariantes estruturais: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conservação de tarefas, precedências, disponibilidade de recursos e consistência dos relógios. Um simulador correto não pode falhá-las, e falhá-las indica defeito de código.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Verificações de 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testam se o código realiza a direção que a formulação prevê. Não constituem evidência sobre equipes reais e não restringem magnitude.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Verificações de ordem de grandeza: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confrontam a saída com a literatura de campo numa faixa larga. Rejeitam desalinhamento grosseiro e nada mais; não calibram parâmetro algum.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6 apresenta o conjunto executado, com a classe de cada verificação e o valor medido. Uma propriedade esperada que não se confirma é registrada como tal, e não convertida em aprovação nem suprimida.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6 – Verificações do simulador, por classe, e seus resultados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620"/>
        <w:gridCol w:w="3250"/>
        <w:gridCol w:w="1550"/>
        <w:gridCol w:w="1500"/>
        <w:gridCol w:w="2150"/>
      </w:tblGrid>
      <w:tr>
        <w:trPr>
          <w:tblHeader/>
        </w:trPr>
        <w:tc>
          <w:tcPr>
            <w:tcW w:type="dxa" w:w="6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Verificação</w:t>
            </w:r>
          </w:p>
        </w:tc>
        <w:tc>
          <w:tcPr>
            <w:tcW w:type="dxa" w:w="1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Classe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2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Medido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toda tarefa termina em estado terminal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tarefas não terminais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precedência respeitada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violações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disponibilidade de recursos nunca excedida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instâncias com excesso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relógios não negativos e soma positiva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verdadeira por construção — não e evidência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4b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soma dos relógios não excede o tempo de agente alocado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 e contabilizado sem consumir agente —…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E_total - bateria - competência e multiplicadores em [0 -1]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nan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mesma semente reproduz o mesmo resultado (12 instâncias x 2 cenarios)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verdadeira por construção se o RNG e…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6b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sementes diferentes produzem resultados diferentes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 falhar - o gerador não está sendo usado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 risco nem pressão - nenhuma tarefa falha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 execuções — verdadeira por construção…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 risco nem pressão - dívida técnica nula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verdadeira por construção (F_âncora=0)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7d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condição ideal elimina a ociosidade (TU = 0)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comportamento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TU máximo = 0,0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7e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condição ideal conclui mais rápido que a nominal (pareado)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comportamento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 de 24 pares favoráveis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8a‑C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(S_UR max)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8a‑A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(S_UR max)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8b‑C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em modo heurístico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8b‑A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em modo heurístico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8c‑C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exploratória defeitos gerados crescem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exploratória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8c‑A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exploratória defeitos gerados crescem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exploratória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confirmada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de 2 instâncias - n = 500 por célula -…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mediana do retrabalho na faixa [1% - 50%]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ordem de grandeza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mediana = 0,1913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9b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cauda fora da faixa inferior a 10% das execuções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ordem de grandeza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0/24 = 0,0%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estritamente positiva (estoque não inerte)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ordem de grandeza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mediana = 0,0423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9d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 critério 9a não restringe F_âncora (evidência do rebaixamento)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 em 5 de 5 valores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do teste de tendência sob pressão.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verificação de que a dívida técnica cresce com a pressão calculava a correlação de Spearman sobre cinco médias, uma por nível de pressão, e reportava o valor-p assintótico devolvido pela biblioteca. Esse valor-p não é utilizável com cinco observações: o menor valor-p bilateral exato possível nesse caso é a razão entre duas e cento e vinte permutações, ou seja, aproximadamente dezessete milésimos. Um valor-p de ordem de grandeza muito inferior a esse não é atingível e não podia ter sido apresentado como evidência. O teste também rodava em apenas um braço e uma instância, e a agregação em cinco médias descartava as quarenta repetições de cada nível.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teste foi refeito sobre os pontos individuais, nos dois braços e em duas instâncias, com delineamento em duas etapas. Na primeira, um piloto de duzentas execuções por célula estima o tamanho de efeito. Na segunda, o número de repetições é fixado por cálculo de potência antes da execução, e o teste confirmatório roda com sementes disjuntas das do piloto, de modo que a escolha do tamanho amostral não contamine o resultado. O critério permaneceu inalterado — correlação positiva e valor-p abaixo de cinco centésimos —; apenas o número de repetições mudou. A Tabela 7 apresenta o resultado.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7 – Tendência sob pressão: piloto e teste confirmatório, por braço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900"/>
        <w:gridCol w:w="1750"/>
        <w:gridCol w:w="1750"/>
        <w:gridCol w:w="1750"/>
        <w:gridCol w:w="1750"/>
        <w:gridCol w:w="1170"/>
      </w:tblGrid>
      <w:tr>
        <w:trPr>
          <w:tblHeader/>
        </w:trPr>
        <w:tc>
          <w:tcPr>
            <w:tcW w:type="dxa" w:w="2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Grandeza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Braço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ρ piloto (n = 200)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ρ confirmatório (n = 500)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IC 95% confirmatório</w:t>
            </w:r>
          </w:p>
        </w:tc>
        <w:tc>
          <w:tcPr>
            <w:tcW w:type="dxa" w:w="11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Confirma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de pico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0,319 a 0,650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0,351 a 0,600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[0,270 a 0,655]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de pico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0,042 a 0,142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0,091 a 0,179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[0,000 a 0,265]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fração de tempo em modo heurístico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0,690 a 0,884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0,682 a 0,882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[0,631 a 0,900]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fração de tempo em modo heurístico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0,667 a 0,930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0,708 a 0,939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[0,660 a 0,949]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defeitos gerados (ocultos + reportados)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0,156 a 0,321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0,161 a 0,296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[0,072 a 0,376]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defeitos gerados (ocultos + reportados)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0,036 a 0,089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0,072 a 0,081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[-0,019 a 0,170]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de 2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Piloto com sementes 0 a 39; confirmatório com sementes 1000 a 1099, disjuntas.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a correção mudou.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braço adaptativo, a dívida oculta de pico não apresentava tendência detectável com duzentas execuções e passa a apresentá-la com quinhentas, exatamente como o cálculo de potência previa: tratava-se de teste subdimensionado, não de propriedade ausente. Já a contagem de defeitos gerados continua sem se confirmar nesse braço mesmo com potência adequada, e a razão foi medida, não suposta. São duas causas somadas. A primeira é que a pressão é endógena ao atraso: o braço adaptativo conclui mais perto do caminho crítico, atrasa menos e por isso recebe apenas cinquenta e sete por cento da amplitude de pressão que o braço centralizado recebe para o mesmo teto nominal. A segunda é que o canal de defeito é pouco sensível à pressão nesta parametrização — a pressão acrescenta no máximo quarenta e sete milésimos à probabilidade de falha, sobre uma base que varia de um décimo a três décimos conforme a faixa de dificuldade, de modo que a dificuldade domina a pressão por um fator entre três e vinte. Nenhuma das duas é defeito de código; ambas são propriedades declaradas do modelo calibrado. O resultado é registrado como não confirmado, e não confirmado não significa refutado: o intervalo de confiança contém tanto o zero quanto efeitos positivos pequenos.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Verificação de ordem de grandeza e seu poder de rejeição.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fração de esforço dedicada a retrabalho foi confrontada com a literatura de campo. A referência medida na mesma unidade da saída do modelo é a de Boehm e Basili (2001), segundo a qual projetos de software despendem entre quarenta e cinquenta por cento do esforço em retrabalho evitável. As cifras de Love et al. (2026) e de Love e Li (2000), da construção civil, são retidas apenas como piso de ordem de grandeza, com a ressalva explícita de que sua base é o valor de contrato e não o esforço, o que as torna grandezas de unidades distintas. Esta verificação era anteriormente apresentada como validação externa. Não é. Um critério de validação precisa poder reprovar, e este aprova em toda a faixa declarada do parâmetro de risco basal, como mostra a Tabela 8. Seu poder de rejeição sobre esse parâmetro é nulo, e ele é portanto rebaixado a verificação de ordem de grandeza: rejeita desalinhamento grosseiro e nada mais, não confirma o modelo e não substitui calibração.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8 – Poder de rejeição do critério de plausibilidade sobre o risco basal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3000"/>
        <w:gridCol w:w="3000"/>
        <w:gridCol w:w="3070"/>
      </w:tblGrid>
      <w:tr>
        <w:trPr>
          <w:tblHeader/>
        </w:trPr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F_âncora</w:t>
            </w:r>
          </w:p>
        </w:tc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Mediana do retrabalho sobre o plano</w:t>
            </w:r>
          </w:p>
        </w:tc>
        <w:tc>
          <w:tcPr>
            <w:tcW w:type="dxa" w:w="30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Critério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0,0750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0,1752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0,2181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0,2922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0,3632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faixa varrida é a faixa aberta declarada para o parâmetro.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2.8  Experimento central: governança centralizada e adaptativa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experimento comparou os dois arranjos da Tabela 2 sobre dezesseis instâncias do J60 com doze sementes cada, totalizando trezentas e oitenta e quatro execuções pareadas. Nenhuma execução deixou de concluir dentro do horizonte estabelecido. A Tabela 9 apresenta os resultados.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9 – Comparação pareada entre os arranjos de governança (192 pares)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700"/>
        <w:gridCol w:w="1220"/>
        <w:gridCol w:w="1220"/>
        <w:gridCol w:w="1120"/>
        <w:gridCol w:w="1330"/>
        <w:gridCol w:w="1480"/>
      </w:tblGrid>
      <w:tr>
        <w:trPr>
          <w:tblHeader/>
        </w:trPr>
        <w:tc>
          <w:tcPr>
            <w:tcW w:type="dxa" w:w="27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2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Centraliz.</w:t>
            </w:r>
          </w:p>
        </w:tc>
        <w:tc>
          <w:tcPr>
            <w:tcW w:type="dxa" w:w="12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Adaptat.</w:t>
            </w:r>
          </w:p>
        </w:tc>
        <w:tc>
          <w:tcPr>
            <w:tcW w:type="dxa" w:w="11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Variação</w:t>
            </w:r>
          </w:p>
        </w:tc>
        <w:tc>
          <w:tcPr>
            <w:tcW w:type="dxa" w:w="133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 de Cohen</w:t>
            </w:r>
          </w:p>
        </w:tc>
        <w:tc>
          <w:tcPr>
            <w:tcW w:type="dxa" w:w="14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Pares favoráveis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concluídas com defeito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13,02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3,82</w:t>
            </w:r>
          </w:p>
        </w:tc>
        <w:tc>
          <w:tcPr>
            <w:tcW w:type="dxa" w:w="1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−70,6%</w:t>
            </w:r>
          </w:p>
        </w:tc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−2,400</w:t>
            </w:r>
          </w:p>
        </w:tc>
        <w:tc>
          <w:tcPr>
            <w:tcW w:type="dxa" w:w="1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97,9%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Taxa de omissão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0,2170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0,0637</w:t>
            </w:r>
          </w:p>
        </w:tc>
        <w:tc>
          <w:tcPr>
            <w:tcW w:type="dxa" w:w="1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−70,6%</w:t>
            </w:r>
          </w:p>
        </w:tc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−2,400</w:t>
            </w:r>
          </w:p>
        </w:tc>
        <w:tc>
          <w:tcPr>
            <w:tcW w:type="dxa" w:w="1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97,9%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 sobre o plano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0,0741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0,0201</w:t>
            </w:r>
          </w:p>
        </w:tc>
        <w:tc>
          <w:tcPr>
            <w:tcW w:type="dxa" w:w="1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−72,8%</w:t>
            </w:r>
          </w:p>
        </w:tc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−2,046</w:t>
            </w:r>
          </w:p>
        </w:tc>
        <w:tc>
          <w:tcPr>
            <w:tcW w:type="dxa" w:w="1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98,4%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 (makespan sobre CPM)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1,9991</w:t>
            </w:r>
          </w:p>
        </w:tc>
        <w:tc>
          <w:tcPr>
            <w:tcW w:type="dxa" w:w="1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−36,2%</w:t>
            </w:r>
          </w:p>
        </w:tc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−1,988</w:t>
            </w:r>
          </w:p>
        </w:tc>
        <w:tc>
          <w:tcPr>
            <w:tcW w:type="dxa" w:w="1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 (fração do esforço em trabalho produtivo)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0,8885</w:t>
            </w:r>
          </w:p>
        </w:tc>
        <w:tc>
          <w:tcPr>
            <w:tcW w:type="dxa" w:w="1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+13,3%</w:t>
            </w:r>
          </w:p>
        </w:tc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+1,901</w:t>
            </w:r>
          </w:p>
        </w:tc>
        <w:tc>
          <w:tcPr>
            <w:tcW w:type="dxa" w:w="1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97,4%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pago sobre o plano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0,2031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0,1545</w:t>
            </w:r>
          </w:p>
        </w:tc>
        <w:tc>
          <w:tcPr>
            <w:tcW w:type="dxa" w:w="1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−23,9%</w:t>
            </w:r>
          </w:p>
        </w:tc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−0,729</w:t>
            </w:r>
          </w:p>
        </w:tc>
        <w:tc>
          <w:tcPr>
            <w:tcW w:type="dxa" w:w="1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77,1%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sobre esforço realizado (diagnóstico)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0,0770</w:t>
            </w:r>
          </w:p>
        </w:tc>
        <w:tc>
          <w:tcPr>
            <w:tcW w:type="dxa" w:w="12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0,0846</w:t>
            </w:r>
          </w:p>
        </w:tc>
        <w:tc>
          <w:tcPr>
            <w:tcW w:type="dxa" w:w="1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+9,9%</w:t>
            </w:r>
          </w:p>
        </w:tc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+0,288</w:t>
            </w:r>
          </w:p>
        </w:tc>
        <w:tc>
          <w:tcPr>
            <w:tcW w:type="dxa" w:w="1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39,6%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última linha é métrica de diagnóstico, discutida adiante. Os valores-p do teste de Wilcoxon não são reportados nesta tabela porque a unidade de pareamento adotada é a combinação de instância e semente — ver a ressalva de pseudorreplicação a seguir.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7 – Tamanhos de efeito pareados com intervalos de confiança por reamostragem sobre os pares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arranjo adaptativo supera o centralizado em todos os indicadores substantivos, com tamanhos de efeito grandes e intervalos de confiança que não cruzam a origem. A leitura mecanística — a de que o arranjo adaptativo, ao converter defeito oculto em retrabalho visível e imediato, impede o acúmulo de dívida técnica que no arranjo centralizado retorna adiante sob pressão de prazo — é compatível com estes números, mas não decorre deles: os dois arranjos diferem em quatro parâmetros ao mesmo tempo, e enquanto variarem juntos a comparação mede o pacote e não um mecanismo. A Seção 2.9 executa a ablação que separa as parcelas, e o resultado obriga a qualificar parte desta leitura.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Sobre a unidade de inferência.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pares da Tabela 9 são combinações de instância e semente. As doze sementes de uma mesma instância não são projetos independentes, e tratá-las como observações separadas é pseudorreplicação: infla o número de graus de liberdade e produz valores-p que não correspondem à quantidade de informação disponível. A refação da inferência tomando a instância como unidade está prevista para a próxima etapa. Registre-se desde já que, nas verificações desta entrega que já adotam a instância como unidade — as das Seções 2.9 e 2.10 —, o menor valor-p bilateral atingível com dezesseis instâncias é da ordem de três centésimos de milésimo, de modo que qualquer valor inferior a esse, em qualquer tabela, é artefato da unidade escolhida e não medida de evidência.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Uma métrica que media visibilidade, não dano.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última linha da Tabela 9 move-se em sentido contrário a todas as demais. A investigação dessa discrepância revelou defeito na formulação original da métrica, e não achado substantivo. A razão entre retrabalho e esforço realizado tem por denominador o esforço efetivamente despendido, que inclui o tempo ocioso e bloqueado. O braço centralizado acumula tempo ocioso muito superior — cento e vinte e seis contra seis períodos em média — e, ao inflar o próprio denominador, dilui o retrabalho e aparenta desempenho melhor, ainda que seu retrabalho absoluto seja vinte e três vírgula oito por cento maior. A métrica premiava a ineficiência que se pretendia medir.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8 – Composição do esforço realizado e o mesmo retrabalho medido sob duas bases distintas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adotada.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base da razão passou a ser o esforço planejado do projeto, dado pela soma das durações nominais das tarefas. Trata-se de propriedade da instância, idêntica nos dois braços, de modo que a razão só pode variar pelo numerador. A métrica agregada original foi ainda decomposta em duas: o retrabalho efetivamente pago e a dívida latente de pico. A decomposição é necessária, e não cosmética, porque os arranjos diferem justamente na probabilidade de reporte: o adaptativo converte dívida oculta em retrabalho visível, e um agregado que soma as duas parcelas não distingue conversão de redução. Com a correção, o indicador passa a favorecer o arranjo adaptativo em vinte e três vírgula nove por cento, em concordância com os demais.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Registra-se ainda que o valor final do estoque de dívida latente é nulo em todas as trezentas e oitenta e quatro execuções, por construção do laço de simulação, que só encerra após a quitação da dívida pendente. Por essa razão, a estatística informativa é o valor de pico do estoque, e não o seu valor terminal.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9 – Trajetórias médias dos estoques nos dois arranjos, com faixa interquartil</w:t>
      </w:r>
    </w:p>
    <w:p>
      <w:pPr>
        <w:spacing w:after="40" w:before="200"/>
        <w:jc w:val="center"/>
      </w:pPr>
      <w:r>
        <w:drawing>
          <wp:inline distT="0" distB="0" distL="0" distR="0">
            <wp:extent cx="5400675" cy="402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Figura 9 torna visível o mecanismo. No arranjo centralizado, a dívida técnica latente cresce ao longo de todo o período nominal do projeto, atinge o máximo em torno de uma vez e meia o prazo do caminho crítico e só então é drenada, o que prolonga a execução muito além do previsto. No arranjo adaptativo, o mesmo estoque permanece próximo de zero, e o progresso validado acumula-se de forma sustentada. A bateria cognitiva média recupera-se mais cedo, o que é consequência, e não causa, do menor volume de retrabalho tardio.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2.9  Ablação: a que o contraste entre os arranjos se deve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Por que a ablação é obrigatória.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dois arranjos da Tabela 2 diferem em quatro parâmetros simultaneamente. Enquanto variarem juntos, a comparação mede o pacote, e nenhum efeito observado pode ser atribuído a mecanismo algum. A ablação separa as parcelas, e a primeira conclusão que ela produz é sobre o próprio método de atribuição.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Substituição isolada não é decomposição.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leitura natural — trocar um parâmetro por vez e reportar a fração do contraste que cada troca reproduz — não decompõe coisa alguma, porque as frações resultantes não somam o contraste. Afirmar que “determinado parâmetro explica tal percentual do efeito” seria atribuição causal indevida sempre que houver interação, e há. A decomposição legítima exige o fatorial completo dos quatro parâmetros, com dezesseis células, e o ajuste do modelo saturado correspondente: dezesseis termos para dezesseis células produzem ajuste exato, sem resíduo e sem escolha de modelo, e vale a identidade que decompõe o contraste na soma dos efeitos principais e de todas as interações. A Tabela 10 apresenta essa decomposição.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10 – Decomposição exata do contraste em efeitos principais e interações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3400"/>
        <w:gridCol w:w="1900"/>
        <w:gridCol w:w="1900"/>
        <w:gridCol w:w="1870"/>
      </w:tblGrid>
      <w:tr>
        <w:trPr>
          <w:tblHeader/>
        </w:trPr>
        <w:tc>
          <w:tcPr>
            <w:tcW w:type="dxa" w:w="3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Efeitos principais</w:t>
            </w:r>
          </w:p>
        </w:tc>
        <w:tc>
          <w:tcPr>
            <w:tcW w:type="dxa" w:w="1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Interações</w:t>
            </w:r>
          </w:p>
        </w:tc>
        <w:tc>
          <w:tcPr>
            <w:tcW w:type="dxa" w:w="18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Maior interação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118,9%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-18,9%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CD (-26,2%)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104,5%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-4,5%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 (-2,6%)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99,0%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ACD (1,1%)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102,6%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-2,6%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 (-2,4%)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pago TR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105,5%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-5,5%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ACD (9,4%)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trabalho efetivo TW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97,2%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 (1,6%)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112,3%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-12,3%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 (-11,7%)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taxa de omissão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112,3%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-12,3%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 (-11,7%)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sobre o plano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107,2%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-7,2%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ACD (10,1%)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sobre o plano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161,8%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-61,8%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CD (-45,5%)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161,7%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-61,7%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CD (-45,7%)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= confiança inicial; B = limiar de confiança; C = probabilidade de reporte; D = probabilidade de detecção. Percentuais relativos ao contraste nominal entre os arranjos.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leitura da tabela é direta. Para os indicadores de tempo e ocupação, as interações são pequenas e a decomposição é quase aditiva. Para a família da dívida oculta, ao contrário, as interações carregam mais de três quintos do contraste, e a maior delas é antagônica entre a probabilidade de reporte e a de detecção: os dois parâmetros fazem em larga medida o mesmo trabalho — converter dívida oculta em retrabalho visível — e juntos entregam muito menos que a soma dos efeitos isolados. Nessa família, nenhuma atribuição a um parâmetro isolado é defensável.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Um parâmetro inerte.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fatorial revelou que o limiar de confiança não produz efeito algum em nenhuma das dezesseis células: as oito comparações que trocam apenas esse parâmetro são idênticas execução a execução, e todo termo do modelo saturado que o contém é exatamente zero. A causa não está no parâmetro e sim no fato de a confiança ser constante e igual para todos os agentes: o portão da Porta 2 compara sempre a confiança inicial com o limiar, de modo que os dois níveis testados do limiar caem do mesmo lado dos dois níveis testados da confiança inicial. A Tabela 11 mostra a resposta local do modelo a esse limiar.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11 – Resposta do arranjo centralizado ao limiar de confiança, com os demais parâmetros fixos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250"/>
        <w:gridCol w:w="1150"/>
        <w:gridCol w:w="1350"/>
        <w:gridCol w:w="1450"/>
        <w:gridCol w:w="1150"/>
        <w:gridCol w:w="1150"/>
        <w:gridCol w:w="1150"/>
        <w:gridCol w:w="1420"/>
      </w:tblGrid>
      <w:tr>
        <w:trPr>
          <w:tblHeader/>
        </w:trPr>
        <w:tc>
          <w:tcPr>
            <w:tcW w:type="dxa" w:w="1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τ_mín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Ajudas</w:t>
            </w:r>
          </w:p>
        </w:tc>
        <w:tc>
          <w:tcPr>
            <w:tcW w:type="dxa" w:w="13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Bloqueios</w:t>
            </w:r>
          </w:p>
        </w:tc>
        <w:tc>
          <w:tcPr>
            <w:tcW w:type="dxa" w:w="14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TU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TL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TR</w:t>
            </w:r>
          </w:p>
        </w:tc>
        <w:tc>
          <w:tcPr>
            <w:tcW w:type="dxa" w:w="14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Ocupação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0,2250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0,2490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0,2499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0,2501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0,2510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0,2750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0,3000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Dezesseis instâncias com doze sementes por ponto. A confiança inicial do arranjo centralizado vale 0,25.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resposta é um degrau, não um gradiente. Onze pontos da grade produzem apenas dois comportamentos, idênticos até a sexta casa decimal dentro de cada um, e o salto único ocorre num intervalo de largura de um décimo de milésimo que contém exatamente o valor da confiança inicial. Uma variação quatrocentas e noventa vezes maior, entre os dois extremos inferiores da grade, não produz efeito algum. A descontinuidade não decorre de má escolha de valor: enquanto a confiança for constante e idêntica entre agentes, o portão é uma única comparação global e o parâmetro não pode assumir outra forma. Registra-se, adicionalmente, que a confiança inicial do arranjo centralizado e o limiar do arranjo adaptativo foram fixados no mesmo valor, ambos declarados como premissa e sem justificativa numérica registrada, e que esse valor é precisamente o ponto de fronteira em que o resultado depende de a desigualdade do portão ser estrita. A desigualdade estrita é herdada da formulação conceitual; a coincidência dos dois valores é escolha de parametrização deste trabalho, e fica registrada como questão a rever.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segunda ablação neutraliza o mecanismo de assistência nos dois braços, em duas direções opostas: suprimindo integralmente a concessão de ajuda, e tornando-a disponível independentemente da confiança. A Tabela 12 apresenta o contraste entre os arranjos sob cada condição.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12 – Contraste entre os arranjos, nominal e sob ablação do mecanismo de assistência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550"/>
        <w:gridCol w:w="1180"/>
        <w:gridCol w:w="1300"/>
        <w:gridCol w:w="1350"/>
        <w:gridCol w:w="900"/>
        <w:gridCol w:w="900"/>
        <w:gridCol w:w="1890"/>
      </w:tblGrid>
      <w:tr>
        <w:trPr>
          <w:tblHeader/>
        </w:trPr>
        <w:tc>
          <w:tcPr>
            <w:tcW w:type="dxa" w:w="2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1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Nominal</w:t>
            </w:r>
          </w:p>
        </w:tc>
        <w:tc>
          <w:tcPr>
            <w:tcW w:type="dxa" w:w="13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Sem assist.</w:t>
            </w:r>
          </w:p>
        </w:tc>
        <w:tc>
          <w:tcPr>
            <w:tcW w:type="dxa" w:w="13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Assist. univ.</w:t>
            </w:r>
          </w:p>
        </w:tc>
        <w:tc>
          <w:tcPr>
            <w:tcW w:type="dxa" w:w="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Resta (sem)</w:t>
            </w:r>
          </w:p>
        </w:tc>
        <w:tc>
          <w:tcPr>
            <w:tcW w:type="dxa" w:w="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Resta (univ.)</w:t>
            </w:r>
          </w:p>
        </w:tc>
        <w:tc>
          <w:tcPr>
            <w:tcW w:type="dxa" w:w="189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Veredito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-1,1354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-0,8240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-0,8608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72,6%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75,8%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0,1046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-0,0477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-0,0095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-45,6%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-9,0%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INVERTE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10,4896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0,5156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4,9%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DESAPARECE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-120,3229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18,9323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-0,5052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-15,7%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INVERTE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pago TR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-16,3564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-4,2601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-7,1266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26,0%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43,6%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trabalho efetivo TW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-149,6042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-123,8073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-118,5365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82,8%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79,2%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-9,1979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-8,9948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-8,6198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97,8%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93,7%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taxa de omissão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-0,1533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-0,1499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-0,1437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97,8%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93,7%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-0,0486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-0,0130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-0,0211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26,7%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43,4%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-0,0540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-0,0505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-0,0458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93,6%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84,8%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-18,2888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-17,1061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-15,5282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93,5%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84,9%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Contraste = média do arranjo adaptativo menos média do centralizado, por instância. As duas colunas “Resta” dão a fração do contraste nominal que sobrevive a cada ablação.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sobrevive e o que não sobrevive.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ablação separa dois conjuntos de resultados que estavam somados numa conclusão única. A redução da dívida técnica oculta sobrevive às duas ablações com mais de quatro quintos do contraste nominal, e é portanto robusta ao mecanismo de assistência. Já a vantagem em tempo e ocupação depende desse mecanismo: o tempo de ajuda desaparece por construção, a ociosidade e a ocupação invertem de sinal, o retrabalho pago conserva entre um quarto e dois quintos do contraste, e o atraso relativo conserva cerca de três quartos. Esses resultados ficam declarados como condicionados a uma hipótese estrutural ainda em avaliação — a de confiança constante — e não como estabelecidos.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2.10  Divergência declarada na Porta 2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conferência do código contra o pseudocódigo da fase conceitual encontrou uma divergência não declarada na Porta 2. A regra conceitual condiciona a concessão de ajuda a duas condições, disponibilidade e confiança, e nada estabelece sobre competência. A implementação acrescenta uma terceira condição, a de que o agente que presta apoio seja mais competente que o que solicita. A Tabela 13 mede a diferença entre as duas operacionalizações sobre as mesmas instâncias, sementes e demais parâmetros.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13 – Porta 2: operacionalização implementada e regra conceitual literal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900"/>
        <w:gridCol w:w="2400"/>
        <w:gridCol w:w="1500"/>
        <w:gridCol w:w="1500"/>
        <w:gridCol w:w="1250"/>
        <w:gridCol w:w="520"/>
      </w:tblGrid>
      <w:tr>
        <w:trPr>
          <w:tblHeader/>
        </w:trPr>
        <w:tc>
          <w:tcPr>
            <w:tcW w:type="dxa" w:w="1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Arranjo</w:t>
            </w:r>
          </w:p>
        </w:tc>
        <w:tc>
          <w:tcPr>
            <w:tcW w:type="dxa" w:w="2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Implementada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Conceitual</w:t>
            </w:r>
          </w:p>
        </w:tc>
        <w:tc>
          <w:tcPr>
            <w:tcW w:type="dxa" w:w="1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Diferença</w:t>
            </w:r>
          </w:p>
        </w:tc>
        <w:tc>
          <w:tcPr>
            <w:tcW w:type="dxa" w:w="5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126,2656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126,2656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pago TR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68,8653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68,8653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25,1123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25,1123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13,0208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13,0208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1,9991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1,9977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0,8885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0,8879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0,940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10,4896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10,2188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-2,6%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0,346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5,9427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6,8906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0,820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pago TR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52,5089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52,9729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0,782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6,8235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6,9315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1,6%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0,744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3,8229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3,7344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-2,3%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0,815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Dezesseis instâncias com doze sementes, pareadas; unidade inferencial: instância.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Magnitude.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arranjo centralizado a diferença é exatamente nula, porque o filtro de competência nunca chega a ser avaliado: a confiança já impede toda concessão de ajuda. No arranjo adaptativo, todos os indicadores publicados variam menos de três por cento, com exceção da ociosidade, cuja variação relativa é maior mas incide sobre valores absolutos pequenos e não é estatisticamente distinguível. O critério de materialidade foi declarado antes da medição: a divergência seria material se alterasse algum indicador publicado em mais de cinco por cento com significância, ou se invertesse algum sinal. Nenhuma das duas condições se verifica.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Avaliação conceitual da restrição.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restrição não é arbitrária, e sua justificativa não depende do desempenho que produz. A equação de transferência de conhecimento permanece positiva mesmo quando o agente que presta apoio é menos competente que o que solicita, porque o termo proporcional à diferença de competências jamais chega a anular o incremento de base. Sem a restrição, portanto, a formulação permitiria que um agente elevasse sua competência ao receber apoio de um colega que sabe menos, o que é incompatível com o significado da variável: a própria lista de símbolos da fase conceitual define o limiar como limiar de transferência de conhecimento, e não se transfere o que não se possui. O protocolo de Crowder et al. (2012), origem da equação, é coerente com essa leitura ao fazer o agente difundir o pedido precisamente porque sua competência é inferior à dificuldade da subtarefa. A restrição é, assim, apresentada como decisão de operacionalização na passagem do modelo conceitual ao computacional, e não como correção nem como erro. Fica registrado que ela não constava da especificação e que deverá ser formalizada nela, com a justificativa acima, antes da versão final. A escolha definitiva entre as duas formulações não é feita nesta entrega e não será feita com base em desempenho.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2.11  Rastreabilidade das verificações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16 registra, para cada procedimento, as instâncias e sementes utilizadas, o número de execuções e o arquivo de saída correspondente, de modo que qualquer número apresentado possa ser reencontrado. Todas as tabelas desta seção são montadas em tempo de geração a partir desses arquivos; nenhum valor é digitado no texto.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16 – Procedimentos de verificação, condições de execução e arquivos de saída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450"/>
        <w:gridCol w:w="2050"/>
        <w:gridCol w:w="1250"/>
        <w:gridCol w:w="1050"/>
        <w:gridCol w:w="2270"/>
      </w:tblGrid>
      <w:tr>
        <w:trPr>
          <w:tblHeader/>
        </w:trPr>
        <w:tc>
          <w:tcPr>
            <w:tcW w:type="dxa" w:w="24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Procedimento</w:t>
            </w:r>
          </w:p>
        </w:tc>
        <w:tc>
          <w:tcPr>
            <w:tcW w:type="dxa" w:w="20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Instâncias</w:t>
            </w:r>
          </w:p>
        </w:tc>
        <w:tc>
          <w:tcPr>
            <w:tcW w:type="dxa" w:w="1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Sementes</w:t>
            </w:r>
          </w:p>
        </w:tc>
        <w:tc>
          <w:tcPr>
            <w:tcW w:type="dxa" w:w="10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Execuções</w:t>
            </w:r>
          </w:p>
        </w:tc>
        <w:tc>
          <w:tcPr>
            <w:tcW w:type="dxa" w:w="22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Arquivo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Experimento central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 instâncias J60 (todas[::30][:16])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modelo_03_experimento_bruto.csv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Ablação de governança (B9)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2880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modelo_07_ablacao_bruto.csv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Decomposição fatorial 2⁴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3072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modelo_10_fatorial_celulas.csv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de τ_mín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2112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modelo_09_sensibilidade_tau_min.csv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Tendência sob pressão — piloto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j6010_1 e j6014_1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39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modelo_11_tendencia_piloto.csv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Tendência sob pressão — confirmatório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j6010_1 e j6014_1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1000 a 1099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2000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modelo_11_tendencia_confirmatorio.csv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Porta 2 — TCC1 × TCC2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768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modelo_12_porta2_comparacao.csv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Os arquivos residem em outputs/tables no repositório do trabalho.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2.12  Calibração e identificabilidade dos parâmetros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procedimento descrito na Seção 1.8 foi executado em duas ondas de quatrocentos pontos amostrados por hipercubo latino, calibrando cinco parâmetros contra quatro observáveis. O teste do gêmeo idêntico foi aprovado nos três critérios: o conjunto NROY não é vazio, com cento e quinze pontos; contém o vetor verdadeiro nos cinco parâmetros; e o volume da caixa envolvente foi reduzido a quatorze vírgula oito por cento do volume a priori.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aprovação do teste, contudo, não implica que os cinco parâmetros tenham sido determinados. A Tabela 14 reporta, para cada um, a redução da largura marginal do conjunto NROY relativamente à faixa inicial.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14 – Identificabilidade dos parâmetros calibrados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3470"/>
        <w:gridCol w:w="1600"/>
        <w:gridCol w:w="1800"/>
        <w:gridCol w:w="2200"/>
      </w:tblGrid>
      <w:tr>
        <w:trPr>
          <w:tblHeader/>
        </w:trPr>
        <w:tc>
          <w:tcPr>
            <w:tcW w:type="dxa" w:w="34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16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verdadeiro</w:t>
            </w:r>
          </w:p>
        </w:tc>
        <w:tc>
          <w:tcPr>
            <w:tcW w:type="dxa" w:w="18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Redução da largura</w:t>
            </w:r>
          </w:p>
        </w:tc>
        <w:tc>
          <w:tcPr>
            <w:tcW w:type="dxa" w:w="22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Veredito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μ_mín (piso do multiplicador de produtividade)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0,6200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70,3%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F_âncora (frequência basal de defeito)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0,1800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36,8%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parcialmente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τ_sat (limiar de saturação cognitiva)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0,8500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10,9%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f_retrabalho (severidade do retrabalho)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0,4200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6,0%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k_heurístico (drenagem em modo heurístico)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0,1350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5,8%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F_âncora × f_retrabalho (produto)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0,0756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74,7%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identificado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Adotou-se o limiar de vinte e cinco por cento de redução como fronteira da não identificabilidade.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Equifinalidade de causa estrutural.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correlação de postos entre F_âncora e f_retrabalho, calculada dentro do conjunto NROY, é de menos zero vírgula oitocentos e quarenta, o que caracteriza uma crista. A crista não é acidente amostral: decorre da estrutura do modelo. O esforço de retrabalho gerado por tarefa é, em esperança, o produto entre a probabilidade de falha e a severidade do retrabalho, e a probabilidade de falha é proporcional a F_âncora. Os observáveis agregados enxergam apenas esse produto, de modo que aumentos em um fator podem ser compensados por reduções no outro sem alteração das saídas.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10 – Conjunto NROY projetado sobre a crista de equifinalidade e redução marginal por parâmetro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hipótese foi testada e confirmada: o produto dos dois fatores apresenta redução de setenta e quatro vírgula sete por cento, contra trinta e seis vírgula oito e seis vírgula zero por cento dos fatores isolados. Decorre daí uma recomendação de reparametrização: em calibração com dados reais, deve-se estimar o produto — interpretável como esforço esperado de retrabalho por tarefa — e declarar a divisão entre frequência e severidade como não identificada, em vez de reportar dois números que os dados não sustentam. A separação dos fatores exigiria observar a taxa de defeito e o custo unitário de correção de forma independente, dado que o delineamento atual não contempla.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Registra-se, por fim, que as larguras marginais praticamente não se alteraram entre a primeira e a segunda onda. As ondas convergiram, e uma terceira não reduziria o espaço, porque o limite encontrado é de identificabilidade estrutural e não de tamanho de amostra.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2.13  Procedência dos parâmetros e limitações declaradas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15 resume a procedência dos parâmetros do modelo, segundo a classificação mantida no arquivo único de configuração. A distinção é mantida explícita porque a credibilidade de um modelo de simulação depende menos do número de parâmetros do que da clareza sobre a origem de cada um.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15 – Procedência dos parâmetros do modelo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700"/>
        <w:gridCol w:w="1300"/>
        <w:gridCol w:w="6070"/>
      </w:tblGrid>
      <w:tr>
        <w:trPr>
          <w:tblHeader/>
        </w:trPr>
        <w:tc>
          <w:tcPr>
            <w:tcW w:type="dxa" w:w="17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Condição</w:t>
            </w:r>
          </w:p>
        </w:tc>
        <w:tc>
          <w:tcPr>
            <w:tcW w:type="dxa" w:w="13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Quantidade</w:t>
            </w:r>
          </w:p>
        </w:tc>
        <w:tc>
          <w:tcPr>
            <w:tcW w:type="dxa" w:w="60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aberto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ainda não fixado; cinco deles submetidos à calibração da Seção 2.9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calibrado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estimado dos dados por procedimento documentado: o gradiente de risco RR por faixa, obtido da base NASA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derivado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calculado do escalonamento de referência das próprias instâncias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literatura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exigido por resultado publicado: a t-norma produto e a existência de partição difusa na saída (Van Broekhoven e De Baets, 2009)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premissa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arbitrado de forma declarada, com justificativa registrada e sujeito a varredura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tcc1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herdado da fase conceitual sem alteração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(2026), a partir do arquivo de configuração do modelo.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Limitações.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Quatro limitações são declaradas. Primeira, a transferência ordinal de risco entre domínios pressupõe que o gradiente de risco por dificuldade seja transferível, ainda que o nível absoluto não seja; trata-se de suposição, e não de resultado. Segunda, a validação externa do retrabalho é um teste fraco, pelas razões expostas na Seção 2.7. Terceira, o teste do gêmeo idêntico é otimista por construção, uma vez que anula a discrepância entre modelo e realidade. Quarta, três dos cinco parâmetros submetidos à calibração não são identificáveis com os observáveis do delineamento atual, e assim são reportados.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2.14  Cronograma de atividades e próximas etapas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17 distribui cronologicamente as atividades previstas para a conclusão do trabalho.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17 – Cronograma de finalização do trabalho (TCC II)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4270"/>
        <w:gridCol w:w="960"/>
        <w:gridCol w:w="960"/>
        <w:gridCol w:w="960"/>
        <w:gridCol w:w="960"/>
        <w:gridCol w:w="960"/>
      </w:tblGrid>
      <w:tr>
        <w:trPr>
          <w:tblHeader/>
        </w:trPr>
        <w:tc>
          <w:tcPr>
            <w:tcW w:type="dxa" w:w="42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Atividade / etapa de engenharia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Nov.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Dez.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Jan.</w:t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 Confirmação da proveniência dos dados junto à coleção oficial e fechamento da calibração NASA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 Auditoria do PSPLIB J60 e validação dos parâmetros NC, RF e RS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 Construção do índice de dificuldade e da transferência ordinal NASA → J60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 Implementação do sistema de inferência difusa e do simulador de equipes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 Verificação do simulador e experimento de governança (concluídos)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 Calibração por History Matching e teste do gêmeo idêntico (concluídos)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 Fixação da âncora de risco por dado do domínio de engenharia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8. Análise de sensibilidade sobre os parâmetros em varredura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9. Ensaios finais e validação do modelo integrado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 Redação final da monografia conforme normas ABNT e preparação da defesa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REFERÊNCIAS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ANDRIANAKIS, I.; VERNON, I. R.; McCREESH, N. et al. Bayesian history matching of complex infectious disease models using emulation: a tutorial and a case study on HIV in Uganda. PLoS Computational Biology, v. 11, n. 1, e1003968, 2015. DOI 10.1371/journal.pcbi.1003968.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BEIN, W. W.; KAMBUROWSKI, J.; STALLMANN, M. F. M. Optimal reduction of two-terminal directed acyclic graphs. SIAM Journal on Computing, v. 21, n. 6, p. 1112-1129, 1992.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BOEHM, B.; BASILI, V. R. Software defect reduction top 10 list. Computer, v. 34, n. 1, p. 135-137, jan. 2001. DOI 10.1109/2.962984.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CROWDER, R. M.; ROBINSON, M. A.; HUGHES, H. P. N. et al. The development of an agent-based modeling framework for simulating engineering team work. IEEE Transactions on Systems, Man, and Cybernetics – Part A: Systems and Humans, v. 42, n. 6, p. 1425-1439, 2012.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 REYCK, B.; HERROELEN, W. On the use of the complexity index as a measure of complexity in activity networks. European Journal of Operational Research, v. 91, n. 2, p. 347-366, 1996.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 Serial and parallel resource-constrained project scheduling methods revisited: theory and computation. European Journal of Operational Research, v. 90, n. 2, p. 320-333, 1996.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 PSPLIB – a project scheduling problem library. European Journal of Operational Research, v. 96, n. 1, p. 205-216, 1997.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A.; DREXL, A. Characterization and generation of a general class of resource-constrained project scheduling problems. Management Science, v. 41, n. 10, p. 1693-1703, 1995.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LIU, S.; TRIANTIS, K. P.; SARANGI, S. Representing qualitative variables and their interactions with fuzzy logic in system dynamics modeling. Systems Research and Behavioral Science, v. 28, p. 245-263, 2011.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LOVE, P. E. D.; LI, H. Quantifying the causes and costs of rework in construction. Construction Management and Economics, v. 18, n. 4, p. 479-490,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LOVE, P. E. D.; MATTHEWS, J.; FANG, W. et al. Quantifying the costs of field rework in construction. Journal of Construction Engineering and Management, v. 152, n. 1, 2026. DOI 10.1061/JCEMD4.COENG-17026.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MACAL, C. M.; NORTH, M. J. Tutorial on agent-based modelling and simulation. Journal of Simulation, v. 4, n. 3, p. 151-162, 2010.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McCABE, T. J. A complexity measure. IEEE Transactions on Software Engineering, v. SE-2, n. 4, p. 308-320, 1976.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McCULLOCH, J.; GE, J.; WARD, J. A.; HEPPENSTALL, A.; POLHILL, J. G.; MALLESON, N. Calibrating agent-based models using uncertainty quantification methods. Journal of Artificial Societies and Social Simulation, v. 25, n. 2, artigo 1, 2022. DOI 10.18564/jasss.4791.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Cyclomatic complexity assessment. NASA/TM-20205011566, NESC-RP-20-01515. Washington: NASA, 2020.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SWE-220 – Cyclomatic complexity for safety-critical software. NASA Software Engineering Handbook, versão D. Disponível em: https://swehb.nasa.gov.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PUKELSHEIM, F. The three sigma rule. The American Statistician, v. 48, n. 2, p. 88-91, 1994. DOI 10.1080/00031305.1994.10476030.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RODRIGUES, A. G. The application of system dynamics to project management: an integrated methodology (SYDPIM). Tese (Doctor of Philosophy) — University of Strathclyde, Glasgow,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 The cleaned NASA MDP data sets. Thoughts on Empirical Software Engineering, 1 abr. 2018. Disponível em: https://empiricalsoftwareengineering.wordpress.com.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M.; SONG, Q.; SUN, Z.; MAIR, C. Data quality: some comments on the NASA software defect datasets. IEEE Transactions on Software Engineering, v. 39, n. 9, p. 1208-1215, 2013.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STERMAN, J. D. Business dynamics: systems thinking and modeling for a complex world. Boston: Irwin/McGraw-Hill,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VAN BROEKHOVEN, E.; DE BAETS, B. Only smooth rule bases can generate monotone Mamdani-Assilian models under center-of-gravity defuzzification. IEEE Transactions on Fuzzy Systems, v. 17, n. 5, p. 1157-1174, out. 2009. DOI 10.1109/TFUZZ.2009.2023328.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ab77e0b7010e60a91b141aa3aa224d659eccd.png"/><Relationship Id="rId8" Type="http://schemas.openxmlformats.org/officeDocument/2006/relationships/image" Target="media/bd2aeb83e116abee4f19db3d651242ed60e7b683.png"/><Relationship Id="rId9" Type="http://schemas.openxmlformats.org/officeDocument/2006/relationships/image" Target="media/14f930279bfd1e0fce3dfc9de1def10b8ade1afc.png"/><Relationship Id="rId10" Type="http://schemas.openxmlformats.org/officeDocument/2006/relationships/image" Target="media/3bf2fa59d9763d8544097b408777fb39f848d754.png"/><Relationship Id="rId11" Type="http://schemas.openxmlformats.org/officeDocument/2006/relationships/image" Target="media/b84eefe191a1b15edd5dd5f21aec397eb9e28960.png"/><Relationship Id="rId12" Type="http://schemas.openxmlformats.org/officeDocument/2006/relationships/image" Target="media/85e12bfeb03a4a27ad539f8ea3c270991340fe89.png"/><Relationship Id="rId13" Type="http://schemas.openxmlformats.org/officeDocument/2006/relationships/image" Target="media/e5feb34ee1683fb683281fe346ec9442358a64c8.png"/><Relationship Id="rId14" Type="http://schemas.openxmlformats.org/officeDocument/2006/relationships/image" Target="media/a1e5985db8a81d114e6e5e11bde83be57bafb2ee.png"/><Relationship Id="rId15" Type="http://schemas.openxmlformats.org/officeDocument/2006/relationships/image" Target="media/55a45c6dd7445b7fde05102abedc9ecd65d8a0fe.png"/><Relationship Id="rId16" Type="http://schemas.openxmlformats.org/officeDocument/2006/relationships/image" Target="media/12b51ff485370dd2da835040ca7448f90f6f883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TCC II — Metodologia e Resultados Iniciais</dc:title>
  <dc:creator>Isadora Maria Carvalho Lopes</dc:creator>
  <cp:lastModifiedBy>Un-named</cp:lastModifiedBy>
  <cp:revision>1</cp:revision>
  <dcterms:created xsi:type="dcterms:W3CDTF">2026-09-07T01:46:53.005Z</dcterms:created>
  <dcterms:modified xsi:type="dcterms:W3CDTF">2026-09-07T01:46:53.005Z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