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UNIVERSIDADE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Engenharia de Sistemas — Trabalho de Conclusão de Curso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Pensamento sistêmico aplicado à gestão de equipes em projetos de engenharia: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metodologia e resultados iniciais da calibração empírica e da transferência ordinal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Isadora Maria Carvalho Lopes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Orientador: Prof. André Costa Batista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Belo Horizonte, setembro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 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  Classificação e abordagem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Esta pesquisa é de natureza aplicada e adota abordagem quantitativa. O objetivo desta etapa é obter referências empíricas para parametrizar e testar o modelo computacional de gestão de equipes, sem pretensão de construir um preditor de defeitos de software.</w:t>
      </w:r>
    </w:p>
    <w:p w:rsidR="00000000" w:rsidDel="00000000" w:rsidP="00000000" w:rsidRDefault="00000000" w:rsidRPr="00000000" w14:paraId="0000000B">
      <w:pPr>
        <w:spacing w:after="120" w:line="36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A estratégia metodológica combina duas fontes com funções distintas: dados históricos de software, utilizados para estimar um gradiente ordinal de risco, e instâncias padronizadas de projetos, utilizadas para representar tarefas, precedências e restrições de recursos. Os resultados são então avaliados no simulador por meio de análises de sensibilidade, verificações e comparação entre cenários de governança.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  Materiais, ferramentas e recursos de engenharia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processamento foi desenvolvido em Python, com controle de versão por Git e dependências mantidas em ambiente virtual. Pandas e NumPy foram utilizados no tratamento dos dados; SciPy e statsmodels, nas análises estatísticas; Matplotlib, na geração das figuras.</w:t>
      </w:r>
    </w:p>
    <w:p w:rsidR="00000000" w:rsidDel="00000000" w:rsidP="00000000" w:rsidRDefault="00000000" w:rsidRPr="00000000" w14:paraId="0000000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As versões D′ e D″ do NASA Metrics Data Program fornecem módulos de software com métricas de complexidade e indicação de defeito. Nesta pesquisa, esses dados são usados para estimar como a frequência de defeitos se ordena entre faixas crescentes de complexidade. Os conjuntos CM1, JM1, KC1, KC2 e PC1 do NASA Promise Data Repository são mantidos como referência para conferência da origem e da consistência dos arquivos.</w:t>
      </w:r>
    </w:p>
    <w:p w:rsidR="00000000" w:rsidDel="00000000" w:rsidP="00000000" w:rsidRDefault="00000000" w:rsidRPr="00000000" w14:paraId="0000000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conjunto J60 não é usado para estimar risco de defeito. Ele fornece a estrutura dos projetos simulados: atividades, durações, relações de precedência e recursos. A partir dessas informações é construído o índice de dificuldade técnica de cada tarefa, empregado pelo simulador na representação do esforço e da alocação de trabalho.</w:t>
      </w:r>
    </w:p>
    <w:p w:rsidR="00000000" w:rsidDel="00000000" w:rsidP="00000000" w:rsidRDefault="00000000" w:rsidRPr="00000000" w14:paraId="00000010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  Processo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Os arquivos brutos são mantidos separados dos dados processados e das saídas geradas pelas análises. Os arquivos brutos foram mantidos separados dos dados processados e das saídas das análises.</w:t>
      </w:r>
      <w:r w:rsidDel="00000000" w:rsidR="00000000" w:rsidRPr="00000000">
        <w:rPr>
          <w:rtl w:val="0"/>
        </w:rPr>
        <w:t xml:space="preserve"> O processamento foi dividido em scripts executados em sequência, de modo que cada etapa utilize apenas os resultados já verificados da anterior.</w:t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Foram desenvolvidos seis scripts em Python. Além do processamento principal, eles incluem verificações de consistência relacionadas às características esperadas dos dados e às transformações realizadas.</w:t>
      </w:r>
    </w:p>
    <w:p w:rsidR="00000000" w:rsidDel="00000000" w:rsidP="00000000" w:rsidRDefault="00000000" w:rsidRPr="00000000" w14:paraId="0000001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organização do processo é apresentada na Figura 1.</w:t>
      </w:r>
    </w:p>
    <w:p w:rsidR="00000000" w:rsidDel="00000000" w:rsidP="00000000" w:rsidRDefault="00000000" w:rsidRPr="00000000" w14:paraId="00000014">
      <w:pPr>
        <w:pStyle w:val="Heading2"/>
        <w:spacing w:after="160" w:before="2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1.4  Obtenção e tratamento dos dados</w:t>
      </w:r>
    </w:p>
    <w:p w:rsidR="00000000" w:rsidDel="00000000" w:rsidP="00000000" w:rsidRDefault="00000000" w:rsidRPr="00000000" w14:paraId="0000001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Os dados foram obtidos diretamente dos repositórios públicos utilizados no trabalho. Os arquivos originais foram preservados, e as etapas de limpeza e transformação passaram a gerar novos arquivos.</w:t>
      </w:r>
    </w:p>
    <w:p w:rsidR="00000000" w:rsidDel="00000000" w:rsidP="00000000" w:rsidRDefault="00000000" w:rsidRPr="00000000" w14:paraId="00000016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integridade dos dados brutos foi conferida por meio de resumos SHA-256. Antes do tratamento tabular, também foi realizada uma auditoria direta dos arquivos para registrar sua estrutura e identificar possíveis inconsistências.</w:t>
      </w:r>
    </w:p>
    <w:p w:rsidR="00000000" w:rsidDel="00000000" w:rsidP="00000000" w:rsidRDefault="00000000" w:rsidRPr="00000000" w14:paraId="0000001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base final utilizada nesta etapa reúne 17.377 observações de 12 projetos. Cada observação representa um módulo de software, classificado quanto à presença ou ausência de defeitos.</w:t>
      </w:r>
    </w:p>
    <w:p w:rsidR="00000000" w:rsidDel="00000000" w:rsidP="00000000" w:rsidRDefault="00000000" w:rsidRPr="00000000" w14:paraId="00000018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Nos modelos estatísticos, o projeto de origem é incluído como variável de controle. A estabilidade dos resultados é examinada por meio de análises adicionais, entre elas a variação dos pontos de corte e a exclusão sucessiva de projetos.</w:t>
      </w:r>
    </w:p>
    <w:p w:rsidR="00000000" w:rsidDel="00000000" w:rsidP="00000000" w:rsidRDefault="00000000" w:rsidRPr="00000000" w14:paraId="00000019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1.5  Modelagem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modelo desenvolvido combina Dinâmica de Sistemas e Modelagem Baseada em Agentes. Sua estrutura conceitual foi definida no TCC I e, nesta etapa, foi convertida em uma implementação computacional.</w:t>
      </w:r>
    </w:p>
    <w:p w:rsidR="00000000" w:rsidDel="00000000" w:rsidP="00000000" w:rsidRDefault="00000000" w:rsidRPr="00000000" w14:paraId="0000001B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sistema considera dois tipos de agentes. O gestor define condições globais do projeto, como pressão de cronograma, restrição orçamentária e estrutura do fluxo de trabalho. Os engenheiros possuem atributos que podem variar ao longo da simulação, entre eles competência técnica, disponibilidade e capacidade cognitiva.</w:t>
      </w:r>
    </w:p>
    <w:p w:rsidR="00000000" w:rsidDel="00000000" w:rsidP="00000000" w:rsidRDefault="00000000" w:rsidRPr="00000000" w14:paraId="0000001C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esforço percebido para executar uma tarefa é função de sua dificuldade, da pressão de cronograma e da capacidade cognitiva disponível do agente, conforme a Equação 1.</w:t>
      </w:r>
    </w:p>
    <w:p w:rsidR="00000000" w:rsidDel="00000000" w:rsidP="00000000" w:rsidRDefault="00000000" w:rsidRPr="00000000" w14:paraId="0000001D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Dᵢ · P(t)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B(t)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70"/>
        </w:tabs>
        <w:spacing w:after="140" w:before="140" w:lineRule="auto"/>
        <w:ind w:left="680" w:firstLine="0"/>
        <w:rPr/>
      </w:pPr>
      <w:r w:rsidDel="00000000" w:rsidR="00000000" w:rsidRPr="00000000">
        <w:rPr>
          <w:rtl w:val="0"/>
        </w:rPr>
        <w:tab/>
        <w:t xml:space="preserve">(1)</w:t>
      </w:r>
    </w:p>
    <w:p w:rsidR="00000000" w:rsidDel="00000000" w:rsidP="00000000" w:rsidRDefault="00000000" w:rsidRPr="00000000" w14:paraId="0000002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em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Dᵢ</w:t>
      </w:r>
      <w:r w:rsidDel="00000000" w:rsidR="00000000" w:rsidRPr="00000000">
        <w:rPr>
          <w:rtl w:val="0"/>
        </w:rPr>
        <w:t xml:space="preserve"> representa a dificuldade técnica da tarefa, P(t) a pressão de cronograma e B(t) a capacidade cognitiva disponível.</w:t>
      </w:r>
    </w:p>
    <w:p w:rsidR="00000000" w:rsidDel="00000000" w:rsidP="00000000" w:rsidRDefault="00000000" w:rsidRPr="00000000" w14:paraId="0000002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Quando a competência do agente é insuficiente para a tarefa, pode ocorrer solicitação de apoio a outro integrante da equipe. O ganho de competência decorrente dessa interação segue a formulação de Crowder, Robinson e Hughes (2012), apresentada na Equação 2.</w:t>
      </w:r>
    </w:p>
    <w:p w:rsidR="00000000" w:rsidDel="00000000" w:rsidP="00000000" w:rsidRDefault="00000000" w:rsidRPr="00000000" w14:paraId="0000002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mbria Math" w:cs="Cambria Math" w:eastAsia="Cambria Math" w:hAnsi="Cambria Math"/>
        </w:rPr>
      </w:pPr>
      <m:oMath>
        <m:r>
          <m:t>Δ</m:t>
        </m:r>
        <m:r>
          <w:rPr>
            <w:rFonts w:ascii="Cambria Math" w:cs="Cambria Math" w:eastAsia="Cambria Math" w:hAnsi="Cambria Math"/>
          </w:rPr>
          <m:t xml:space="preserve">C=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15+3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k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-C</m:t>
                    </m:r>
                  </m:e>
                </m:d>
              </m:e>
            </m:d>
          </m:num>
          <m:den>
            <m:r>
              <w:rPr>
                <w:rFonts w:ascii="Cambria Math" w:cs="Cambria Math" w:eastAsia="Cambria Math" w:hAnsi="Cambria Math"/>
              </w:rPr>
              <m:t xml:space="preserve">100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70"/>
        </w:tabs>
        <w:spacing w:after="140" w:before="140" w:lineRule="auto"/>
        <w:rPr/>
      </w:pPr>
      <w:r w:rsidDel="00000000" w:rsidR="00000000" w:rsidRPr="00000000">
        <w:rPr>
          <w:rtl w:val="0"/>
        </w:rPr>
        <w:tab/>
        <w:t xml:space="preserve">(2)</w:t>
      </w:r>
    </w:p>
    <w:p w:rsidR="00000000" w:rsidDel="00000000" w:rsidP="00000000" w:rsidRDefault="00000000" w:rsidRPr="00000000" w14:paraId="0000002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Os coeficientes da equação foram mantidos conforme a formulação original. A adaptação realizada neste trabalho está na permanência do ganho de competência entre tarefas, enquanto no modelo de referência parte desse ganho é temporária. Também foi adotada a condição de que o agente que fornece apoio possua competência superior à do solicitante.</w:t>
      </w:r>
    </w:p>
    <w:p w:rsidR="00000000" w:rsidDel="00000000" w:rsidP="00000000" w:rsidRDefault="00000000" w:rsidRPr="00000000" w14:paraId="00000026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Fadiga e atrito na rede de interação são representados por multiplicadores entre 0 e 1, obtidos por inferência difusa. O procedimento segue a abordagem apresentada por Liu, Triantis e Sarangi (2011), na qual variáveis qualitativas são representadas por funções de pertinência e regras de inferência. Esses multiplicadores ajustam a produtividade nominal do agente, conforme a Equação 3.</w:t>
      </w:r>
    </w:p>
    <w:p w:rsidR="00000000" w:rsidDel="00000000" w:rsidP="00000000" w:rsidRDefault="00000000" w:rsidRPr="00000000" w14:paraId="00000027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efetiva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nominal</m:t>
            </m:r>
          </m:sub>
        </m:sSub>
        <m:r>
          <w:rPr>
            <w:rFonts w:ascii="Cambria Math" w:cs="Cambria Math" w:eastAsia="Cambria Math" w:hAnsi="Cambria Math"/>
          </w:rPr>
          <m:t>∙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μ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cognitivo</m:t>
            </m:r>
          </m:sub>
        </m:sSub>
        <m:r>
          <w:rPr>
            <w:rFonts w:ascii="Cambria Math" w:cs="Cambria Math" w:eastAsia="Cambria Math" w:hAnsi="Cambria Math"/>
          </w:rPr>
          <m:t>∙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μ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rede</m:t>
            </m:r>
          </m:sub>
        </m:sSub>
      </m:oMath>
      <w:r w:rsidDel="00000000" w:rsidR="00000000" w:rsidRPr="00000000">
        <w:rPr>
          <w:rtl w:val="0"/>
        </w:rPr>
        <w:tab/>
        <w:t xml:space="preserve">(3)</w:t>
      </w:r>
    </w:p>
    <w:p w:rsidR="00000000" w:rsidDel="00000000" w:rsidP="00000000" w:rsidRDefault="00000000" w:rsidRPr="00000000" w14:paraId="00000028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geração de retrabalho depende do risco basal associado à tarefa e de um componente adicional relacionado à degradação cognitiva, conforme a Equação 4. </w:t>
      </w:r>
    </w:p>
    <w:p w:rsidR="00000000" w:rsidDel="00000000" w:rsidP="00000000" w:rsidRDefault="00000000" w:rsidRPr="00000000" w14:paraId="00000029">
      <w:pPr>
        <w:tabs>
          <w:tab w:val="right" w:leader="none" w:pos="9070"/>
        </w:tabs>
        <w:spacing w:after="140" w:before="140" w:lineRule="auto"/>
        <w:ind w:left="680" w:firstLine="0"/>
        <w:rPr>
          <w:i w:val="1"/>
          <w:iCs w:val="1"/>
        </w:rPr>
      </w:pPr>
      <m:oMath>
        <m:r>
          <w:rPr>
            <w:rFonts w:ascii="Cambria Math" w:cs="Cambria Math" w:eastAsia="Cambria Math" w:hAnsi="Cambria Math"/>
          </w:rPr>
          <m:t xml:space="preserve">TGE=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efetiva</m:t>
            </m:r>
          </m:sub>
        </m:sSub>
        <m:r>
          <w:rPr>
            <w:rFonts w:ascii="Cambria Math" w:cs="Cambria Math" w:eastAsia="Cambria Math" w:hAnsi="Cambria Math"/>
          </w:rPr>
          <m:t xml:space="preserve">∙(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base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error</m:t>
            </m:r>
          </m:sub>
        </m:sSub>
        <m:r>
          <w:rPr>
            <w:rFonts w:ascii="Cambria Math" w:cs="Cambria Math" w:eastAsia="Cambria Math" w:hAnsi="Cambria Math"/>
          </w:rPr>
          <m:t xml:space="preserve">∙(1-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μ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cognitivo</m:t>
            </m:r>
          </m:sub>
        </m:sSub>
        <m:r>
          <w:rPr>
            <w:rFonts w:ascii="Cambria Math" w:cs="Cambria Math" w:eastAsia="Cambria Math" w:hAnsi="Cambria Math"/>
          </w:rPr>
          <m:t xml:space="preserve">))</m:t>
        </m:r>
      </m:oMath>
      <w:r w:rsidDel="00000000" w:rsidR="00000000" w:rsidRPr="00000000">
        <w:rPr>
          <w:rtl w:val="0"/>
        </w:rPr>
        <w:tab/>
        <w:t xml:space="preserve">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risco basal varia com a dificuldade da tarefa. O segundo termo representa o aumento da propensão a erro em condições de maior degradação cognitiva.</w:t>
      </w:r>
    </w:p>
    <w:p w:rsidR="00000000" w:rsidDel="00000000" w:rsidP="00000000" w:rsidRDefault="00000000" w:rsidRPr="00000000" w14:paraId="0000002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eficiência observada ao final da simulação é calculada pela razão entre o tempo de trabalho efetivo e o esforço total contabilizado no projeto:</w:t>
      </w:r>
    </w:p>
    <w:p w:rsidR="00000000" w:rsidDel="00000000" w:rsidP="00000000" w:rsidRDefault="00000000" w:rsidRPr="00000000" w14:paraId="0000002C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total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/>
              <m:sup/>
            </m:nary>
            <m:r>
              <w:rPr>
                <w:rFonts w:ascii="Cambria Math" w:cs="Cambria Math" w:eastAsia="Cambria Math" w:hAnsi="Cambria Math"/>
              </w:rPr>
              <m:t xml:space="preserve">TWᵢ</m:t>
            </m:r>
          </m:num>
          <m:den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/>
              <m:sup/>
            </m:nary>
            <m:r>
              <w:rPr>
                <w:rFonts w:ascii="Cambria Math" w:cs="Cambria Math" w:eastAsia="Cambria Math" w:hAnsi="Cambria Math"/>
              </w:rPr>
              <m:t xml:space="preserve">( TWᵢ + TLᵢ + TUᵢ + TRᵢ )</m:t>
            </m:r>
          </m:den>
        </m:f>
      </m:oMath>
      <w:r w:rsidDel="00000000" w:rsidR="00000000" w:rsidRPr="00000000">
        <w:rPr>
          <w:rtl w:val="0"/>
        </w:rPr>
        <w:tab/>
        <w:t xml:space="preserve">(5)</w:t>
      </w:r>
    </w:p>
    <w:p w:rsidR="00000000" w:rsidDel="00000000" w:rsidP="00000000" w:rsidRDefault="00000000" w:rsidRPr="00000000" w14:paraId="0000002D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Nessa expressão,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TWᵢ</w:t>
      </w:r>
      <w:r w:rsidDel="00000000" w:rsidR="00000000" w:rsidRPr="00000000">
        <w:rPr>
          <w:rtl w:val="0"/>
        </w:rPr>
        <w:t xml:space="preserve"> corresponde ao trabalho efetivo,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TLᵢ</w:t>
      </w:r>
      <w:r w:rsidDel="00000000" w:rsidR="00000000" w:rsidRPr="00000000">
        <w:rPr>
          <w:rtl w:val="0"/>
        </w:rPr>
        <w:t xml:space="preserve"> ao tempo de espera por suporte,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TUᵢ</w:t>
      </w:r>
      <w:r w:rsidDel="00000000" w:rsidR="00000000" w:rsidRPr="00000000">
        <w:rPr>
          <w:rtl w:val="0"/>
        </w:rPr>
        <w:t xml:space="preserve"> ao tempo improdutivo 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TRᵢ</w:t>
      </w:r>
      <w:r w:rsidDel="00000000" w:rsidR="00000000" w:rsidRPr="00000000">
        <w:rPr>
          <w:rtl w:val="0"/>
        </w:rPr>
        <w:t xml:space="preserve"> ao esforço associado ao retrabalho.</w:t>
      </w:r>
    </w:p>
    <w:p w:rsidR="00000000" w:rsidDel="00000000" w:rsidP="00000000" w:rsidRDefault="00000000" w:rsidRPr="00000000" w14:paraId="0000002E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camada de Dinâmica de Sistemas acompanha três estoques. O desgaste cognitivo acumulado representa o consumo de capacidade cognitiva da equipe ao longo da execução. O progresso validado registra apenas tarefas concluídas sem defeitos identificados pelo modelo. A dívida técnica latente reúne o retrabalho gerado e ainda não detectado.</w:t>
      </w:r>
    </w:p>
    <w:p w:rsidR="00000000" w:rsidDel="00000000" w:rsidP="00000000" w:rsidRDefault="00000000" w:rsidRPr="00000000" w14:paraId="0000002F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Essa distinção permite representar situações em que o número de tarefas formalmente concluídas aumenta sem crescimento equivalente do progresso validado, enquanto o retrabalho potencial se acumula.</w:t>
      </w:r>
    </w:p>
    <w:p w:rsidR="00000000" w:rsidDel="00000000" w:rsidP="00000000" w:rsidRDefault="00000000" w:rsidRPr="00000000" w14:paraId="0000003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execução das tarefas é governada por regras de decisão avaliadas a cada período. Quando o esforço percebido ultrapassa o limiar de saturação do agente, aumenta a probabilidade de execução em modo heurístico. Em situações nas quais a tarefa não pode ser executada nas condições atuais, ela pode ser adiada. Nos demais casos, ocorre execução analítica, associada ao risco basal da faixa de dificuldade.</w:t>
      </w:r>
    </w:p>
    <w:p w:rsidR="00000000" w:rsidDel="00000000" w:rsidP="00000000" w:rsidRDefault="00000000" w:rsidRPr="00000000" w14:paraId="0000003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transição entre execução analítica e heurística é representada de forma probabilística pela Equação 6.</w:t>
      </w:r>
    </w:p>
    <w:p w:rsidR="00000000" w:rsidDel="00000000" w:rsidP="00000000" w:rsidRDefault="00000000" w:rsidRPr="00000000" w14:paraId="00000032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heurístico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/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1+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</w:rPr>
                  <m:t>exp</m:t>
                </m:r>
              </m:e>
            </m:box>
            <m:r>
              <w:rPr>
                <w:rFonts w:ascii="Cambria Math" w:cs="Cambria Math" w:eastAsia="Cambria Math" w:hAnsi="Cambria Math"/>
              </w:rPr>
              <m:t xml:space="preserve">exp</m:t>
            </m:r>
            <m:r>
              <w:rPr/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E-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sat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 xml:space="preserve">s</m:t>
                    </m:r>
                  </m:den>
                </m:f>
              </m:e>
            </m:d>
            <m:r>
              <w:rPr/>
              <m:t xml:space="preserve"> </m:t>
            </m:r>
          </m:den>
        </m:f>
      </m:oMath>
      <w:r w:rsidDel="00000000" w:rsidR="00000000" w:rsidRPr="00000000">
        <w:rPr>
          <w:rtl w:val="0"/>
        </w:rPr>
        <w:tab/>
        <w:t xml:space="preserve">(6)</w:t>
      </w:r>
    </w:p>
    <w:p w:rsidR="00000000" w:rsidDel="00000000" w:rsidP="00000000" w:rsidRDefault="00000000" w:rsidRPr="00000000" w14:paraId="0000003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em que </w:t>
      </w:r>
      <m:oMath>
        <m:r>
          <w:rPr>
            <w:rFonts w:ascii="Cambria Math" w:cs="Cambria Math" w:eastAsia="Cambria Math" w:hAnsi="Cambria Math"/>
          </w:rPr>
          <m:t xml:space="preserve">E</m:t>
        </m:r>
      </m:oMath>
      <w:r w:rsidDel="00000000" w:rsidR="00000000" w:rsidRPr="00000000">
        <w:rPr>
          <w:rtl w:val="0"/>
        </w:rPr>
        <w:t xml:space="preserve"> representa o esforço percebido, </w:t>
      </w: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m:t>τ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sat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o limiar de saturação e </w:t>
      </w:r>
      <m:oMath>
        <m:r>
          <w:rPr>
            <w:rFonts w:ascii="Cambria Math" w:cs="Cambria Math" w:eastAsia="Cambria Math" w:hAnsi="Cambria Math"/>
          </w:rPr>
          <m:t xml:space="preserve">s</m:t>
        </m:r>
      </m:oMath>
      <w:r w:rsidDel="00000000" w:rsidR="00000000" w:rsidRPr="00000000">
        <w:rPr>
          <w:rtl w:val="0"/>
        </w:rPr>
        <w:t xml:space="preserve"> o parâmetro que controla a suavidade da transição.</w:t>
      </w:r>
    </w:p>
    <w:p w:rsidR="00000000" w:rsidDel="00000000" w:rsidP="00000000" w:rsidRDefault="00000000" w:rsidRPr="00000000" w14:paraId="0000003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formulação probabilística foi adotada para compatibilizar duas representações presentes na etapa conceitual do trabalho: uma descrição estocástica e um pseudocódigo baseado em limiar determinístico. Para valores reduzidos de </w:t>
      </w:r>
      <m:oMath>
        <m:r>
          <w:rPr>
            <w:rFonts w:ascii="Cambria Math" w:cs="Cambria Math" w:eastAsia="Cambria Math" w:hAnsi="Cambria Math"/>
          </w:rPr>
          <m:t xml:space="preserve">s</m:t>
        </m:r>
      </m:oMath>
      <w:r w:rsidDel="00000000" w:rsidR="00000000" w:rsidRPr="00000000">
        <w:rPr>
          <w:rtl w:val="0"/>
        </w:rPr>
        <w:t xml:space="preserve">, a transição se aproxima do comportamento determinístico, permitindo comparar ambas as hipóteses em análise de sensibilidade.</w:t>
      </w:r>
    </w:p>
    <w:p w:rsidR="00000000" w:rsidDel="00000000" w:rsidP="00000000" w:rsidRDefault="00000000" w:rsidRPr="00000000" w14:paraId="00000035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1.6  Sistema de inferência difusa e monotonicidade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Os multiplicadores de produtividade são obtidos por um sistema de inferência difusa do tipo Mamdani–Assilian, com duas entradas, três termos linguísticos por variável e defuzzificação por centroide. A estrutura foi definida no TCC II a partir da proposta conceitual apresentada anteriormente.</w:t>
      </w:r>
    </w:p>
    <w:p w:rsidR="00000000" w:rsidDel="00000000" w:rsidP="00000000" w:rsidRDefault="00000000" w:rsidRPr="00000000" w14:paraId="0000003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Como a saída do sistema atua como multiplicador de produtividade, adotou-se como requisito que ela não aumente com o crescimento da fadiga ou da pressão. A configuração inicialmente considerada, baseada na t-norma mínimo, apresentou regiões em que essa condição não era satisfeita.</w:t>
      </w:r>
    </w:p>
    <w:p w:rsidR="00000000" w:rsidDel="00000000" w:rsidP="00000000" w:rsidRDefault="00000000" w:rsidRPr="00000000" w14:paraId="00000038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Van Broekhoven e De Baets (2009) mostram que uma base de regras monotônica, por si só, não garante monotonicidade em modelos Mamdani–Assilian com defuzzificação por centroide. Para a configuração de duas entradas utilizada neste trabalho, a combinação entre t-norma produto e uma base de regras monotônica e suave oferece essa garantia sob as condições apresentadas pelos autores.</w:t>
      </w:r>
    </w:p>
    <w:p w:rsidR="00000000" w:rsidDel="00000000" w:rsidP="00000000" w:rsidRDefault="00000000" w:rsidRPr="00000000" w14:paraId="00000039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base de regras adotada foi verificada quanto a essas condições. As diferenças entre consequentes de regras vizinhas atendem ao requisito de suavidade, mas os conjuntos de saída definidos inicialmente não formavam uma partição difusa. Por esse motivo, a implementação passou a utilizar t-norma produto e partição uniforme na saída.</w:t>
      </w:r>
    </w:p>
    <w:p w:rsidR="00000000" w:rsidDel="00000000" w:rsidP="00000000" w:rsidRDefault="00000000" w:rsidRPr="00000000" w14:paraId="0000003A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configuração anterior foi mantida para comparação. A Tabela 1 apresenta a maior derivada positiva observada para as diferentes combinações avaliadas em uma malha de 161 × 161 pontos.</w:t>
      </w:r>
    </w:p>
    <w:p w:rsidR="00000000" w:rsidDel="00000000" w:rsidP="00000000" w:rsidRDefault="00000000" w:rsidRPr="00000000" w14:paraId="0000003B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 – Maior derivada positiva da superfície difusa por configuração de inferência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5230"/>
        <w:gridCol w:w="1920"/>
        <w:gridCol w:w="1920"/>
        <w:tblGridChange w:id="0">
          <w:tblGrid>
            <w:gridCol w:w="5230"/>
            <w:gridCol w:w="1920"/>
            <w:gridCol w:w="192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Garantida pelo teorema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Maior derivada 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t-norma mínimo com conjuntos originais (especificação conceitual)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0,258112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t-norma produto com conjuntos originais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t-norma mínimo com partição difusa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0,420881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t-norma produto com partição difusa (configuração adotada)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(2026), com base em Van Broekhoven e De Baets (2009).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Na configuração adotada, não foram observadas violações de monotonicidade acima da precisão numérica. A partição uniforme também eliminou a necessidade de definir separadamente parâmetros para os centros dos termos de saída.</w:t>
      </w:r>
    </w:p>
    <w:p w:rsidR="00000000" w:rsidDel="00000000" w:rsidP="00000000" w:rsidRDefault="00000000" w:rsidRPr="00000000" w14:paraId="0000004E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adoção da partição uniforme teve um efeito colateral favorável ao rigor do modelo: os centros dos termos de saída passaram a ser estruturais, com núcleos em zero, meio e um, e dois parâmetros anteriormente arbitrados deixaram de existir.</w:t>
      </w:r>
    </w:p>
    <w:p w:rsidR="00000000" w:rsidDel="00000000" w:rsidP="00000000" w:rsidRDefault="00000000" w:rsidRPr="00000000" w14:paraId="0000004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1.7  Instrumental de calibração empírica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calibração dos parâmetros Dᵢ e do risco basal de falha combina análise estatística da base NASA e características estruturais das instâncias do PSPLIB.</w:t>
      </w:r>
    </w:p>
    <w:p w:rsidR="00000000" w:rsidDel="00000000" w:rsidP="00000000" w:rsidRDefault="00000000" w:rsidRPr="00000000" w14:paraId="0000005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associação entre métricas de software e ocorrência de defeitos foi estimada por regressão logística:</w:t>
      </w:r>
    </w:p>
    <w:p w:rsidR="00000000" w:rsidDel="00000000" w:rsidP="00000000" w:rsidRDefault="00000000" w:rsidRPr="00000000" w14:paraId="00000052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ln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p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( 1 - p )</m:t>
            </m:r>
          </m:den>
        </m:f>
        <m:r>
          <w:rPr>
            <w:rFonts w:ascii="Cambria Math" w:cs="Cambria Math" w:eastAsia="Cambria Math" w:hAnsi="Cambria Math"/>
          </w:rPr>
          <m:t xml:space="preserve"> = β₀ + β₁x₁ + β₂x₂ + … + βₚxₚ</m:t>
        </m:r>
      </m:oMath>
      <w:r w:rsidDel="00000000" w:rsidR="00000000" w:rsidRPr="00000000">
        <w:rPr>
          <w:rtl w:val="0"/>
        </w:rPr>
        <w:tab/>
        <w:t xml:space="preserve">(7)</w:t>
      </w:r>
    </w:p>
    <w:p w:rsidR="00000000" w:rsidDel="00000000" w:rsidP="00000000" w:rsidRDefault="00000000" w:rsidRPr="00000000" w14:paraId="0000005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em que </w:t>
      </w:r>
      <m:oMath>
        <m:r>
          <w:rPr>
            <w:rFonts w:ascii="Cambria Math" w:cs="Cambria Math" w:eastAsia="Cambria Math" w:hAnsi="Cambria Math"/>
          </w:rPr>
          <m:t xml:space="preserve">p</m:t>
        </m:r>
      </m:oMath>
      <w:r w:rsidDel="00000000" w:rsidR="00000000" w:rsidRPr="00000000">
        <w:rPr>
          <w:rtl w:val="0"/>
        </w:rPr>
        <w:t xml:space="preserve"> é a probabilidade de ocorrência de defeito,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xᵢ</w:t>
      </w:r>
      <w:r w:rsidDel="00000000" w:rsidR="00000000" w:rsidRPr="00000000">
        <w:rPr>
          <w:rtl w:val="0"/>
        </w:rPr>
        <w:t xml:space="preserve"> representa as variáveis explicativas 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βᵢ</w:t>
      </w:r>
      <w:r w:rsidDel="00000000" w:rsidR="00000000" w:rsidRPr="00000000">
        <w:rPr>
          <w:rtl w:val="0"/>
        </w:rPr>
        <w:t xml:space="preserve"> os coeficientes estimados. O projeto de origem foi incluído nos modelos como variável de controle.</w:t>
      </w:r>
    </w:p>
    <w:p w:rsidR="00000000" w:rsidDel="00000000" w:rsidP="00000000" w:rsidRDefault="00000000" w:rsidRPr="00000000" w14:paraId="00000054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Os efeitos foram interpretados por razões de chances:</w:t>
      </w:r>
    </w:p>
    <w:p w:rsidR="00000000" w:rsidDel="00000000" w:rsidP="00000000" w:rsidRDefault="00000000" w:rsidRPr="00000000" w14:paraId="00000055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RC = exp(β)</m:t>
        </m:r>
      </m:oMath>
      <w:r w:rsidDel="00000000" w:rsidR="00000000" w:rsidRPr="00000000">
        <w:rPr>
          <w:rtl w:val="0"/>
        </w:rPr>
        <w:tab/>
        <w:t xml:space="preserve">(8)</w:t>
      </w:r>
    </w:p>
    <w:p w:rsidR="00000000" w:rsidDel="00000000" w:rsidP="00000000" w:rsidRDefault="00000000" w:rsidRPr="00000000" w14:paraId="0000005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Modelos aninhados foram comparados pelo teste da razão de verossimilhança:</w:t>
      </w:r>
    </w:p>
    <w:p w:rsidR="00000000" w:rsidDel="00000000" w:rsidP="00000000" w:rsidRDefault="00000000" w:rsidRPr="00000000" w14:paraId="00000057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LR = 2 ( l_completo - l_reduzido )  ~  χ² ( gl )</m:t>
        </m:r>
      </m:oMath>
      <w:r w:rsidDel="00000000" w:rsidR="00000000" w:rsidRPr="00000000">
        <w:rPr>
          <w:rtl w:val="0"/>
        </w:rPr>
        <w:tab/>
        <w:t xml:space="preserve">(9)</w:t>
      </w:r>
    </w:p>
    <w:p w:rsidR="00000000" w:rsidDel="00000000" w:rsidP="00000000" w:rsidRDefault="00000000" w:rsidRPr="00000000" w14:paraId="00000058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 a multicolinearidade foi examinada pelo fator de inflação da variânciância:</w:t>
      </w:r>
    </w:p>
    <w:p w:rsidR="00000000" w:rsidDel="00000000" w:rsidP="00000000" w:rsidRDefault="00000000" w:rsidRPr="00000000" w14:paraId="00000059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VIFⱼ = 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1 - R²ⱼ </m:t>
            </m:r>
          </m:den>
        </m:f>
      </m:oMath>
      <w:r w:rsidDel="00000000" w:rsidR="00000000" w:rsidRPr="00000000">
        <w:rPr>
          <w:rtl w:val="0"/>
        </w:rPr>
        <w:tab/>
        <w:t xml:space="preserve">(10)</w:t>
      </w:r>
    </w:p>
    <w:p w:rsidR="00000000" w:rsidDel="00000000" w:rsidP="00000000" w:rsidRDefault="00000000" w:rsidRPr="00000000" w14:paraId="0000005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Para caracterizar as instâncias do PSPLIB, foram calculadas as medidas de complexidade de rede, fator de recursos e força de recursos propostas por Kolisch, Sprecher e Drexl (1995):</w:t>
      </w:r>
    </w:p>
    <w:p w:rsidR="00000000" w:rsidDel="00000000" w:rsidP="00000000" w:rsidRDefault="00000000" w:rsidRPr="00000000" w14:paraId="0000005B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NC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| A |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| V |</m:t>
            </m:r>
          </m:den>
        </m:f>
      </m:oMath>
      <w:r w:rsidDel="00000000" w:rsidR="00000000" w:rsidRPr="00000000">
        <w:rPr>
          <w:rtl w:val="0"/>
        </w:rPr>
        <w:tab/>
        <w:t xml:space="preserve">(11)</w:t>
      </w:r>
    </w:p>
    <w:p w:rsidR="00000000" w:rsidDel="00000000" w:rsidP="00000000" w:rsidRDefault="00000000" w:rsidRPr="00000000" w14:paraId="0000005C">
      <w:pPr>
        <w:spacing w:after="40" w:lineRule="auto"/>
        <w:ind w:left="793" w:hanging="453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| A |</w:t>
      </w:r>
      <w:r w:rsidDel="00000000" w:rsidR="00000000" w:rsidRPr="00000000">
        <w:rPr>
          <w:sz w:val="20"/>
          <w:szCs w:val="20"/>
          <w:rtl w:val="0"/>
        </w:rPr>
        <w:t xml:space="preserve">: número de arcos de precedência; </w:t>
      </w:r>
    </w:p>
    <w:p w:rsidR="00000000" w:rsidDel="00000000" w:rsidP="00000000" w:rsidRDefault="00000000" w:rsidRPr="00000000" w14:paraId="0000005D">
      <w:pPr>
        <w:spacing w:after="40" w:lineRule="auto"/>
        <w:ind w:left="793" w:hanging="453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| V |: número de atividades, incluindo as fictícias.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RF = 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n </m:t>
            </m:r>
          </m:den>
        </m:f>
        <m:r>
          <w:rPr>
            <w:rFonts w:ascii="Cambria Math" w:cs="Cambria Math" w:eastAsia="Cambria Math" w:hAnsi="Cambria Math"/>
          </w:rPr>
          <m:t xml:space="preserve">  · Σⱼ [ 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K</m:t>
            </m:r>
          </m:den>
        </m:f>
        <m:r>
          <w:rPr>
            <w:rFonts w:ascii="Cambria Math" w:cs="Cambria Math" w:eastAsia="Cambria Math" w:hAnsi="Cambria Math"/>
          </w:rPr>
          <m:t xml:space="preserve"> · Σₖ 1{ rⱼₖ &gt; 0 } ]</m:t>
        </m:r>
      </m:oMath>
      <w:r w:rsidDel="00000000" w:rsidR="00000000" w:rsidRPr="00000000">
        <w:rPr>
          <w:rtl w:val="0"/>
        </w:rPr>
        <w:tab/>
        <w:t xml:space="preserve">(12)</w:t>
      </w:r>
    </w:p>
    <w:p w:rsidR="00000000" w:rsidDel="00000000" w:rsidP="00000000" w:rsidRDefault="00000000" w:rsidRPr="00000000" w14:paraId="0000005F">
      <w:pPr>
        <w:spacing w:after="40" w:lineRule="auto"/>
        <w:ind w:left="793" w:hanging="453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n, K</w:t>
      </w:r>
      <w:r w:rsidDel="00000000" w:rsidR="00000000" w:rsidRPr="00000000">
        <w:rPr>
          <w:sz w:val="20"/>
          <w:szCs w:val="20"/>
          <w:rtl w:val="0"/>
        </w:rPr>
        <w:t xml:space="preserve">: número de atividades reais e de tipos de recurso;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ind w:left="793" w:hanging="453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rⱼₖ</w:t>
      </w:r>
      <w:r w:rsidDel="00000000" w:rsidR="00000000" w:rsidRPr="00000000">
        <w:rPr>
          <w:sz w:val="20"/>
          <w:szCs w:val="20"/>
          <w:rtl w:val="0"/>
        </w:rPr>
        <w:t xml:space="preserve">: demanda da atividade j pelo recurso k; </w:t>
      </w:r>
    </w:p>
    <w:p w:rsidR="00000000" w:rsidDel="00000000" w:rsidP="00000000" w:rsidRDefault="00000000" w:rsidRPr="00000000" w14:paraId="00000061">
      <w:pPr>
        <w:spacing w:after="40" w:lineRule="auto"/>
        <w:ind w:left="793" w:hanging="453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1{·}: função indicadora.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RSₖ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aₖ - rₖᵐⁱⁿ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rₖᵐᵃˣ - rₖᵐⁱⁿ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ab/>
        <w:t xml:space="preserve">(13)</w:t>
      </w:r>
    </w:p>
    <w:p w:rsidR="00000000" w:rsidDel="00000000" w:rsidP="00000000" w:rsidRDefault="00000000" w:rsidRPr="00000000" w14:paraId="00000063">
      <w:pPr>
        <w:spacing w:after="40" w:lineRule="auto"/>
        <w:ind w:left="793" w:hanging="453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aₖ</w:t>
      </w:r>
      <w:r w:rsidDel="00000000" w:rsidR="00000000" w:rsidRPr="00000000">
        <w:rPr>
          <w:sz w:val="20"/>
          <w:szCs w:val="20"/>
          <w:rtl w:val="0"/>
        </w:rPr>
        <w:t xml:space="preserve">: disponibilidade do recurso 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ind w:left="793" w:hanging="453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rₖᵐⁱⁿ</w:t>
      </w:r>
      <w:r w:rsidDel="00000000" w:rsidR="00000000" w:rsidRPr="00000000">
        <w:rPr>
          <w:sz w:val="20"/>
          <w:szCs w:val="20"/>
          <w:rtl w:val="0"/>
        </w:rPr>
        <w:t xml:space="preserve">: maior demanda individual, menor disponibilidade que mantém o problema viável;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ind w:left="793" w:hanging="453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rₖᵐᵃˣ</w:t>
      </w:r>
      <w:r w:rsidDel="00000000" w:rsidR="00000000" w:rsidRPr="00000000">
        <w:rPr>
          <w:sz w:val="20"/>
          <w:szCs w:val="20"/>
          <w:rtl w:val="0"/>
        </w:rPr>
        <w:t xml:space="preserve">: pico de demanda no cronograma de inícios mais cedo.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criticidade das atividades foi representada pela folga total, calculada a partir dos tempos de início mais cedo e mais tarde:</w:t>
      </w:r>
    </w:p>
    <w:p w:rsidR="00000000" w:rsidDel="00000000" w:rsidP="00000000" w:rsidRDefault="00000000" w:rsidRPr="00000000" w14:paraId="00000067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folgaⱼ = LSⱼ - ESⱼ</m:t>
        </m:r>
      </m:oMath>
      <w:r w:rsidDel="00000000" w:rsidR="00000000" w:rsidRPr="00000000">
        <w:rPr>
          <w:rtl w:val="0"/>
        </w:rPr>
        <w:tab/>
        <w:t xml:space="preserve">(14)</w:t>
      </w:r>
    </w:p>
    <w:p w:rsidR="00000000" w:rsidDel="00000000" w:rsidP="00000000" w:rsidRDefault="00000000" w:rsidRPr="00000000" w14:paraId="00000068">
      <w:pPr>
        <w:spacing w:after="40" w:lineRule="auto"/>
        <w:ind w:left="793" w:hanging="453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ESⱼ, LSⱼ</w:t>
      </w:r>
      <w:r w:rsidDel="00000000" w:rsidR="00000000" w:rsidRPr="00000000">
        <w:rPr>
          <w:sz w:val="20"/>
          <w:szCs w:val="20"/>
          <w:rtl w:val="0"/>
        </w:rPr>
        <w:t xml:space="preserve">: início mais cedo e início mais tarde admissível sem atrasar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índice de dificuldade técnica foi construído a partir de três componentes normalizados no intervalo ([0,1]):</w:t>
      </w:r>
    </w:p>
    <w:p w:rsidR="00000000" w:rsidDel="00000000" w:rsidP="00000000" w:rsidRDefault="00000000" w:rsidRPr="00000000" w14:paraId="0000006A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dⱼ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durⱼ - dur_mín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dur_máx - dur_mín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ab/>
        <w:t xml:space="preserve">(15)</w:t>
      </w:r>
    </w:p>
    <w:p w:rsidR="00000000" w:rsidDel="00000000" w:rsidP="00000000" w:rsidRDefault="00000000" w:rsidRPr="00000000" w14:paraId="0000006B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rⱼ = ( 1/K ) · Σₖ ( rⱼₖ / aₖ</m:t>
        </m:r>
      </m:oMath>
      <w:r w:rsidDel="00000000" w:rsidR="00000000" w:rsidRPr="00000000">
        <w:rPr>
          <w:i w:val="1"/>
          <w:iCs w:val="1"/>
          <w:rtl w:val="0"/>
        </w:rPr>
        <w:t xml:space="preserve"> )</w:t>
      </w:r>
      <w:r w:rsidDel="00000000" w:rsidR="00000000" w:rsidRPr="00000000">
        <w:rPr>
          <w:rtl w:val="0"/>
        </w:rPr>
        <w:tab/>
        <w:t xml:space="preserve">(16)</w:t>
      </w:r>
    </w:p>
    <w:p w:rsidR="00000000" w:rsidDel="00000000" w:rsidP="00000000" w:rsidRDefault="00000000" w:rsidRPr="00000000" w14:paraId="0000006C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cⱼ = 1 - folga_normⱼ</m:t>
        </m:r>
      </m:oMath>
      <w:r w:rsidDel="00000000" w:rsidR="00000000" w:rsidRPr="00000000">
        <w:rPr>
          <w:rtl w:val="0"/>
        </w:rPr>
        <w:tab/>
        <w:t xml:space="preserve">(17)</w:t>
      </w:r>
    </w:p>
    <w:p w:rsidR="00000000" w:rsidDel="00000000" w:rsidP="00000000" w:rsidRDefault="00000000" w:rsidRPr="00000000" w14:paraId="0000006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Os componentes foram combinados segundo:</w:t>
      </w:r>
    </w:p>
    <w:p w:rsidR="00000000" w:rsidDel="00000000" w:rsidP="00000000" w:rsidRDefault="00000000" w:rsidRPr="00000000" w14:paraId="0000006E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Dⱼ = w₁ dⱼ + w₂ rⱼ + w₃ cⱼ ,   com  w₁ + w₂ + w₃ = 1</m:t>
        </m:r>
      </m:oMath>
      <w:r w:rsidDel="00000000" w:rsidR="00000000" w:rsidRPr="00000000">
        <w:rPr>
          <w:rtl w:val="0"/>
        </w:rPr>
        <w:tab/>
        <w:t xml:space="preserve">(18)</w:t>
      </w:r>
    </w:p>
    <w:p w:rsidR="00000000" w:rsidDel="00000000" w:rsidP="00000000" w:rsidRDefault="00000000" w:rsidRPr="00000000" w14:paraId="0000006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Inicialmente, os três pesos foram fixados em (1/3). A influência dessa escolha é posteriormente examinada por análise de sensibilidade.</w:t>
      </w:r>
    </w:p>
    <w:p w:rsidR="00000000" w:rsidDel="00000000" w:rsidP="00000000" w:rsidRDefault="00000000" w:rsidRPr="00000000" w14:paraId="0000007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transferência do risco entre os dois domínios foi realizada de forma ordinal. Para cada nível de dificuldade ℓ, calculou-se na base NASA a razão de risco em relação ao nível de referência:</w:t>
      </w:r>
    </w:p>
    <w:p w:rsidR="00000000" w:rsidDel="00000000" w:rsidP="00000000" w:rsidRDefault="00000000" w:rsidRPr="00000000" w14:paraId="00000071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RR( l ) = F( l ) / F( l₀ )</m:t>
        </m:r>
      </m:oMath>
      <w:r w:rsidDel="00000000" w:rsidR="00000000" w:rsidRPr="00000000">
        <w:rPr>
          <w:rtl w:val="0"/>
        </w:rPr>
        <w:tab/>
        <w:t xml:space="preserve">(19)</w:t>
      </w:r>
    </w:p>
    <w:p w:rsidR="00000000" w:rsidDel="00000000" w:rsidP="00000000" w:rsidRDefault="00000000" w:rsidRPr="00000000" w14:paraId="0000007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Essa razão é aplicada a uma taxa basal de retrabalho do domínio de engenharia:</w:t>
      </w:r>
    </w:p>
    <w:p w:rsidR="00000000" w:rsidDel="00000000" w:rsidP="00000000" w:rsidRDefault="00000000" w:rsidRPr="00000000" w14:paraId="00000073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base</m:t>
            </m:r>
          </m:sub>
        </m:sSub>
        <m:r>
          <w:rPr>
            <w:rFonts w:ascii="Cambria Math" w:cs="Cambria Math" w:eastAsia="Cambria Math" w:hAnsi="Cambria Math"/>
          </w:rPr>
          <m:t xml:space="preserve">( l ) =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âncora</m:t>
            </m:r>
          </m:sub>
        </m:sSub>
        <m:r>
          <w:rPr>
            <w:rFonts w:ascii="Cambria Math" w:cs="Cambria Math" w:eastAsia="Cambria Math" w:hAnsi="Cambria Math"/>
          </w:rPr>
          <m:t xml:space="preserve"> × RR( l )</m:t>
        </m:r>
      </m:oMath>
      <w:r w:rsidDel="00000000" w:rsidR="00000000" w:rsidRPr="00000000">
        <w:rPr>
          <w:rtl w:val="0"/>
        </w:rPr>
        <w:tab/>
        <w:t xml:space="preserve">(20)</w:t>
      </w:r>
    </w:p>
    <w:p w:rsidR="00000000" w:rsidDel="00000000" w:rsidP="00000000" w:rsidRDefault="00000000" w:rsidRPr="00000000" w14:paraId="00000074">
      <w:pPr>
        <w:spacing w:after="40" w:lineRule="auto"/>
        <w:ind w:left="793" w:hanging="453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F(ℓ)</w:t>
      </w:r>
      <w:r w:rsidDel="00000000" w:rsidR="00000000" w:rsidRPr="00000000">
        <w:rPr>
          <w:sz w:val="20"/>
          <w:szCs w:val="20"/>
          <w:rtl w:val="0"/>
        </w:rPr>
        <w:t xml:space="preserve">: frequência de defeito observada no nível ℓ da base NASA;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ind w:left="793" w:hanging="453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ℓ₀</w:t>
      </w:r>
      <w:r w:rsidDel="00000000" w:rsidR="00000000" w:rsidRPr="00000000">
        <w:rPr>
          <w:sz w:val="20"/>
          <w:szCs w:val="20"/>
          <w:rtl w:val="0"/>
        </w:rPr>
        <w:t xml:space="preserve">: nível de referência, correspondente à dificuldade mais baixa;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ind w:left="793" w:hanging="453"/>
        <w:jc w:val="both"/>
        <w:rPr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âncora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: taxa basal de retrabalho do domínio de engenharia; parâmetro do modelo, não estimado neste trabalho.</w:t>
      </w:r>
    </w:p>
    <w:p w:rsidR="00000000" w:rsidDel="00000000" w:rsidP="00000000" w:rsidRDefault="00000000" w:rsidRPr="00000000" w14:paraId="00000077">
      <w:pPr>
        <w:spacing w:after="40" w:lineRule="auto"/>
        <w:ind w:left="793" w:hanging="45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ind w:left="793" w:hanging="453"/>
        <w:jc w:val="both"/>
        <w:rPr/>
      </w:pPr>
      <w:r w:rsidDel="00000000" w:rsidR="00000000" w:rsidRPr="00000000">
        <w:rPr>
          <w:rtl w:val="0"/>
        </w:rPr>
        <w:t xml:space="preserve">em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F(ℓ)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 a frequência de defeitos observada no nível </w:t>
      </w:r>
      <m:oMath>
        <m:r>
          <w:rPr>
            <w:rFonts w:ascii="Cambria Math" w:cs="Cambria Math" w:eastAsia="Cambria Math" w:hAnsi="Cambria Math"/>
          </w:rPr>
          <m:t xml:space="preserve">l</m:t>
        </m:r>
      </m:oMath>
      <w:r w:rsidDel="00000000" w:rsidR="00000000" w:rsidRPr="00000000">
        <w:rPr>
          <w:rtl w:val="0"/>
        </w:rPr>
        <w:t xml:space="preserve">, </w:t>
      </w:r>
      <m:oMath>
        <m:r>
          <w:rPr>
            <w:rFonts w:ascii="Cambria Math" w:cs="Cambria Math" w:eastAsia="Cambria Math" w:hAnsi="Cambria Math"/>
          </w:rPr>
          <m:t xml:space="preserve">l₀ </m:t>
        </m:r>
      </m:oMath>
      <w:r w:rsidDel="00000000" w:rsidR="00000000" w:rsidRPr="00000000">
        <w:rPr>
          <w:rtl w:val="0"/>
        </w:rPr>
        <w:t xml:space="preserve">o nível de menor dificuldade e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e>
          <m:sup>
            <m:r>
              <w:rPr>
                <w:rFonts w:ascii="Cambria Math" w:cs="Cambria Math" w:eastAsia="Cambria Math" w:hAnsi="Cambria Math"/>
              </w:rPr>
              <m:t xml:space="preserve">eng</m:t>
            </m:r>
          </m:sup>
        </m:sSup>
      </m:oMath>
      <w:r w:rsidDel="00000000" w:rsidR="00000000" w:rsidRPr="00000000">
        <w:rPr>
          <w:rtl w:val="0"/>
        </w:rPr>
        <w:t xml:space="preserve">​ a taxa basal de retrabalho utilizada no modelo. Essa taxa não é estimada a partir da base NASA.</w:t>
      </w:r>
    </w:p>
    <w:p w:rsidR="00000000" w:rsidDel="00000000" w:rsidP="00000000" w:rsidRDefault="00000000" w:rsidRPr="00000000" w14:paraId="00000079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1.8  Calibração do modelo e avaliação de identificabilidade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Parte dos parâmetros do modelo não é diretamente observável. Para sua calibração, foi adotado o método de </w:t>
      </w:r>
      <w:r w:rsidDel="00000000" w:rsidR="00000000" w:rsidRPr="00000000">
        <w:rPr>
          <w:i w:val="1"/>
          <w:iCs w:val="1"/>
          <w:rtl w:val="0"/>
        </w:rPr>
        <w:t xml:space="preserve">History Matching</w:t>
      </w:r>
      <w:r w:rsidDel="00000000" w:rsidR="00000000" w:rsidRPr="00000000">
        <w:rPr>
          <w:rtl w:val="0"/>
        </w:rPr>
        <w:t xml:space="preserve"> (Andrianakis et al., 2015), que identifica regiões do espaço paramétrico compatíveis com os dados, em vez de produzir apenas uma estimativa pontual. O conjunto de valores não descartados é denominado NROY (</w:t>
      </w:r>
      <w:r w:rsidDel="00000000" w:rsidR="00000000" w:rsidRPr="00000000">
        <w:rPr>
          <w:i w:val="1"/>
          <w:iCs w:val="1"/>
          <w:rtl w:val="0"/>
        </w:rPr>
        <w:t xml:space="preserve">not ruled out yet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implausibilidade associada a cada saída e o critério de descarte são definidos pelas Equações 21 e 22.</w:t>
      </w:r>
    </w:p>
    <w:p w:rsidR="00000000" w:rsidDel="00000000" w:rsidP="00000000" w:rsidRDefault="00000000" w:rsidRPr="00000000" w14:paraId="0000007C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( x )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|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f̄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( x ) | 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 √(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 V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obs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,j +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sim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,j +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mod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,j )</m:t>
            </m:r>
          </m:den>
        </m:f>
      </m:oMath>
      <w:r w:rsidDel="00000000" w:rsidR="00000000" w:rsidRPr="00000000">
        <w:rPr>
          <w:rtl w:val="0"/>
        </w:rPr>
        <w:tab/>
        <w:t xml:space="preserve">(21)</w:t>
      </w:r>
    </w:p>
    <w:p w:rsidR="00000000" w:rsidDel="00000000" w:rsidP="00000000" w:rsidRDefault="00000000" w:rsidRPr="00000000" w14:paraId="0000007D">
      <w:pPr>
        <w:tabs>
          <w:tab w:val="right" w:leader="none" w:pos="9070"/>
        </w:tabs>
        <w:spacing w:after="140" w:before="140" w:lineRule="auto"/>
        <w:ind w:left="680" w:firstLine="0"/>
        <w:rPr/>
      </w:pPr>
      <m:oMath>
        <m:r>
          <w:rPr>
            <w:rFonts w:ascii="Cambria Math" w:cs="Cambria Math" w:eastAsia="Cambria Math" w:hAnsi="Cambria Math"/>
          </w:rPr>
          <m:t xml:space="preserve">I( x ) =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máx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( x ) ,   x ∈ NROY  ⟺  I( x ) ≤ 3</m:t>
        </m:r>
      </m:oMath>
      <w:r w:rsidDel="00000000" w:rsidR="00000000" w:rsidRPr="00000000">
        <w:rPr>
          <w:rtl w:val="0"/>
        </w:rPr>
        <w:tab/>
        <w:t xml:space="preserve">(22)</w:t>
      </w:r>
    </w:p>
    <w:p w:rsidR="00000000" w:rsidDel="00000000" w:rsidP="00000000" w:rsidRDefault="00000000" w:rsidRPr="00000000" w14:paraId="0000007E">
      <w:pPr>
        <w:spacing w:after="40" w:lineRule="auto"/>
        <w:ind w:left="793" w:hanging="453"/>
        <w:jc w:val="both"/>
        <w:rPr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 valor observado da saída j;</w:t>
      </w:r>
    </w:p>
    <w:p w:rsidR="00000000" w:rsidDel="00000000" w:rsidP="00000000" w:rsidRDefault="00000000" w:rsidRPr="00000000" w14:paraId="0000007F">
      <w:pPr>
        <w:spacing w:after="40" w:lineRule="auto"/>
        <w:ind w:left="793" w:hanging="453"/>
        <w:jc w:val="both"/>
        <w:rPr/>
      </w:pPr>
      <m:oMath>
        <m:bar>
          <m:barPr>
            <m:pos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f</m:t>
            </m:r>
          </m:e>
        </m:ba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x</m:t>
                </m:r>
              </m:e>
            </m:d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j(x)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 média do simulador na saída j sob o vetor de parâmetros 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lineRule="auto"/>
        <w:ind w:left="793" w:hanging="453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 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obs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variância da observação;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Rule="auto"/>
        <w:ind w:left="793" w:hanging="453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sim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 variância da média do simulador, decorrente da estocasticidade;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ind w:left="793" w:hanging="453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mod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variância de discrepância entre modelo e realidade.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Nessas expressões, são consideradas a diferença entre a saída observada e a média produzida pelo simulador, a variabilidade das observações, a variabilidade decorrente da estocasticidade do modelo e, quando aplicável, a discrepância entre modelo e sistema real.</w:t>
      </w:r>
    </w:p>
    <w:p w:rsidR="00000000" w:rsidDel="00000000" w:rsidP="00000000" w:rsidRDefault="00000000" w:rsidRPr="00000000" w14:paraId="0000008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Foi adotado o limite de implausibilidade igual a 3, conforme o critério utilizado em </w:t>
      </w:r>
      <w:r w:rsidDel="00000000" w:rsidR="00000000" w:rsidRPr="00000000">
        <w:rPr>
          <w:i w:val="1"/>
          <w:iCs w:val="1"/>
          <w:rtl w:val="0"/>
        </w:rPr>
        <w:t xml:space="preserve">History Matching</w:t>
      </w:r>
      <w:r w:rsidDel="00000000" w:rsidR="00000000" w:rsidRPr="00000000">
        <w:rPr>
          <w:rtl w:val="0"/>
        </w:rPr>
        <w:t xml:space="preserve"> e relacionado à desigualdade de Vysochanskii–Petunin (Pukelsheim, 1994).</w:t>
      </w:r>
    </w:p>
    <w:p w:rsidR="00000000" w:rsidDel="00000000" w:rsidP="00000000" w:rsidRDefault="00000000" w:rsidRPr="00000000" w14:paraId="00000086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Como o custo computacional do simulador é baixo, as avaliações foram realizadas diretamente, sem uso de emulador estatístico. Essa escolha evita a introdução de uma aproximação adicional nesta etapa.</w:t>
      </w:r>
    </w:p>
    <w:p w:rsidR="00000000" w:rsidDel="00000000" w:rsidP="00000000" w:rsidRDefault="00000000" w:rsidRPr="00000000" w14:paraId="0000008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capacidade do procedimento de recuperar parâmetros foi examinada por meio do teste do gêmeo idêntico (McCulloch et al., 2022). Nesse teste, são produzidas observações sintéticas a partir de um vetor conhecido e, em seguida, realiza-se a calibração sem fornecer esse vetor ao procedimento. Verifica-se então se ele permanece no conjunto NROY.</w:t>
      </w:r>
    </w:p>
    <w:p w:rsidR="00000000" w:rsidDel="00000000" w:rsidP="00000000" w:rsidRDefault="00000000" w:rsidRPr="00000000" w14:paraId="00000088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As sementes usadas na geração das observações sintéticas foram mantidas distintas das empregadas durante a calibração. O vetor utilizado como referência também foi escolhido fora do centro das faixas paramétricas, de forma a evitar um caso excessivamente favorável.</w:t>
      </w:r>
    </w:p>
    <w:p w:rsidR="00000000" w:rsidDel="00000000" w:rsidP="00000000" w:rsidRDefault="00000000" w:rsidRPr="00000000" w14:paraId="00000089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Esse teste avalia o procedimento em uma situação na qual o próprio modelo gera os dados utilizados como referência. Por isso, sua aprovação indica que o método consegue recuperar parâmetros nesse cenário controlado, mas não garante o mesmo comportamento diante de dados reais, nos quais também pode existir discrepância entre o modelo e o sistema representado.</w:t>
      </w:r>
    </w:p>
    <w:p w:rsidR="00000000" w:rsidDel="00000000" w:rsidP="00000000" w:rsidRDefault="00000000" w:rsidRPr="00000000" w14:paraId="0000008A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1.9  Matriz de cenários e desenho experimental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experimento compara dois arranjos de governança, denominados centralizado e adaptativo. As execuções utilizam as mesmas instâncias de projeto, funções de pressão, recursos disponíveis e índices de dificuldade. Os parâmetros que diferenciam os cenários são apresentados na Tabela 2.</w:t>
      </w:r>
    </w:p>
    <w:p w:rsidR="00000000" w:rsidDel="00000000" w:rsidP="00000000" w:rsidRDefault="00000000" w:rsidRPr="00000000" w14:paraId="0000008C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 – Matriz de cenários: parâmetros organizacionais que distinguem os arranjos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100"/>
        <w:gridCol w:w="1500"/>
        <w:gridCol w:w="1500"/>
        <w:gridCol w:w="3970"/>
        <w:tblGridChange w:id="0">
          <w:tblGrid>
            <w:gridCol w:w="2100"/>
            <w:gridCol w:w="1500"/>
            <w:gridCol w:w="1500"/>
            <w:gridCol w:w="397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Interpretação organizacional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τ_inicial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confiança inicial na rede de pares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τ_mín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limiar de confiança para conceder ajuda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p_reporte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probabilidade de reportar defeito em vez de ocultá-lo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p_detecção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probabilidade de a dívida oculta aflorar por período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pela autora (2026), a partir de config/parametros.yaml.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Como os quatro parâmetros variam simultaneamente, o contraste não permite atribuir eventuais diferenças de desempenho a um mecanismo isolado. Os cenários devem, portanto, ser interpretados como configurações organizacionais completas. A contribuição individual dos parâmetros é examinada posteriormente por análise de ablação.</w:t>
      </w:r>
    </w:p>
    <w:p w:rsidR="00000000" w:rsidDel="00000000" w:rsidP="00000000" w:rsidRDefault="00000000" w:rsidRPr="00000000" w14:paraId="000000A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probabilidade de reporte representa, no modelo, a disposição do agente para tornar um defeito conhecido após sua identificação. Valores menores favorecem sua permanência no estoque de dívida técnica latente; valores maiores antecipam seu registro e o correspondente retrabalho. Essa relação é utilizada como hipótese de modelagem, sem que os resultados desta etapa sejam interpretados como validação do construto de segurança psicológica.</w:t>
      </w:r>
    </w:p>
    <w:p w:rsidR="00000000" w:rsidDel="00000000" w:rsidP="00000000" w:rsidRDefault="00000000" w:rsidRPr="00000000" w14:paraId="000000A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delineamento é pareado: cada cenário é executado com a mesma instância e a mesma semente aleatória. As diferenças entre os pares são analisadas pelo teste de Wilcoxon para amostras pareadas. Também são reportadas medidas de magnitude e a proporção de instâncias em que cada configuração apresenta resultado favorável.</w:t>
      </w:r>
    </w:p>
    <w:p w:rsidR="00000000" w:rsidDel="00000000" w:rsidP="00000000" w:rsidRDefault="00000000" w:rsidRPr="00000000" w14:paraId="000000A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1.10  Pontos de acoplamento entre a calibração e 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calibração empírica é incorporada ao modelo em dois pontos. O índice de dificuldade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, definido pela Equação 18 a partir das características das tarefas do PSPLIB, é utilizado no cálculo do esforço percebido da Equação 1.</w:t>
      </w:r>
    </w:p>
    <w:p w:rsidR="00000000" w:rsidDel="00000000" w:rsidP="00000000" w:rsidRDefault="00000000" w:rsidRPr="00000000" w14:paraId="000000A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segundo acoplamento ocorre na Equação 4. O risco basal de falha atribuído às tarefas é obtido a partir da relação estimada na base NASA e da transferência definida pela Equação 20.</w:t>
      </w:r>
    </w:p>
    <w:p w:rsidR="00000000" w:rsidDel="00000000" w:rsidP="00000000" w:rsidRDefault="00000000" w:rsidRPr="00000000" w14:paraId="000000A8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Dessa forma, dificuldade e risco basal deixam de ser definidos apenas por valores arbitrados e passam a utilizar informações derivadas das bases analisadas, dentro das limitações de transferência discutidas anteriormente.</w:t>
      </w:r>
    </w:p>
    <w:p w:rsidR="00000000" w:rsidDel="00000000" w:rsidP="00000000" w:rsidRDefault="00000000" w:rsidRPr="00000000" w14:paraId="000000A9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  RESULTADOS INICIAIS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 Arquitetura e implementação da solução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pipeline de dados foi implementado com separação entre arquivos brutos, scripts de processamento e saídas geradas pelas análises, conforme apresentado na Figura 1. Os arquivos originais permanecem inalterados ao longo do processamento.</w:t>
      </w:r>
    </w:p>
    <w:p w:rsidR="00000000" w:rsidDel="00000000" w:rsidP="00000000" w:rsidRDefault="00000000" w:rsidRPr="00000000" w14:paraId="000000AD">
      <w:pPr>
        <w:spacing w:after="12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 – Arquitetura do pipeline de dados implementado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81650" cy="3533775"/>
            <wp:effectExtent b="0" l="0" r="0" t="0"/>
            <wp:docPr id="18304921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execução em dois ambientes computacionais distintos produziu os mesmos resultados numéricos nas etapas avaliadas.</w:t>
      </w:r>
    </w:p>
    <w:p w:rsidR="00000000" w:rsidDel="00000000" w:rsidP="00000000" w:rsidRDefault="00000000" w:rsidRPr="00000000" w14:paraId="000000B1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 Síntese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Os ensaios iniciais abrangeram a integridade e a proveniência das bases, a consistência do processamento, a análise da relação entre complexidade e defeitos e a caracterização das instâncias do PSPLIB J60.</w:t>
      </w:r>
    </w:p>
    <w:p w:rsidR="00000000" w:rsidDel="00000000" w:rsidP="00000000" w:rsidRDefault="00000000" w:rsidRPr="00000000" w14:paraId="000000B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De forma geral, a auditoria permitiu identificar divergências entre versões dos dados, sem impedir a consolidação da base utilizada nas análises. Os resultados estatísticos indicaram associação entre complexidade e ocorrência de defeitos, embora essa relação não permanecesse independente após o controle pelo tamanho do módulo. Ainda assim, a ordenação do risco entre as faixas de complexidade mostrou estabilidade nas verificações realizadas.</w:t>
      </w:r>
    </w:p>
    <w:p w:rsidR="00000000" w:rsidDel="00000000" w:rsidP="00000000" w:rsidRDefault="00000000" w:rsidRPr="00000000" w14:paraId="000000B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caracterização do J60 recuperou a estrutura esperada das instâncias e permitiu construir o índice de dificuldade utilizado posteriormente no modelo. A transferência entre os dois domínios foi realizada com base no gradiente relativo de risco, evitando a utilização direta das probabilidades observadas na base NASA.</w:t>
      </w:r>
    </w:p>
    <w:p w:rsidR="00000000" w:rsidDel="00000000" w:rsidP="00000000" w:rsidRDefault="00000000" w:rsidRPr="00000000" w14:paraId="000000B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Tabela 3 apresenta os principais indicadores obtidos nessas etapas.</w:t>
      </w:r>
    </w:p>
    <w:p w:rsidR="00000000" w:rsidDel="00000000" w:rsidP="00000000" w:rsidRDefault="00000000" w:rsidRPr="00000000" w14:paraId="000000B6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 – Indicadores de desempenho obtidos nos ensaios iniciais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750"/>
        <w:gridCol w:w="2550"/>
        <w:gridCol w:w="3170"/>
        <w:gridCol w:w="1600"/>
        <w:tblGridChange w:id="0">
          <w:tblGrid>
            <w:gridCol w:w="1750"/>
            <w:gridCol w:w="2550"/>
            <w:gridCol w:w="317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Parâmetro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/ métrica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 –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Cobertura e integridade dos arquivos brutos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 arquivos, 49.942 observações; resumo SHA-256 por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 –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Correspondência entre pares ARFF e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de 5 pares equivalentes; JM1 divergente (10.885 vs. 13.204 registros)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Anomalia identificada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 –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Reprodução de D′ para D″ pelo algoritmo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de 12 conjuntos reproduzidos no conjunto de módulos preservados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 –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Resíduo não explicado pelo pseudocódigo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 de 17.377 registros (0,26%), restritos à escolha do rótulo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 – Consolidação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única com 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17.377 observações, 12 projetos, 20 métricas, 0 valores ausentes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 – Modelagem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Ganho explicativo da complexidade sobre o efeito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2030326313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LR = 639,8; gl = 1; p ≈ 3,6 × 10⁻¹⁴¹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 – Modelagem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Efeito da complexidade ciclomática controlando o 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RC = 0,944; IC 95% [0,870; 1,024]; p = 0,17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 – Modelagem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Multicolinearidade entre métricas (VIF)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HALSTEAD_EFFORT = 23,1; HALSTEAD_DIFFICULTY = 15,2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Métricas excluídas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 – F_base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Ordenação do risco por faixa de 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148962575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0,147 / 0,285 / 0,348 / 0,439; tendência z = 25,6; p ≈ 1,8 × 10⁻¹⁴⁴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 – F_base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Sensibilidade aos pontos de 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Ordenação monotônica preservada em 5 de 5 esquemas testados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 – F_base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Validação por exclusão sucessiva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Monotonicidade em 12 de 12 reamostragens; amplitude máxima 0,087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J60 –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Integridade estrutural das 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 arquivos; 62 nós e 4 recursos renováveis em todos; 480/480 grafos acíclicos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J60 –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Reconstrução do delineamento experimental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Fatorial 3 × 4 × 4 = 48 células completo e balanceado, 10 instâncias por célula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J60 – Índice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Ortogonalidade entre os componentes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85112823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Spearman entre duração, intensidade e criticidade: −0,004; 0,003; 0,193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J60 – Índice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Adequação da medida de criticidade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Contagem de sucessores × folga total: Spearman 0,116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Substituída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J60 – Índice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Sensibilidade da ordenação aos pesos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Menor correlação de ordenação entre 6 esquemas: 0,847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1598035560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8"/>
                    <w:szCs w:val="18"/>
                    <w:rtl w:val="0"/>
                  </w:rPr>
                  <w:t xml:space="preserve">Gradiente de risco NASA → J60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RR = 1,00 / 1,94 / 2,37 / 2,99; IC 95% por bootstrap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Viés da correspondência direta de rótulos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Inflação de 1,74× no risco médio, por artefato do tamanho dos estratos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Método descartado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Reprodutibilidade entre ambientes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Resultados numericamente idênticos em duas execuções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RC = razão de chances; LR = estatística do teste da razão de verossimilhança; VIF = fator de inflação da variância.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60" w:before="2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 Resultados da análise da base NASA</w:t>
      </w:r>
    </w:p>
    <w:p w:rsidR="00000000" w:rsidDel="00000000" w:rsidP="00000000" w:rsidRDefault="00000000" w:rsidRPr="00000000" w14:paraId="00000109">
      <w:pPr>
        <w:pStyle w:val="Heading2"/>
        <w:spacing w:after="160" w:before="2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2.3.1 Proveniência e consistência dos dados</w:t>
      </w:r>
    </w:p>
    <w:p w:rsidR="00000000" w:rsidDel="00000000" w:rsidP="00000000" w:rsidRDefault="00000000" w:rsidRPr="00000000" w14:paraId="0000010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comparação dos arquivos do NASA Promise revelou divergência entre as duas versões disponíveis do conjunto JM1. O arquivo ARFF contém 10.885 registros e o CSV, 13.204. As diferenças concentram-se principalmente na repetição de observações, motivo pelo qual a versão CSV não foi utilizada na análise.</w:t>
      </w:r>
    </w:p>
    <w:p w:rsidR="00000000" w:rsidDel="00000000" w:rsidP="00000000" w:rsidRDefault="00000000" w:rsidRPr="00000000" w14:paraId="0000010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Para verificar a consistência da base D″, foram aplicadas à versão D′ as etapas de remoção de registros idênticos e de registros conflitantes descritas por Shepperd et al. (2013). Os módulos preservados na versão publicada foram recuperados nos 12 conjuntos analisados.</w:t>
      </w:r>
    </w:p>
    <w:p w:rsidR="00000000" w:rsidDel="00000000" w:rsidP="00000000" w:rsidRDefault="00000000" w:rsidRPr="00000000" w14:paraId="0000010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Persistiu, contudo, uma diferença no tratamento de observações com os mesmos atributos e rótulos distintos. A interpretação literal do pseudocódigo não reproduz integralmente os arquivos publicados, enquanto a preservação de um representante por conjunto de atributos recupera as contagens esperadas. A diferença afeta 46 dos 17.377 registros da base (0,26%) e foi considerada uma limitação conhecida do pré-processamento.</w:t>
      </w:r>
    </w:p>
    <w:p w:rsidR="00000000" w:rsidDel="00000000" w:rsidP="00000000" w:rsidRDefault="00000000" w:rsidRPr="00000000" w14:paraId="0000010D">
      <w:pPr>
        <w:pStyle w:val="Heading2"/>
        <w:spacing w:after="160" w:before="2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2.3.2 Complexidade, tamanho e ocorrência de defeitos</w:t>
      </w:r>
    </w:p>
    <w:p w:rsidR="00000000" w:rsidDel="00000000" w:rsidP="00000000" w:rsidRDefault="00000000" w:rsidRPr="00000000" w14:paraId="0000010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complexidade ciclomática apresentou associação com a ocorrência de defeitos quando analisada com controle pelo projeto de origem (LR = 639,8). Após a inclusão do tamanho do módulo, porém, sua razão de chances foi estimada em 0,944, com IC 95% [0,870; 1,024] e (p = 0,17).</w:t>
      </w:r>
    </w:p>
    <w:p w:rsidR="00000000" w:rsidDel="00000000" w:rsidP="00000000" w:rsidRDefault="00000000" w:rsidRPr="00000000" w14:paraId="0000010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tamanho do módulo apresentou comportamento diferente: sua contribuição permaneceu detectável após o controle pela complexidade. Entre as demais métricas avaliadas, nenhuma apresentou evidência suficiente de efeito independente após a correção de Holm-Bonferroni.</w:t>
      </w:r>
    </w:p>
    <w:p w:rsidR="00000000" w:rsidDel="00000000" w:rsidP="00000000" w:rsidRDefault="00000000" w:rsidRPr="00000000" w14:paraId="00000110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 – Razões de chances das métricas candidatas antes e depois do controle pelo tamanho do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81650" cy="3000375"/>
            <wp:effectExtent b="0" l="0" r="0" t="0"/>
            <wp:docPr id="18304921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Esses resultados não sustentam a interpretação da complexidade ciclomática como fator independente de risco nesta base. Ainda assim, sua relação com a frequência de defeitos apresentou uma ordenação consistente: as frequências observadas foram 0,147, 0,285, 0,348 e 0,439 entre os níveis crescente de complexidade.</w:t>
      </w:r>
    </w:p>
    <w:p w:rsidR="00000000" w:rsidDel="00000000" w:rsidP="00000000" w:rsidRDefault="00000000" w:rsidRPr="00000000" w14:paraId="0000011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ordenação permaneceu nos cinco conjuntos alternativos de pontos de corte avaliados e após a exclusão sucessiva de cada projeto. Neste trabalho, portanto, a complexidade é utilizada como marcador ordinal associado ao risco, sem atribuição de efeito causal independente do tamanho.</w:t>
      </w:r>
    </w:p>
    <w:p w:rsidR="00000000" w:rsidDel="00000000" w:rsidP="00000000" w:rsidRDefault="00000000" w:rsidRPr="00000000" w14:paraId="00000115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 – Risco basal por faixa de complexidade ciclomática, em frequência bruta e em probabilidade ajustada pelo efeito do projeto de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19700" cy="3067050"/>
            <wp:effectExtent b="0" l="0" r="0" t="0"/>
            <wp:docPr id="18304921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As faixas utilizadas foram definidas a partir dos valores de complexidade discutidos no NASA Software Engineering Handbook, com adaptação para quatro intervalos não sobrepostos. Essa classificação é empregada apenas na operacionalização deste trabalho e não corresponde a uma classificação oficial da NASA.</w:t>
      </w:r>
    </w:p>
    <w:p w:rsidR="00000000" w:rsidDel="00000000" w:rsidP="00000000" w:rsidRDefault="00000000" w:rsidRPr="00000000" w14:paraId="00000119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estrutura agrupada dos dados também limita a interpretação dos valores-(p) obtidos nos modelos sobre módulos individuais. Embora o projeto de origem tenha sido incluído como variável de controle, observações provenientes do mesmo projeto podem permanecer dependentes. Por essa razão, a estabilidade da ordenação entre projetos e os intervalos obtidos por reamostragem de projetos têm maior peso na interpretação do gradiente de risco do que os valores-(p) muito reduzidos obtidos no nível do módulo.</w:t>
      </w:r>
    </w:p>
    <w:p w:rsidR="00000000" w:rsidDel="00000000" w:rsidP="00000000" w:rsidRDefault="00000000" w:rsidRPr="00000000" w14:paraId="0000011A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 – Estabilidade da ordenação sob exclusão sucessiva de cada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19700" cy="3009900"/>
            <wp:effectExtent b="0" l="0" r="0" t="0"/>
            <wp:docPr id="18304921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transferência desses resultados para o modelo deve ser interpretada considerando a diferença entre os domínios. A base NASA contém módulos de software, enquanto o PSPLIB representa tarefas de projeto. Não se assume equivalência direta entre essas grandezas; a transferência realizada nas etapas seguintes se restringe à relação ordinal de risco.</w:t>
      </w:r>
    </w:p>
    <w:p w:rsidR="00000000" w:rsidDel="00000000" w:rsidP="00000000" w:rsidRDefault="00000000" w:rsidRPr="00000000" w14:paraId="0000011E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2.5  Caracterização da base PSPLIB J60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As 480 instâncias do conjunto J60 foram lidas diretamente dos arquivos originais. Todas apresentam 62 atividades, das quais 60 são reais e duas fictícias, além de quatro recursos renováveis. Não foram identificados ciclos nos grafos de precedência.</w:t>
      </w:r>
    </w:p>
    <w:p w:rsidR="00000000" w:rsidDel="00000000" w:rsidP="00000000" w:rsidRDefault="00000000" w:rsidRPr="00000000" w14:paraId="0000012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Também foram recalculados os parâmetros utilizados no delineamento do PSPLIB: complexidade de rede, fator de recursos e força de recursos. Os níveis encontrados nos arquivos foram então comparados aos valores nominais do delineamento.</w:t>
      </w:r>
    </w:p>
    <w:p w:rsidR="00000000" w:rsidDel="00000000" w:rsidP="00000000" w:rsidRDefault="00000000" w:rsidRPr="00000000" w14:paraId="00000121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 – Níveis dos parâmetros de delineamento reconstruídos a partir das instâncias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400"/>
        <w:gridCol w:w="3670"/>
        <w:gridCol w:w="3000"/>
        <w:tblGridChange w:id="0">
          <w:tblGrid>
            <w:gridCol w:w="2400"/>
            <w:gridCol w:w="367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Níveis reconstruídos dos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Níveis nominais do delineamento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Complexidade de rede (NC)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1,5000 / 1,8065 / 2,1129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 / 1,8 / 2,1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de recursos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0,2500 / 0,5042 / 0,7542 / 1,0000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 / 0,50 / 0,75 / 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Força de recursos (RS)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0,1975 / 0,5106 / 0,7038 / 1,0000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 / 0,50 / 0,70 / 1,00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reconstrução resultou nas 48 combinações do delineamento (3 \times 4 \times 4), com dez instâncias em cada combinação.</w:t>
      </w:r>
    </w:p>
    <w:p w:rsidR="00000000" w:rsidDel="00000000" w:rsidP="00000000" w:rsidRDefault="00000000" w:rsidRPr="00000000" w14:paraId="0000013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complexidade de rede e o fator de recursos permanecem praticamente fixos dentro de cada nível nominal. A força de recursos apresenta alguma variação entre instâncias devido à natureza discreta das disponibilidades de recursos. Nas análises posteriores, o nível nominal é mantido como fator do delineamento, enquanto o valor realizado pode ser utilizado como medida contínua quando necessário.</w:t>
      </w:r>
    </w:p>
    <w:p w:rsidR="00000000" w:rsidDel="00000000" w:rsidP="00000000" w:rsidRDefault="00000000" w:rsidRPr="00000000" w14:paraId="0000013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2.5  Índice de dificuldade técnica das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índice de dificuldade técnica atribui a cada tarefa um nível ordinal a partir das características da própria instância. Conforme definido nas Equações 15 a 18, são consideradas a duração normalizada, a intensidade de uso de recursos e a criticidade na rede de precedências. As normalizações são realizadas separadamente em cada projeto.</w:t>
      </w:r>
    </w:p>
    <w:p w:rsidR="00000000" w:rsidDel="00000000" w:rsidP="00000000" w:rsidRDefault="00000000" w:rsidRPr="00000000" w14:paraId="0000013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índice é uma construção deste trabalho. A criticidade é representada pela folga total obtida pelo método do caminho crítico. A contagem de sucessores chegou a ser considerada para essa finalidade, mas apresentou correlação de Spearman de apenas 0,116 com a folga total nas 28.800 tarefas analisadas. Por esse motivo, foi mantida apenas como variável alternativa.</w:t>
      </w:r>
    </w:p>
    <w:p w:rsidR="00000000" w:rsidDel="00000000" w:rsidP="00000000" w:rsidRDefault="00000000" w:rsidRPr="00000000" w14:paraId="00000134">
      <w:pPr>
        <w:spacing w:after="120" w:line="360" w:lineRule="auto"/>
        <w:ind w:firstLine="708"/>
        <w:jc w:val="both"/>
        <w:rPr/>
      </w:pPr>
      <w:sdt>
        <w:sdtPr>
          <w:id w:val="-52463198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As correlações entre os componentes do índice foram baixas: −0,004 entre duração e intensidade de recursos, 0,003 entre intensidade e criticidade e 0,193 entre duração e criticidade.</w:t>
          </w:r>
        </w:sdtContent>
      </w:sdt>
    </w:p>
    <w:p w:rsidR="00000000" w:rsidDel="00000000" w:rsidP="00000000" w:rsidRDefault="00000000" w:rsidRPr="00000000" w14:paraId="00000135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 – Duração média e folga total média por nível de dificuldade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81650" cy="2667000"/>
            <wp:effectExtent b="0" l="0" r="0" t="0"/>
            <wp:docPr id="18304921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duração média aumenta entre os níveis de dificuldade, enquanto a folga média diminui. Como não foi identificado um limiar externo equivalente ao empregado para a complexidade ciclomática no domínio de software, os quatro níveis foram definidos pelos quartis da distribuição do índice.</w:t>
      </w:r>
    </w:p>
    <w:p w:rsidR="00000000" w:rsidDel="00000000" w:rsidP="00000000" w:rsidRDefault="00000000" w:rsidRPr="00000000" w14:paraId="00000139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Também foi examinada a sensibilidade à ponderação dos componentes. Entre os seis esquemas avaliados, a menor correlação de ordenação em relação à configuração de referência foi 0,847.</w:t>
      </w:r>
    </w:p>
    <w:p w:rsidR="00000000" w:rsidDel="00000000" w:rsidP="00000000" w:rsidRDefault="00000000" w:rsidRPr="00000000" w14:paraId="0000013A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2.6  Transferência ordinal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relação estimada na base NASA foi utilizada para atribuir um gradiente de risco às tarefas do PSPLIB. A transferência direta das probabilidades observadas não foi adotada porque a distribuição dos níveis de dificuldade difere entre as duas bases.</w:t>
      </w:r>
    </w:p>
    <w:p w:rsidR="00000000" w:rsidDel="00000000" w:rsidP="00000000" w:rsidRDefault="00000000" w:rsidRPr="00000000" w14:paraId="0000013C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Na NASA, 86,24% dos módulos pertencem à faixa de menor complexidade. No J60, cada nível contém aproximadamente 25% das tarefas por construção dos quartis. A correspondência direta entre os níveis produziria risco médio de 0,3046 nas tarefas do J60, frente a 0,1749 na base NASA, diferença decorrente da composição dos estratos.</w:t>
      </w:r>
    </w:p>
    <w:p w:rsidR="00000000" w:rsidDel="00000000" w:rsidP="00000000" w:rsidRDefault="00000000" w:rsidRPr="00000000" w14:paraId="0000013D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transferência foi, portanto, realizada por razões de risco, conforme as Equações 19 e 20. O nível de menor dificuldade é tomado como referência, e os demais recebem multiplicadores correspondentes ao aumento relativo observado na base NASA.</w:t>
      </w:r>
    </w:p>
    <w:p w:rsidR="00000000" w:rsidDel="00000000" w:rsidP="00000000" w:rsidRDefault="00000000" w:rsidRPr="00000000" w14:paraId="0000013E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 – Razões de risco transferidas, com intervalos por reamostragem de projetos</w:t>
      </w: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500"/>
        <w:gridCol w:w="2200"/>
        <w:gridCol w:w="2000"/>
        <w:gridCol w:w="2370"/>
        <w:tblGridChange w:id="0">
          <w:tblGrid>
            <w:gridCol w:w="2500"/>
            <w:gridCol w:w="2200"/>
            <w:gridCol w:w="2000"/>
            <w:gridCol w:w="237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Nível de 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Risco basal NASA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Razão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IC 95% (bootstrap)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 (referência)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[1,758; 2,599]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[1,720; 3,229]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0,4388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[1,878; 4,156]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Bootstrap com 4.000 réplicas, reamostrando projetos.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 – Gradiente de risco transferido, com intervalo de confiança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38725" cy="3067050"/>
            <wp:effectExtent b="0" l="0" r="0" t="0"/>
            <wp:docPr id="183049216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Os intervalos foram calculados por reamostragem de projetos, preservando a estrutura agrupada da base. A incerteza é maior nas faixas superiores, especialmente no nível de dificuldade muito alta.</w:t>
      </w:r>
    </w:p>
    <w:p w:rsidR="00000000" w:rsidDel="00000000" w:rsidP="00000000" w:rsidRDefault="00000000" w:rsidRPr="00000000" w14:paraId="00000158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As razões determinam apenas o gradiente entre os níveis. A taxa basal de retrabalho do domínio de engenharia permanece como parâmetro do modelo e não é estimada a partir dos dados NASA. Por esse motivo, a base do PSPLIB recebe os multiplicadores de risco, e não probabilidades absolutas de falha.</w:t>
      </w:r>
    </w:p>
    <w:p w:rsidR="00000000" w:rsidDel="00000000" w:rsidP="00000000" w:rsidRDefault="00000000" w:rsidRPr="00000000" w14:paraId="00000159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Essa construção pressupõe que a ordenação relativa do risco observada em módulos de software possa ser utilizada nas tarefas de engenharia. A hipótese não implica equivalência entre os domínios e constitui uma limitação da transferência adotada.</w:t>
      </w:r>
    </w:p>
    <w:p w:rsidR="00000000" w:rsidDel="00000000" w:rsidP="00000000" w:rsidRDefault="00000000" w:rsidRPr="00000000" w14:paraId="0000015A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2.7  Verificação do simulador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Os testes realizados nesta etapa são tratados como verificações do simulador, e não como validação externa. Parte deles examina propriedades estruturais da implementação, enquanto outros verificam se o comportamento produzido acompanha a direção prevista pelas formulações do modelo. Também foram realizadas comparações de ordem de grandeza com referências externas, sem utilizá-las para calibração.</w:t>
      </w:r>
    </w:p>
    <w:p w:rsidR="00000000" w:rsidDel="00000000" w:rsidP="00000000" w:rsidRDefault="00000000" w:rsidRPr="00000000" w14:paraId="0000015C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Tabela 6 apresenta os resultados dessas verificações.</w:t>
      </w:r>
    </w:p>
    <w:p w:rsidR="00000000" w:rsidDel="00000000" w:rsidP="00000000" w:rsidRDefault="00000000" w:rsidRPr="00000000" w14:paraId="0000015D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6 – Verificações do simulador, por classe, e seus resultados</w:t>
      </w: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620"/>
        <w:gridCol w:w="3250"/>
        <w:gridCol w:w="1550"/>
        <w:gridCol w:w="1500"/>
        <w:gridCol w:w="2150"/>
        <w:tblGridChange w:id="0">
          <w:tblGrid>
            <w:gridCol w:w="620"/>
            <w:gridCol w:w="3250"/>
            <w:gridCol w:w="1550"/>
            <w:gridCol w:w="1500"/>
            <w:gridCol w:w="215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tarefa termina em estado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tarefas não terminais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precedência respeitada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violações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disponibilidade de recursos nunca excedida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instâncias com excesso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relógios não negativos e soma 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verdadeira por construção — não e 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[construcao, poder fraco] soma dos relógios não excede o tempo de agente alocado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folga minima 10,7% — o teste so pega…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E_total, bateria, competência e multiplicadores em [0,1]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mesma semente reproduz o mesmo resultado (12 instâncias x 2 cenarios)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verdadeira por construção se o RNG 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sementes diferentes produzem resultados diferentes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falhar - o gerador não está sendo usado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risco nem pressão, nenhuma tarefa falha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execuções — verdadeira por construção…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risco nem pressão, dívida técnica nula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verdadeira por construção (F_âncora=0)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[contingente a amostra] condição ideal elimina a ociosidade (TU 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 máximo = 0,0 - Di máximo nas 12…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[comportamento sob condição ideal] conclui mais rápido que a nominal (pareado)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cond. 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de 24 pares favoráveis - ganho medio…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8a‑C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oculta (S_UR max) cresce com a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 instâncias - n = 500 por célula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8a‑A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oculta (S_UR max) cresce com a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 instâncias - n = 500 por célula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8b‑C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tempo em modo heurístico cresce com a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 instâncias - n = 500 por célula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8b‑A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tempo em modo heurístico cresce com a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 instâncias - n = 500 por célula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8c‑C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[exploratória, post hoc] defeitos gerados crescem com a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exploratória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 instâncias - n = 500 por célula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8c‑A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[exploratória, post hoc] defeitos gerados crescem com a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exploratória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confirmada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de 2 instâncias - n = 500 por célula -…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[ordem de grandeza, não validação] mediana do retrabalho na faixa [1% - 50%]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ordem de grandeza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mediana = 0,1913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cauda fora da faixa inferior a 10% das execuções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ordem de grandeza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0/24 = 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estritamente positiva (estoque não inerte)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ordem de grandeza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mediana = 0,0423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critério 9a não restringe F_âncora (evidência do rebaixamento)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 em 5 de 5 valores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As verificações estruturais não identificaram violações de precedência ou de disponibilidade de recursos. A utilização de sementes também apresentou o comportamento esperado, com reprodução das execuções sob uma mesma semente e variação quando sementes distintas foram utilizadas.</w:t>
      </w:r>
    </w:p>
    <w:p w:rsidR="00000000" w:rsidDel="00000000" w:rsidP="00000000" w:rsidRDefault="00000000" w:rsidRPr="00000000" w14:paraId="000001D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resposta do modelo à pressão foi examinada separadamente. Como o teste preliminar utilizava apenas cinco médias por condição, foi realizado um novo ensaio sobre as execuções individuais. Um conjunto piloto foi utilizado para estimar a magnitude dos efeitos e definir o número de repetições do teste confirmatório, executado com sementes distintas.</w:t>
      </w:r>
    </w:p>
    <w:p w:rsidR="00000000" w:rsidDel="00000000" w:rsidP="00000000" w:rsidRDefault="00000000" w:rsidRPr="00000000" w14:paraId="000001D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7 – Tendência sob pressão: piloto e teste confirmatório, por braço</w:t>
      </w:r>
      <w:r w:rsidDel="00000000" w:rsidR="00000000" w:rsidRPr="00000000">
        <w:rPr>
          <w:rtl w:val="0"/>
        </w:rPr>
      </w:r>
    </w:p>
    <w:tbl>
      <w:tblPr>
        <w:tblStyle w:val="Table7"/>
        <w:tblW w:w="9069.999999999998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135"/>
        <w:gridCol w:w="1468"/>
        <w:gridCol w:w="1296"/>
        <w:gridCol w:w="1549"/>
        <w:gridCol w:w="1549"/>
        <w:gridCol w:w="1073"/>
        <w:tblGridChange w:id="0">
          <w:tblGrid>
            <w:gridCol w:w="2135"/>
            <w:gridCol w:w="1468"/>
            <w:gridCol w:w="1296"/>
            <w:gridCol w:w="1549"/>
            <w:gridCol w:w="1549"/>
            <w:gridCol w:w="1073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Braço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ρ piloto (n = 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ρ confirmatório (n = 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IC 95% confirmatório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oculta de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0,319 a 0,650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0,351 a 0,600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[0,270 a 0,655]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oculta de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0,042 a 0,142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0,091 a 0,179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[0,000 a 0,265]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fração de tempo em modo heurístico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0,690 a 0,884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0,682 a 0,882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[0,631 a 0,900]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fração de tempo em modo heurístico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0,667 a 0,930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0,708 a 0,939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[0,660 a 0,949]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defeitos gerados (ocultos + reportados)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0,156 a 0,321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0,161 a 0,296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[0,072 a 0,376]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defeitos gerados (ocultos + reportados)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0,036 a 0,089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0,072 a 0,081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[-0,019 a 0,170]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de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Piloto com sementes 0 a 39; confirmatório com sementes 1000 a 1099, disjuntas.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dívida oculta de pico e a fração de tempo em modo heurístico apresentaram associação positiva com a pressão nos dois arranjos avaliados. Para o número de defeitos gerados, a tendência foi observada no arranjo centralizado, mas não se confirmou no adaptativo. Nesse último caso, o intervalo obtido permanece compatível tanto com ausência de associação quanto com efeitos positivos de pequena magnitude.</w:t>
      </w:r>
    </w:p>
    <w:p w:rsidR="00000000" w:rsidDel="00000000" w:rsidP="00000000" w:rsidRDefault="00000000" w:rsidRPr="00000000" w14:paraId="0000020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fração de esforço destinada ao retrabalho também foi comparada a valores encontrados na literatura. Essa comparação fornece apenas uma referência de ordem de grandeza. Na faixa analisada do parâmetro de risco basal, o critério não apresentou capacidade de discriminar entre parametrizações.</w:t>
      </w:r>
    </w:p>
    <w:p w:rsidR="00000000" w:rsidDel="00000000" w:rsidP="00000000" w:rsidRDefault="00000000" w:rsidRPr="00000000" w14:paraId="00000202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8 – Poder de rejeição do critério de plausibilidade sobre o risco basal</w:t>
      </w:r>
      <w:r w:rsidDel="00000000" w:rsidR="00000000" w:rsidRPr="00000000">
        <w:rPr>
          <w:rtl w:val="0"/>
        </w:rPr>
      </w:r>
    </w:p>
    <w:tbl>
      <w:tblPr>
        <w:tblStyle w:val="Table8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000"/>
        <w:gridCol w:w="3000"/>
        <w:gridCol w:w="3070"/>
        <w:tblGridChange w:id="0">
          <w:tblGrid>
            <w:gridCol w:w="3000"/>
            <w:gridCol w:w="3000"/>
            <w:gridCol w:w="307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F_âncora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Mediana do retrabalho sobre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A faixa varrida é a faixa aberta declarada para o parâmetro.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2.8  Experimento central: governança centralizada e adaptativa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experimento comparou os dois arranjos definidos na Tabela 2 em 16 instâncias do J60, utilizando 12 sementes por instância. Foram realizadas 384 execuções. Para a inferência estatística, as sementes de cada instância foram agregadas pela média, de modo que a unidade de análise fosse a instância e não cada repetição aleatória.</w:t>
      </w:r>
    </w:p>
    <w:p w:rsidR="00000000" w:rsidDel="00000000" w:rsidP="00000000" w:rsidRDefault="00000000" w:rsidRPr="00000000" w14:paraId="00000218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9 – Comparação pareada entre os arranjos de governança, por instância</w:t>
      </w: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620"/>
        <w:gridCol w:w="1180"/>
        <w:gridCol w:w="1180"/>
        <w:gridCol w:w="1080"/>
        <w:gridCol w:w="1080"/>
        <w:gridCol w:w="1160"/>
        <w:gridCol w:w="770"/>
        <w:tblGridChange w:id="0">
          <w:tblGrid>
            <w:gridCol w:w="2620"/>
            <w:gridCol w:w="1180"/>
            <w:gridCol w:w="1180"/>
            <w:gridCol w:w="1080"/>
            <w:gridCol w:w="1080"/>
            <w:gridCol w:w="1160"/>
            <w:gridCol w:w="77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Centraliz.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de Cohen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Instâncias favor.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concluídas com defeito oculto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-70,6%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-7,815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de 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-70,6%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-7,815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=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de pico sobre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-72,8%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-6,726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=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Atraso relativo (makespan sobre CPM)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-36,2%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-5,546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=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Ocupação 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=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Esforço de retrabalho sobre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-23,9%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-3,074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=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Retrabalho sobre esforço realizado (diagnóstico)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Dezesseis instâncias, cada uma com a média das suas doze sementes. “= piso” indica que o valor-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 atingiu 3,05 × 10⁻⁵, o menor possível com dezesseis pares. A última linha é métrica de diagnóstico, discutida adiante.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Sob a parametrização utilizada, o arranjo adaptativo apresentou menor número de tarefas concluídas com defeito oculto e menor dívida latente de pico. O esforço de retrabalho contabilizado foi 23,9% menor, enquanto o atraso relativo apresentou redução de 36,2%. Esses resultados ocorreram no mesmo sentido nas 16 instâncias avaliadas.</w:t>
      </w:r>
    </w:p>
    <w:p w:rsidR="00000000" w:rsidDel="00000000" w:rsidP="00000000" w:rsidRDefault="00000000" w:rsidRPr="00000000" w14:paraId="0000025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interpretação do atraso depende da condição de término adotada no simulador. A execução só é encerrada após a detecção da dívida latente remanescente. O </w:t>
      </w:r>
      <w:r w:rsidDel="00000000" w:rsidR="00000000" w:rsidRPr="00000000">
        <w:rPr>
          <w:i w:val="1"/>
          <w:iCs w:val="1"/>
          <w:rtl w:val="0"/>
        </w:rPr>
        <w:t xml:space="preserve">makespan</w:t>
      </w:r>
      <w:r w:rsidDel="00000000" w:rsidR="00000000" w:rsidRPr="00000000">
        <w:rPr>
          <w:rtl w:val="0"/>
        </w:rPr>
        <w:t xml:space="preserve"> inclui, portanto, o período posterior à conclusão da última tarefa em que ainda existem defeitos ocultos. Como essa parcela é maior no arranjo centralizado, parte do contraste observado está associada a essa definição operacional. Uma medida encerrada na conclusão da última tarefa produziria outra magnitude de atraso.</w:t>
      </w:r>
    </w:p>
    <w:p w:rsidR="00000000" w:rsidDel="00000000" w:rsidP="00000000" w:rsidRDefault="00000000" w:rsidRPr="00000000" w14:paraId="0000025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comparação entre os dois arranjos não permite atribuir essas diferenças a um parâmetro isolado, pois quatro parâmetros de governança variam simultaneamente. Essa questão é examinada na análise de ablação da Seção 2.9.</w:t>
      </w:r>
    </w:p>
    <w:p w:rsidR="00000000" w:rsidDel="00000000" w:rsidP="00000000" w:rsidRDefault="00000000" w:rsidRPr="00000000" w14:paraId="0000025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razão entre retrabalho e esforço realizado, utilizada inicialmente como indicador agregado, apresentou comportamento inadequado para essa comparação. O esforço realizado inclui períodos improdutivos e, por isso, um arranjo com maior ociosidade pode apresentar uma razão artificialmente menor. A Figura 7 ilustra esse efeito.</w:t>
      </w:r>
    </w:p>
    <w:p w:rsidR="00000000" w:rsidDel="00000000" w:rsidP="00000000" w:rsidRDefault="00000000" w:rsidRPr="00000000" w14:paraId="00000256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 – Composição do esforço realizado e o mesmo retrabalho medido sob duas bases distintas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81650" cy="3086100"/>
            <wp:effectExtent b="0" l="0" r="0" t="0"/>
            <wp:docPr id="18304921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Para evitar esse efeito, o esforço de retrabalho passou a ser normalizado pelo esforço planejado da instância, comum aos dois arranjos. A dívida latente de pico foi mantida separadamente, permitindo distinguir retrabalho efetivamente contabilizado de defeitos ainda ocultos.</w:t>
      </w:r>
    </w:p>
    <w:p w:rsidR="00000000" w:rsidDel="00000000" w:rsidP="00000000" w:rsidRDefault="00000000" w:rsidRPr="00000000" w14:paraId="0000025A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Na implementação atual, TR representa esforço de retrabalho contabilizado, mas não corresponde a tempo efetivamente consumido por um agente. O retrabalho não disputa capacidade com a execução das demais tarefas nem avança o cronograma da mesma forma. Consequentemente, seus efeitos sobre prazo e utilização de recursos estão parcialmente representados.</w:t>
      </w:r>
    </w:p>
    <w:p w:rsidR="00000000" w:rsidDel="00000000" w:rsidP="00000000" w:rsidRDefault="00000000" w:rsidRPr="00000000" w14:paraId="0000025B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 – Trajetórias médias dos estoques nos dois arranjos, com faixa interquartil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00675" cy="4029075"/>
            <wp:effectExtent b="0" l="0" r="0" t="0"/>
            <wp:docPr id="183049216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As trajetórias mostram maior acúmulo de dívida latente no arranjo centralizado. No adaptativo, esse estoque permanece menor ao longo da execução e o progresso validado se acumula mais rapidamente.</w:t>
      </w:r>
    </w:p>
    <w:p w:rsidR="00000000" w:rsidDel="00000000" w:rsidP="00000000" w:rsidRDefault="00000000" w:rsidRPr="00000000" w14:paraId="0000025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2.9  Análise de ablação dos parâmetros de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Como os cenários centralizado e adaptativo diferem simultaneamente em quatro parâmetros, foi realizado um experimento fatorial (2^4) para examinar seus efeitos e interações. Essa estrutura permite avaliar em que medida o contraste entre os arranjos pode ser associado aos efeitos principais ou às combinações entre parâmetros.ois arranjos da Tabela 2 diferem em quatro parâmetros simultaneamente. Enquanto variarem juntos, a comparação mede o pacote, e nenhum efeito observado pode ser atribuído a mecanismo algum. A ablação separa as parcelas, e a primeira conclusão que ela produz é sobre o próprio método de atribuição.</w:t>
      </w:r>
    </w:p>
    <w:p w:rsidR="00000000" w:rsidDel="00000000" w:rsidP="00000000" w:rsidRDefault="00000000" w:rsidRPr="00000000" w14:paraId="00000261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10 – Decomposição exata do contraste em efeitos principais e interações</w:t>
      </w: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400"/>
        <w:gridCol w:w="1900"/>
        <w:gridCol w:w="1900"/>
        <w:gridCol w:w="1870"/>
        <w:tblGridChange w:id="0">
          <w:tblGrid>
            <w:gridCol w:w="3400"/>
            <w:gridCol w:w="1900"/>
            <w:gridCol w:w="1900"/>
            <w:gridCol w:w="187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Efeitos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Maior interação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atraso 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118,9%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-18,9%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CD (-26,2%)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ocupação 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 (-2,6%)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tempo de ajuda 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ACD (1,1%)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ociosidade 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 (-2,4%)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esforço de retrabalho 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ACD (9,4%)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trabalho efetivo 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 (1,6%)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defeito oculto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 (-11,7%)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de 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 (-11,7%)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retrabalho sobre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ACD (10,1%)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sobre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161,8%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-61,8%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CD (-45,5%)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de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161,7%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-61,7%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CD (-45,7%)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A = confiança inicial; B = limiar de confiança; C = probabilidade de reporte; D = probabilidade de detecção. Percentuais relativos ao contraste nominal entre os arranjos.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Nos indicadores relacionados a tempo e utilização, as interações representam parcela relativamente pequena do contraste. O comportamento da dívida latente é diferente: nessa família de indicadores, as interações respondem por parcela elevada do efeito observado. Destaca-se a interação entre probabilidade de reporte e probabilidade de detecção, o que limita a interpretação isolada desses parâmetros.</w:t>
      </w:r>
    </w:p>
    <w:p w:rsidR="00000000" w:rsidDel="00000000" w:rsidP="00000000" w:rsidRDefault="00000000" w:rsidRPr="00000000" w14:paraId="0000029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análise também mostrou pouca sensibilidade ao limiar de confiança nas condições nominais. Com a confiança mantida constante entre os agentes, a regra de concessão de ajuda se comporta como uma comparação de limiar. A resposta muda de forma abrupta quando o limiar atravessa o valor da confiança inicial.</w:t>
      </w:r>
    </w:p>
    <w:p w:rsidR="00000000" w:rsidDel="00000000" w:rsidP="00000000" w:rsidRDefault="00000000" w:rsidRPr="00000000" w14:paraId="0000029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11 – Resposta do arranjo centralizado ao limiar de confiança, com os demais parâmetros fixos</w:t>
      </w:r>
      <w:r w:rsidDel="00000000" w:rsidR="00000000" w:rsidRPr="00000000">
        <w:rPr>
          <w:rtl w:val="0"/>
        </w:rPr>
      </w:r>
    </w:p>
    <w:tbl>
      <w:tblPr>
        <w:tblStyle w:val="Table11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115"/>
        <w:gridCol w:w="1052"/>
        <w:gridCol w:w="1252"/>
        <w:gridCol w:w="1290"/>
        <w:gridCol w:w="1038"/>
        <w:gridCol w:w="996"/>
        <w:gridCol w:w="1017"/>
        <w:gridCol w:w="1310"/>
        <w:tblGridChange w:id="0">
          <w:tblGrid>
            <w:gridCol w:w="1115"/>
            <w:gridCol w:w="1052"/>
            <w:gridCol w:w="1252"/>
            <w:gridCol w:w="1290"/>
            <w:gridCol w:w="1038"/>
            <w:gridCol w:w="996"/>
            <w:gridCol w:w="1017"/>
            <w:gridCol w:w="131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τ_mín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Bloqueios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Atraso 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Ocupação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0,8980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Dezesseis instâncias com doze sementes por ponto. A confiança inicial do arranjo centralizado vale 0,25.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Foi realizada ainda uma ablação específica do mecanismo de assistência, considerando sua supressão e sua disponibilização independentemente da confiança. </w:t>
      </w:r>
    </w:p>
    <w:p w:rsidR="00000000" w:rsidDel="00000000" w:rsidP="00000000" w:rsidRDefault="00000000" w:rsidRPr="00000000" w14:paraId="000002F8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12 – Contraste entre os arranjos, nominal e sob ablação do mecanismo de assistência</w:t>
      </w:r>
      <w:r w:rsidDel="00000000" w:rsidR="00000000" w:rsidRPr="00000000">
        <w:rPr>
          <w:rtl w:val="0"/>
        </w:rPr>
      </w:r>
    </w:p>
    <w:tbl>
      <w:tblPr>
        <w:tblStyle w:val="Table12"/>
        <w:tblW w:w="9069.999999999998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138"/>
        <w:gridCol w:w="1096"/>
        <w:gridCol w:w="1185"/>
        <w:gridCol w:w="1223"/>
        <w:gridCol w:w="834"/>
        <w:gridCol w:w="845"/>
        <w:gridCol w:w="1749"/>
        <w:tblGridChange w:id="0">
          <w:tblGrid>
            <w:gridCol w:w="2138"/>
            <w:gridCol w:w="1096"/>
            <w:gridCol w:w="1185"/>
            <w:gridCol w:w="1223"/>
            <w:gridCol w:w="834"/>
            <w:gridCol w:w="845"/>
            <w:gridCol w:w="1749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 assist.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Assist. univ.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Resta (sem)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Resta (univ.)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Veredito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atraso 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-1,1354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-0,8608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ocupação 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-45,6%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tempo de ajuda 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DESAPARECE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ociosidade 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-120,3229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18,9323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-0,5052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esforço de retrabalho 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-16,3564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-4,2601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-7,1266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trabalho efetivo 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-149,6042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-123,8073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-118,5365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defeito oculto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-9,1979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-8,9948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-8,6198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de 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retrabalho sobre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sobre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-0,0458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de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-18,2888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-17,1061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-15,5282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DIMINUI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Contraste = média do arranjo adaptativo menos média do centralizado, por instância. As duas colunas “Resta” dão a fração do contraste nominal que sobrevive a cada ablação.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redução da dívida latente permaneceu presente nas duas condições de ablação. Parte das diferenças de atraso e utilização, porém, foi reduzida ou teve o sinal alterado quando o mecanismo de assistência foi modificado. Esses resultados indicam que as conclusões relativas a essas variáveis dependem da forma atualmente adotada para representar a interação entre os agentes.</w:t>
      </w:r>
    </w:p>
    <w:p w:rsidR="00000000" w:rsidDel="00000000" w:rsidP="00000000" w:rsidRDefault="00000000" w:rsidRPr="00000000" w14:paraId="0000034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2.10  Regra de competência na concessão de ajuda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implementação acrescenta uma condição à regra de concessão de ajuda definida na fase conceitual: o agente que presta apoio deve possuir competência superior à do solicitante. A especificação anterior considerava apenas disponibilidade e confiança.</w:t>
      </w:r>
    </w:p>
    <w:p w:rsidR="00000000" w:rsidDel="00000000" w:rsidP="00000000" w:rsidRDefault="00000000" w:rsidRPr="00000000" w14:paraId="0000035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Para avaliar a influência dessa diferença, as duas formulações foram executadas sobre as mesmas instâncias e sementes.</w:t>
      </w:r>
    </w:p>
    <w:p w:rsidR="00000000" w:rsidDel="00000000" w:rsidP="00000000" w:rsidRDefault="00000000" w:rsidRPr="00000000" w14:paraId="00000352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13 – Porta 2: operacionalização implementada e regra conceitual literal</w:t>
      </w: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883"/>
        <w:gridCol w:w="2372"/>
        <w:gridCol w:w="1496"/>
        <w:gridCol w:w="1490"/>
        <w:gridCol w:w="1244"/>
        <w:gridCol w:w="585"/>
        <w:tblGridChange w:id="0">
          <w:tblGrid>
            <w:gridCol w:w="1883"/>
            <w:gridCol w:w="2372"/>
            <w:gridCol w:w="1496"/>
            <w:gridCol w:w="1490"/>
            <w:gridCol w:w="1244"/>
            <w:gridCol w:w="585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Arranjo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atraso 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ocupação 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tempo de ajuda 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ociosidade 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126,2656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esforço de retrabalho 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68,8653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de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25,1123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25,1123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defeito oculto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13,0208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13,0208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atraso 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ocupação 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-0,1%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tempo de ajuda 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10,2188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ociosidade 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6,8906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esforço de retrabalho 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52,5089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52,9729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dívida latente de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6,8235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defeito oculto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Dezesseis instâncias com doze sementes, pareadas; unidade inferencial: instância.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No arranjo centralizado, as duas formulações produziram os mesmos resultados porque a própria condição de confiança impede a concessão de ajuda. No arranjo adaptativo, as diferenças foram pequenas para a maior parte dos indicadores avaliados.</w:t>
      </w:r>
    </w:p>
    <w:p w:rsidR="00000000" w:rsidDel="00000000" w:rsidP="00000000" w:rsidRDefault="00000000" w:rsidRPr="00000000" w14:paraId="000003AF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restrição de competência é coerente com a interpretação da interação como transferência de conhecimento, mas não fazia parte da especificação conceitual original. Por isso, deve ser tratada como decisão de operacionalização do modelo, e não como característica previamente estabelecida.</w:t>
      </w:r>
    </w:p>
    <w:p w:rsidR="00000000" w:rsidDel="00000000" w:rsidP="00000000" w:rsidRDefault="00000000" w:rsidRPr="00000000" w14:paraId="000003B0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2.11  Rastreabilidade das verificações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As execuções utilizadas nas análises são registradas com suas instâncias, sementes e arquivos de saída. As tabelas produzidas diretamente a partir das saídas do simulador mantêm vínculo com esses arquivos, permitindo recuperar os resultados apresentados.</w:t>
      </w:r>
    </w:p>
    <w:p w:rsidR="00000000" w:rsidDel="00000000" w:rsidP="00000000" w:rsidRDefault="00000000" w:rsidRPr="00000000" w14:paraId="000003B2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correspondência completa entre procedimentos, condições de execução e arquivos de saída é apresentada na Tabela 14.</w:t>
      </w:r>
    </w:p>
    <w:p w:rsidR="00000000" w:rsidDel="00000000" w:rsidP="00000000" w:rsidRDefault="00000000" w:rsidRPr="00000000" w14:paraId="000003B3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14 – Procedimentos de verificação, condições de execução e arquivos de saída</w:t>
      </w:r>
      <w:r w:rsidDel="00000000" w:rsidR="00000000" w:rsidRPr="00000000">
        <w:rPr>
          <w:rtl w:val="0"/>
        </w:rPr>
      </w:r>
    </w:p>
    <w:tbl>
      <w:tblPr>
        <w:tblStyle w:val="Table14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989"/>
        <w:gridCol w:w="1812"/>
        <w:gridCol w:w="1115"/>
        <w:gridCol w:w="1019"/>
        <w:gridCol w:w="3135"/>
        <w:tblGridChange w:id="0">
          <w:tblGrid>
            <w:gridCol w:w="1989"/>
            <w:gridCol w:w="1812"/>
            <w:gridCol w:w="1115"/>
            <w:gridCol w:w="1019"/>
            <w:gridCol w:w="3135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Execuções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Experimento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instâncias J60 (todas[::30][:16])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modelo_03_experimento_bruto.csv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Ablação de governança (B9)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mesmas 16 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modelo_07_ablacao_bruto.csv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Decomposição fatorial 2⁴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mesmas 16 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modelo_10_fatorial_celulas.csv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Sensibilidade de τ_mín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mesmas 16 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modelo_09_sensibilidade_tau_min.csv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Tendência sob pressão —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j6010_1 e j6014_1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a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modelo_11_tendencia_piloto.csv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Tendência sob pressão — confirmatório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j6010_1 e j6014_1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 a 1099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modelo_11_tendencia_confirmatorio.csv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 2 — TCC1 × TCC2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mesmas 16 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modelo_12_porta2_comparacao.csv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240" w:before="8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Dados da pesquisa (2026). Os arquivos residem em outputs/tables no repositório do trabalho.</w:t>
      </w:r>
    </w:p>
    <w:p w:rsidR="00000000" w:rsidDel="00000000" w:rsidP="00000000" w:rsidRDefault="00000000" w:rsidRPr="00000000" w14:paraId="000003DD">
      <w:pPr>
        <w:spacing w:after="240" w:before="80" w:lineRule="auto"/>
        <w:ind w:firstLine="708"/>
        <w:rPr/>
      </w:pPr>
      <w:r w:rsidDel="00000000" w:rsidR="00000000" w:rsidRPr="00000000">
        <w:rPr>
          <w:rtl w:val="0"/>
        </w:rPr>
        <w:t xml:space="preserve">Parte dos valores apresentados nas Seções 2.2 a 2.6 ainda é transcrita das saídas dos scripts, enquanto as tabelas das etapas posteriores são geradas diretamente a partir dos arquivos produzidos pelo modelo.</w:t>
      </w:r>
    </w:p>
    <w:p w:rsidR="00000000" w:rsidDel="00000000" w:rsidP="00000000" w:rsidRDefault="00000000" w:rsidRPr="00000000" w14:paraId="000003DE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2.12  Calibração e identificabilidade dos parâmetros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procedimento de </w:t>
      </w:r>
      <w:r w:rsidDel="00000000" w:rsidR="00000000" w:rsidRPr="00000000">
        <w:rPr>
          <w:i w:val="1"/>
          <w:iCs w:val="1"/>
          <w:rtl w:val="0"/>
        </w:rPr>
        <w:t xml:space="preserve">History Matching</w:t>
      </w:r>
      <w:r w:rsidDel="00000000" w:rsidR="00000000" w:rsidRPr="00000000">
        <w:rPr>
          <w:rtl w:val="0"/>
        </w:rPr>
        <w:t xml:space="preserve"> foi executado em duas ondas de 400 pontos amostrados por hipercubo latino, considerando cinco parâmetros e quatro observáveis. Ao final, o conjunto NROY continha 115 pontos e incluía o vetor utilizado para gerar as observações sintéticas. O volume da caixa envolvente foi reduzido para 14,8% do espaço inicial.</w:t>
      </w:r>
    </w:p>
    <w:p w:rsidR="00000000" w:rsidDel="00000000" w:rsidP="00000000" w:rsidRDefault="00000000" w:rsidRPr="00000000" w14:paraId="000003E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Esses resultados mostram que o teste do gêmeo idêntico recuperou a região contendo o vetor de referência, mas não implicam que todos os parâmetros sejam individualmente identificáveis.</w:t>
      </w:r>
    </w:p>
    <w:p w:rsidR="00000000" w:rsidDel="00000000" w:rsidP="00000000" w:rsidRDefault="00000000" w:rsidRPr="00000000" w14:paraId="000003E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15 – Identificabilidade dos parâmetros calibrados</w:t>
      </w:r>
      <w:r w:rsidDel="00000000" w:rsidR="00000000" w:rsidRPr="00000000">
        <w:rPr>
          <w:rtl w:val="0"/>
        </w:rPr>
      </w:r>
    </w:p>
    <w:tbl>
      <w:tblPr>
        <w:tblStyle w:val="Table15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470"/>
        <w:gridCol w:w="1600"/>
        <w:gridCol w:w="1800"/>
        <w:gridCol w:w="2200"/>
        <w:tblGridChange w:id="0">
          <w:tblGrid>
            <w:gridCol w:w="3470"/>
            <w:gridCol w:w="1600"/>
            <w:gridCol w:w="18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verdadeiro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Redução da largura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Veredito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μ_mín (piso do multiplicador de produtividade)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F_âncora (frequência basal de defeito)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parcialmente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τ_sat (limiar de saturação cognitiva)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f_retrabalho (severidade do retrabalho)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k_heurístico (drenagem em modo heurístico)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F_âncora × f_retrabalho (produto)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0,0756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 Adotou-se o limiar de vinte e cinco por cento de redução como fronteira da não identificabilidade.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piso do multiplicador de produtividade apresentou a maior redução marginal entre os parâmetros individuais. A frequência basal de defeito teve redução intermediária, enquanto o limiar de saturação, a severidade do retrabalho e a drenagem em modo heurístico permaneceram pouco restringidos pelo conjunto de observáveis utilizado.</w:t>
      </w:r>
    </w:p>
    <w:p w:rsidR="00000000" w:rsidDel="00000000" w:rsidP="00000000" w:rsidRDefault="00000000" w:rsidRPr="00000000" w14:paraId="0000040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Foi observada forte associação negativa entre a frequência basal de defeito e a severidade do retrabalho dentro do conjunto NROY </w:t>
      </w:r>
      <m:oMath>
        <m:r>
          <m:t>ρ</m:t>
        </m:r>
        <m:r>
          <w:rPr>
            <w:rFonts w:ascii="Cambria Math" w:cs="Cambria Math" w:eastAsia="Cambria Math" w:hAnsi="Cambria Math"/>
          </w:rPr>
          <m:t xml:space="preserve">=-0,840</m:t>
        </m:r>
      </m:oMath>
      <w:r w:rsidDel="00000000" w:rsidR="00000000" w:rsidRPr="00000000">
        <w:rPr>
          <w:rtl w:val="0"/>
        </w:rPr>
        <w:t xml:space="preserve">. Esse comportamento é compatível com equifinalidade entre os dois parâmetros: diferentes combinações podem produzir níveis semelhantes de retrabalho agregado.</w:t>
      </w:r>
    </w:p>
    <w:p w:rsidR="00000000" w:rsidDel="00000000" w:rsidP="00000000" w:rsidRDefault="00000000" w:rsidRPr="00000000" w14:paraId="00000401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9 – Conjunto NROY projetado sobre a crista de equifinalidade e redução marginal por parâmetro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4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81650" cy="3028950"/>
            <wp:effectExtent b="0" l="0" r="0" t="0"/>
            <wp:docPr id="18304921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Dados da pesquisa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produto entre frequência de defeito e severidade apresentou redução de 74,7%, superior à observada para os dois parâmetros separadamente. Esse resultado sugere que os dados empregados restringem melhor o efeito combinado do que sua decomposição em frequência e severidade. A separação entre os dois componentes exigiria observações adicionais que distinguissem ocorrência de defeitos e custo de correção.</w:t>
      </w:r>
    </w:p>
    <w:p w:rsidR="00000000" w:rsidDel="00000000" w:rsidP="00000000" w:rsidRDefault="00000000" w:rsidRPr="00000000" w14:paraId="00000405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As larguras marginais pouco se alteraram entre as duas ondas de calibração. O resultado pode indicar limitação estrutural de identificabilidade, mas ainda não permite descartar a possibilidade de redução adicional com outro delineamento amostral.</w:t>
      </w:r>
    </w:p>
    <w:p w:rsidR="00000000" w:rsidDel="00000000" w:rsidP="00000000" w:rsidRDefault="00000000" w:rsidRPr="00000000" w14:paraId="00000406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2.13  Procedência dos parâmetros e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Tabela 16 resume a origem dos parâmetros utilizados no modelo e distingue aqueles derivados dos dados, obtidos da literatura, mantidos como premissas ou ainda abertos para calibração.Tabela 16 resume a procedência dos parâmetros do modelo, segundo a classificação mantida no arquivo único de configuração. A distinção é mantida explícita porque a credibilidade de um modelo de simulação depende menos do número de parâmetros do que da clareza sobre a origem de cada um.</w:t>
      </w:r>
    </w:p>
    <w:p w:rsidR="00000000" w:rsidDel="00000000" w:rsidP="00000000" w:rsidRDefault="00000000" w:rsidRPr="00000000" w14:paraId="00000408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16 – Procedência dos parâmetros do modelo</w:t>
      </w: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700"/>
        <w:gridCol w:w="1300"/>
        <w:gridCol w:w="6070"/>
        <w:tblGridChange w:id="0">
          <w:tblGrid>
            <w:gridCol w:w="1700"/>
            <w:gridCol w:w="1300"/>
            <w:gridCol w:w="607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ainda não fixado; cinco deles submetidos à calibração da Seção 2.9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estimado dos dados por procedimento documentado: o gradiente de risco RR por faixa, obtido da base NASA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do escalonamento de referência das próprias instâncias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literatura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exigido por resultado publicado: a t-norma produto e a existência de partição difusa na saída (Van Broekhoven e De Baets, 2009)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premissa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arbitrado de forma declarada, com justificativa registrada e sujeito a varredura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herdado da fase conceitual sem alteração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pela autora (2026), a partir do arquivo de configuração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Os resultados apresentados devem ser interpretados considerando algumas limitações. A transferência entre NASA e PSPLIB pressupõe que o gradiente ordinal de risco seja aplicável entre domínios distintos. O modelo também não foi submetido, nesta etapa, a validação externa capaz de confrontar suas saídas com dados independentes de equipes reais.</w:t>
      </w:r>
    </w:p>
    <w:p w:rsidR="00000000" w:rsidDel="00000000" w:rsidP="00000000" w:rsidRDefault="00000000" w:rsidRPr="00000000" w14:paraId="00000420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teste do gêmeo idêntico avalia a calibração em uma situação particularmente favorável, pois os próprios dados sintéticos são produzidos pelo modelo. Além disso, parte dos parâmetros permaneceu pouco identificável com os observáveis atualmente utilizados.</w:t>
      </w:r>
    </w:p>
    <w:p w:rsidR="00000000" w:rsidDel="00000000" w:rsidP="00000000" w:rsidRDefault="00000000" w:rsidRPr="00000000" w14:paraId="00000421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Na implementação atual, o retrabalho contabilizado não ocupa agentes ou recursos. Essa simplificação reduz a representação de seus efeitos sobre o cronograma e deverá ser considerada na interpretação dos indicadores de desempenho.</w:t>
      </w:r>
    </w:p>
    <w:p w:rsidR="00000000" w:rsidDel="00000000" w:rsidP="00000000" w:rsidRDefault="00000000" w:rsidRPr="00000000" w14:paraId="00000422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o limitações são declaradas. Primeira, a transferência ordinal de risco entre domínios pressupõe que o gradiente de risco por dificuldade seja transferível, ainda que o nível absoluto não seja; trata-se de suposição, e não de resultado. Segunda, e mais importante para a leitura desta entrega, não foi realizada validação externa do simulador: não há aqui nenhum critério confrontado com observação de campo que pudesse reprová-lo. A comparação da fração de retrabalho com a literatura funciona apenas como verificação de ordem de grandeza, e a Seção 2.7 demonstra que ela aprova em toda a faixa declarada do parâmetro de risco basal, isto é, que seu poder de rejeição é nulo. Terceira, o teste do gêmeo idêntico é otimista por construção, uma vez que anula a discrepância entre modelo e realidade. Quarta, três dos cinco parâmetros submetidos à calibração não são identificáveis com os observáveis do delineamento atual, e assim são reportados.</w:t>
      </w:r>
    </w:p>
    <w:p w:rsidR="00000000" w:rsidDel="00000000" w:rsidP="00000000" w:rsidRDefault="00000000" w:rsidRPr="00000000" w14:paraId="00000423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2.14  Cronograma de atividades e 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A Tabela 17 apresenta as atividades previstas para a continuidade e conclusão do TCC II.</w:t>
      </w:r>
    </w:p>
    <w:p w:rsidR="00000000" w:rsidDel="00000000" w:rsidP="00000000" w:rsidRDefault="00000000" w:rsidRPr="00000000" w14:paraId="00000425">
      <w:pPr>
        <w:spacing w:after="10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17 – Cronograma de finalização do trabalho (TCC II)</w:t>
      </w:r>
      <w:r w:rsidDel="00000000" w:rsidR="00000000" w:rsidRPr="00000000">
        <w:rPr>
          <w:rtl w:val="0"/>
        </w:rPr>
      </w:r>
    </w:p>
    <w:tbl>
      <w:tblPr>
        <w:tblStyle w:val="Table17"/>
        <w:tblW w:w="7150.0" w:type="dxa"/>
        <w:jc w:val="left"/>
        <w:tblBorders>
          <w:top w:color="888888" w:space="0" w:sz="4" w:val="single"/>
          <w:left w:color="bbbbbb" w:space="0" w:sz="4" w:val="single"/>
          <w:bottom w:color="888888" w:space="0" w:sz="4" w:val="single"/>
          <w:right w:color="bbbbbb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270"/>
        <w:gridCol w:w="960"/>
        <w:gridCol w:w="960"/>
        <w:gridCol w:w="960"/>
        <w:tblGridChange w:id="0">
          <w:tblGrid>
            <w:gridCol w:w="4270"/>
            <w:gridCol w:w="960"/>
            <w:gridCol w:w="960"/>
            <w:gridCol w:w="960"/>
          </w:tblGrid>
        </w:tblGridChange>
      </w:tblGrid>
      <w:tr>
        <w:trPr>
          <w:cantSplit w:val="0"/>
          <w:tblHeader w:val="1"/>
        </w:trPr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Atividade / etapa de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Confirmação da proveniência dos dados junto à coleção oficial e fechamento da calibração NASA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Auditoria do PSPLIB J60 e validação dos parâmetros NC, RF e RS (concluída)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sdt>
              <w:sdtPr>
                <w:id w:val="-466126154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8"/>
                    <w:szCs w:val="18"/>
                    <w:rtl w:val="0"/>
                  </w:rPr>
                  <w:t xml:space="preserve">3. Construção do índice de dificuldade e da transferência ordinal NASA → J60 (concluída)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Implementação do sistema de inferência difusa e do simulador de equipes (concluída)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Verificação do simulador e experimento de governança (concluídos)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Calibração por History Matching e teste do gêmeo idêntico (concluídos)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Fixação da âncora de risco por dado do domínio de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Análise de sensibilidade sobre os parâmetros em varredura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Ensaios finais e validação do modelo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Redação final da monografia conforme normas ABNT e preparação da defesa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spacing w:after="24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pela autora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ANDRIANAKIS, I.; VERNON, I. R.; McCREESH, N. et al. Bayesian history matching of complex infectious disease models using emulation: a tutorial and a case study on HIV in Uganda. </w:t>
      </w:r>
      <w:r w:rsidDel="00000000" w:rsidR="00000000" w:rsidRPr="00000000">
        <w:rPr>
          <w:b w:val="1"/>
          <w:bCs w:val="1"/>
          <w:rtl w:val="0"/>
        </w:rPr>
        <w:t xml:space="preserve">PLoS Computational Biology</w:t>
      </w:r>
      <w:r w:rsidDel="00000000" w:rsidR="00000000" w:rsidRPr="00000000">
        <w:rPr>
          <w:rtl w:val="0"/>
        </w:rPr>
        <w:t xml:space="preserve">, v. 11, n. 1, e1003968, 2015. DOI 10.1371/journal.pcbi.1003968.</w:t>
      </w:r>
    </w:p>
    <w:p w:rsidR="00000000" w:rsidDel="00000000" w:rsidP="00000000" w:rsidRDefault="00000000" w:rsidRPr="00000000" w14:paraId="0000045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BEIN, W. W.; KAMBUROWSKI, J.; STALLMANN, M. F. M. Optimal reduction of two-terminal directed acyclic graphs. </w:t>
      </w:r>
      <w:r w:rsidDel="00000000" w:rsidR="00000000" w:rsidRPr="00000000">
        <w:rPr>
          <w:b w:val="1"/>
          <w:bCs w:val="1"/>
          <w:rtl w:val="0"/>
        </w:rPr>
        <w:t xml:space="preserve">SIAM Journal on Computing</w:t>
      </w:r>
      <w:r w:rsidDel="00000000" w:rsidR="00000000" w:rsidRPr="00000000">
        <w:rPr>
          <w:rtl w:val="0"/>
        </w:rPr>
        <w:t xml:space="preserve">, v. 21, n. 6, p. 1112-1129, 1992.</w:t>
      </w:r>
    </w:p>
    <w:p w:rsidR="00000000" w:rsidDel="00000000" w:rsidP="00000000" w:rsidRDefault="00000000" w:rsidRPr="00000000" w14:paraId="00000456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BOEHM, B.; BASILI, V. R. Software defect reduction top 10 list. </w:t>
      </w: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, v. 34, n. 1, p. 135-137, jan. 2001. DOI 10.1109/2.962984.</w:t>
      </w:r>
    </w:p>
    <w:p w:rsidR="00000000" w:rsidDel="00000000" w:rsidP="00000000" w:rsidRDefault="00000000" w:rsidRPr="00000000" w14:paraId="00000457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CROWDER, R. M.; ROBINSON, M. A.; HUGHES, H. P. N. et al. The development of an agent-based modeling framework for simulating engineering team work. </w:t>
      </w:r>
      <w:r w:rsidDel="00000000" w:rsidR="00000000" w:rsidRPr="00000000">
        <w:rPr>
          <w:b w:val="1"/>
          <w:bCs w:val="1"/>
          <w:rtl w:val="0"/>
        </w:rPr>
        <w:t xml:space="preserve">IEEE Transactions on Systems, Man, and Cybernetics – Part A: Systems and Humans</w:t>
      </w:r>
      <w:r w:rsidDel="00000000" w:rsidR="00000000" w:rsidRPr="00000000">
        <w:rPr>
          <w:rtl w:val="0"/>
        </w:rPr>
        <w:t xml:space="preserve">, v. 42, n. 6, p. 1425-1439, 2012.</w:t>
      </w:r>
    </w:p>
    <w:p w:rsidR="00000000" w:rsidDel="00000000" w:rsidP="00000000" w:rsidRDefault="00000000" w:rsidRPr="00000000" w14:paraId="00000458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DE REYCK, B.; HERROELEN, W. On the use of the complexity index as a measure of complexity in activity networks. </w:t>
      </w:r>
      <w:r w:rsidDel="00000000" w:rsidR="00000000" w:rsidRPr="00000000">
        <w:rPr>
          <w:b w:val="1"/>
          <w:bCs w:val="1"/>
          <w:rtl w:val="0"/>
        </w:rPr>
        <w:t xml:space="preserve">European Journal of Operational Research</w:t>
      </w:r>
      <w:r w:rsidDel="00000000" w:rsidR="00000000" w:rsidRPr="00000000">
        <w:rPr>
          <w:rtl w:val="0"/>
        </w:rPr>
        <w:t xml:space="preserve">, v. 91, n. 2, p. 347-366, 1996.</w:t>
      </w:r>
    </w:p>
    <w:p w:rsidR="00000000" w:rsidDel="00000000" w:rsidP="00000000" w:rsidRDefault="00000000" w:rsidRPr="00000000" w14:paraId="000004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KOLISCH, R. Serial and parallel resource-constrained project scheduling methods revisited: theory and computation. </w:t>
      </w:r>
      <w:r w:rsidDel="00000000" w:rsidR="00000000" w:rsidRPr="00000000">
        <w:rPr>
          <w:b w:val="1"/>
          <w:bCs w:val="1"/>
          <w:rtl w:val="0"/>
        </w:rPr>
        <w:t xml:space="preserve">European Journal of Operational Research</w:t>
      </w:r>
      <w:r w:rsidDel="00000000" w:rsidR="00000000" w:rsidRPr="00000000">
        <w:rPr>
          <w:rtl w:val="0"/>
        </w:rPr>
        <w:t xml:space="preserve">, v. 90, n. 2, p. 320-333, 1996.</w:t>
      </w:r>
    </w:p>
    <w:p w:rsidR="00000000" w:rsidDel="00000000" w:rsidP="00000000" w:rsidRDefault="00000000" w:rsidRPr="00000000" w14:paraId="0000045A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KOLISCH, R.; SPRECHER, A. PSPLIB – a project scheduling problem library. </w:t>
      </w:r>
      <w:r w:rsidDel="00000000" w:rsidR="00000000" w:rsidRPr="00000000">
        <w:rPr>
          <w:b w:val="1"/>
          <w:bCs w:val="1"/>
          <w:rtl w:val="0"/>
        </w:rPr>
        <w:t xml:space="preserve">European Journal of Operational Research</w:t>
      </w:r>
      <w:r w:rsidDel="00000000" w:rsidR="00000000" w:rsidRPr="00000000">
        <w:rPr>
          <w:rtl w:val="0"/>
        </w:rPr>
        <w:t xml:space="preserve">, v. 96, n. 1, p. 205-216, 1997.</w:t>
      </w:r>
    </w:p>
    <w:p w:rsidR="00000000" w:rsidDel="00000000" w:rsidP="00000000" w:rsidRDefault="00000000" w:rsidRPr="00000000" w14:paraId="0000045B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KOLISCH, R.; SPRECHER, A.; DREXL, A. Characterization and generation of a general class of resource-constrained project scheduling problems. </w:t>
      </w:r>
      <w:r w:rsidDel="00000000" w:rsidR="00000000" w:rsidRPr="00000000">
        <w:rPr>
          <w:b w:val="1"/>
          <w:bCs w:val="1"/>
          <w:rtl w:val="0"/>
        </w:rPr>
        <w:t xml:space="preserve">Management Science</w:t>
      </w:r>
      <w:r w:rsidDel="00000000" w:rsidR="00000000" w:rsidRPr="00000000">
        <w:rPr>
          <w:rtl w:val="0"/>
        </w:rPr>
        <w:t xml:space="preserve">, v. 41, n. 10, p. 1693-1703, 1995.</w:t>
      </w:r>
    </w:p>
    <w:p w:rsidR="00000000" w:rsidDel="00000000" w:rsidP="00000000" w:rsidRDefault="00000000" w:rsidRPr="00000000" w14:paraId="0000045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LIU, S.; TRIANTIS, K. P.; SARANGI, S. Representing qualitative variables and their interactions with fuzzy logic in system dynamics modeling. </w:t>
      </w:r>
      <w:r w:rsidDel="00000000" w:rsidR="00000000" w:rsidRPr="00000000">
        <w:rPr>
          <w:b w:val="1"/>
          <w:bCs w:val="1"/>
          <w:rtl w:val="0"/>
        </w:rPr>
        <w:t xml:space="preserve">Systems Research and Behavioral Science</w:t>
      </w:r>
      <w:r w:rsidDel="00000000" w:rsidR="00000000" w:rsidRPr="00000000">
        <w:rPr>
          <w:rtl w:val="0"/>
        </w:rPr>
        <w:t xml:space="preserve">, v. 28, p. 245-263, 2011.</w:t>
      </w:r>
    </w:p>
    <w:p w:rsidR="00000000" w:rsidDel="00000000" w:rsidP="00000000" w:rsidRDefault="00000000" w:rsidRPr="00000000" w14:paraId="0000045D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LOVE, P. E. D.; LI, H. Quantifying the causes and costs of rework in construction. </w:t>
      </w:r>
      <w:r w:rsidDel="00000000" w:rsidR="00000000" w:rsidRPr="00000000">
        <w:rPr>
          <w:b w:val="1"/>
          <w:bCs w:val="1"/>
          <w:rtl w:val="0"/>
        </w:rPr>
        <w:t xml:space="preserve">Construction Management and Economics</w:t>
      </w:r>
      <w:r w:rsidDel="00000000" w:rsidR="00000000" w:rsidRPr="00000000">
        <w:rPr>
          <w:rtl w:val="0"/>
        </w:rPr>
        <w:t xml:space="preserve">, v. 18, n. 4, p. 479-490, 2000.</w:t>
      </w:r>
    </w:p>
    <w:p w:rsidR="00000000" w:rsidDel="00000000" w:rsidP="00000000" w:rsidRDefault="00000000" w:rsidRPr="00000000" w14:paraId="0000045E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LOVE, P. E. D.; MATTHEWS, J.; FANG, W. et al. Quantifying the costs of field rework in construction. </w:t>
      </w:r>
      <w:r w:rsidDel="00000000" w:rsidR="00000000" w:rsidRPr="00000000">
        <w:rPr>
          <w:b w:val="1"/>
          <w:bCs w:val="1"/>
          <w:rtl w:val="0"/>
        </w:rPr>
        <w:t xml:space="preserve">Journal of Construction Engineering and Management</w:t>
      </w:r>
      <w:r w:rsidDel="00000000" w:rsidR="00000000" w:rsidRPr="00000000">
        <w:rPr>
          <w:rtl w:val="0"/>
        </w:rPr>
        <w:t xml:space="preserve">, v. 152, n. 1, 2026. DOI 10.1061/JCEMD4.COENG-17026.</w:t>
      </w:r>
    </w:p>
    <w:p w:rsidR="00000000" w:rsidDel="00000000" w:rsidP="00000000" w:rsidRDefault="00000000" w:rsidRPr="00000000" w14:paraId="0000045F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MACAL, C. M.; NORTH, M. J. Tutorial on agent-based modelling and simulation. </w:t>
      </w:r>
      <w:r w:rsidDel="00000000" w:rsidR="00000000" w:rsidRPr="00000000">
        <w:rPr>
          <w:b w:val="1"/>
          <w:bCs w:val="1"/>
          <w:rtl w:val="0"/>
        </w:rPr>
        <w:t xml:space="preserve">Journal of Simulation</w:t>
      </w:r>
      <w:r w:rsidDel="00000000" w:rsidR="00000000" w:rsidRPr="00000000">
        <w:rPr>
          <w:rtl w:val="0"/>
        </w:rPr>
        <w:t xml:space="preserve">, v. 4, n. 3, p. 151-162, 2010.</w:t>
      </w:r>
    </w:p>
    <w:p w:rsidR="00000000" w:rsidDel="00000000" w:rsidP="00000000" w:rsidRDefault="00000000" w:rsidRPr="00000000" w14:paraId="0000046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McCABE, T. J. A complexity measure. </w:t>
      </w:r>
      <w:r w:rsidDel="00000000" w:rsidR="00000000" w:rsidRPr="00000000">
        <w:rPr>
          <w:b w:val="1"/>
          <w:bCs w:val="1"/>
          <w:rtl w:val="0"/>
        </w:rPr>
        <w:t xml:space="preserve">IEEE Transactions on Software Engineering</w:t>
      </w:r>
      <w:r w:rsidDel="00000000" w:rsidR="00000000" w:rsidRPr="00000000">
        <w:rPr>
          <w:rtl w:val="0"/>
        </w:rPr>
        <w:t xml:space="preserve">, v. SE-2, n. 4, p. 308-320, 1976.</w:t>
      </w:r>
    </w:p>
    <w:p w:rsidR="00000000" w:rsidDel="00000000" w:rsidP="00000000" w:rsidRDefault="00000000" w:rsidRPr="00000000" w14:paraId="00000461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McCULLOCH, J.; GE, J.; WARD, J. A.; HEPPENSTALL, A.; POLHILL, J. G.; MALLESON, N. Calibrating agent-based models using uncertainty quantification methods. </w:t>
      </w:r>
      <w:r w:rsidDel="00000000" w:rsidR="00000000" w:rsidRPr="00000000">
        <w:rPr>
          <w:b w:val="1"/>
          <w:bCs w:val="1"/>
          <w:rtl w:val="0"/>
        </w:rPr>
        <w:t xml:space="preserve">Journal of Artificial Societies and Social Simulation</w:t>
      </w:r>
      <w:r w:rsidDel="00000000" w:rsidR="00000000" w:rsidRPr="00000000">
        <w:rPr>
          <w:rtl w:val="0"/>
        </w:rPr>
        <w:t xml:space="preserve">, v. 25, n. 2, artigo 1, 2022. DOI 10.18564/jasss.4791.</w:t>
      </w:r>
    </w:p>
    <w:p w:rsidR="00000000" w:rsidDel="00000000" w:rsidP="00000000" w:rsidRDefault="00000000" w:rsidRPr="00000000" w14:paraId="000004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NATIONAL AERONAUTICS AND SPACE ADMINISTRATION. </w:t>
      </w:r>
      <w:r w:rsidDel="00000000" w:rsidR="00000000" w:rsidRPr="00000000">
        <w:rPr>
          <w:b w:val="1"/>
          <w:bCs w:val="1"/>
          <w:rtl w:val="0"/>
        </w:rPr>
        <w:t xml:space="preserve">Cyclomatic complexity assessment</w:t>
      </w:r>
      <w:r w:rsidDel="00000000" w:rsidR="00000000" w:rsidRPr="00000000">
        <w:rPr>
          <w:rtl w:val="0"/>
        </w:rPr>
        <w:t xml:space="preserve">. NASA/TM-20205011566, NESC-RP-20-01515. Washington: NASA, 2020.</w:t>
      </w:r>
    </w:p>
    <w:p w:rsidR="00000000" w:rsidDel="00000000" w:rsidP="00000000" w:rsidRDefault="00000000" w:rsidRPr="00000000" w14:paraId="0000046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NATIONAL AERONAUTICS AND SPACE ADMINISTRATION. </w:t>
      </w:r>
      <w:r w:rsidDel="00000000" w:rsidR="00000000" w:rsidRPr="00000000">
        <w:rPr>
          <w:b w:val="1"/>
          <w:bCs w:val="1"/>
          <w:rtl w:val="0"/>
        </w:rPr>
        <w:t xml:space="preserve">SWE-220 – Cyclomatic complexity for safety-critical software</w:t>
      </w:r>
      <w:r w:rsidDel="00000000" w:rsidR="00000000" w:rsidRPr="00000000">
        <w:rPr>
          <w:rtl w:val="0"/>
        </w:rPr>
        <w:t xml:space="preserve">. NASA Software Engineering Handbook, versão D. Disponível em: https://swehb.nasa.gov. Acesso em: 3 set. 2026.</w:t>
      </w:r>
    </w:p>
    <w:p w:rsidR="00000000" w:rsidDel="00000000" w:rsidP="00000000" w:rsidRDefault="00000000" w:rsidRPr="00000000" w14:paraId="0000046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PUKELSHEIM, F. The three sigma rule. </w:t>
      </w:r>
      <w:r w:rsidDel="00000000" w:rsidR="00000000" w:rsidRPr="00000000">
        <w:rPr>
          <w:b w:val="1"/>
          <w:bCs w:val="1"/>
          <w:rtl w:val="0"/>
        </w:rPr>
        <w:t xml:space="preserve">The American Statistician</w:t>
      </w:r>
      <w:r w:rsidDel="00000000" w:rsidR="00000000" w:rsidRPr="00000000">
        <w:rPr>
          <w:rtl w:val="0"/>
        </w:rPr>
        <w:t xml:space="preserve">, v. 48, n. 2, p. 88-91, 1994. DOI 10.1080/00031305.1994.10476030.</w:t>
      </w:r>
    </w:p>
    <w:p w:rsidR="00000000" w:rsidDel="00000000" w:rsidP="00000000" w:rsidRDefault="00000000" w:rsidRPr="00000000" w14:paraId="0000046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RODRIGUES, A. G. </w:t>
      </w:r>
      <w:r w:rsidDel="00000000" w:rsidR="00000000" w:rsidRPr="00000000">
        <w:rPr>
          <w:b w:val="1"/>
          <w:bCs w:val="1"/>
          <w:rtl w:val="0"/>
        </w:rPr>
        <w:t xml:space="preserve">The application of system dynamics to project management: an integrated methodology (SYDPIM)</w:t>
      </w:r>
      <w:r w:rsidDel="00000000" w:rsidR="00000000" w:rsidRPr="00000000">
        <w:rPr>
          <w:rtl w:val="0"/>
        </w:rPr>
        <w:t xml:space="preserve">. Tese (Doctor of Philosophy) — University of Strathclyde, Glasgow, 2000.</w:t>
      </w:r>
    </w:p>
    <w:p w:rsidR="00000000" w:rsidDel="00000000" w:rsidP="00000000" w:rsidRDefault="00000000" w:rsidRPr="00000000" w14:paraId="00000466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SHEPPERD, M. </w:t>
      </w:r>
      <w:r w:rsidDel="00000000" w:rsidR="00000000" w:rsidRPr="00000000">
        <w:rPr>
          <w:b w:val="1"/>
          <w:bCs w:val="1"/>
          <w:rtl w:val="0"/>
        </w:rPr>
        <w:t xml:space="preserve">The cleaned NASA MDP data sets</w:t>
      </w:r>
      <w:r w:rsidDel="00000000" w:rsidR="00000000" w:rsidRPr="00000000">
        <w:rPr>
          <w:rtl w:val="0"/>
        </w:rPr>
        <w:t xml:space="preserve">. Thoughts on Empirical Software Engineering, 1 abr. 2018. Disponível em: https://empiricalsoftwareengineering.wordpress.com. Acesso em: 3 set. 2026.</w:t>
      </w:r>
    </w:p>
    <w:p w:rsidR="00000000" w:rsidDel="00000000" w:rsidP="00000000" w:rsidRDefault="00000000" w:rsidRPr="00000000" w14:paraId="00000467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SHEPPERD, M.; SONG, Q.; SUN, Z.; MAIR, C. Data quality: some comments on the NASA software defect datasets. </w:t>
      </w:r>
      <w:r w:rsidDel="00000000" w:rsidR="00000000" w:rsidRPr="00000000">
        <w:rPr>
          <w:b w:val="1"/>
          <w:bCs w:val="1"/>
          <w:rtl w:val="0"/>
        </w:rPr>
        <w:t xml:space="preserve">IEEE Transactions on Software Engineering</w:t>
      </w:r>
      <w:r w:rsidDel="00000000" w:rsidR="00000000" w:rsidRPr="00000000">
        <w:rPr>
          <w:rtl w:val="0"/>
        </w:rPr>
        <w:t xml:space="preserve">, v. 39, n. 9, p. 1208-1215, 2013.</w:t>
      </w:r>
    </w:p>
    <w:p w:rsidR="00000000" w:rsidDel="00000000" w:rsidP="00000000" w:rsidRDefault="00000000" w:rsidRPr="00000000" w14:paraId="00000468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STERMAN, J. D. </w:t>
      </w:r>
      <w:r w:rsidDel="00000000" w:rsidR="00000000" w:rsidRPr="00000000">
        <w:rPr>
          <w:b w:val="1"/>
          <w:bCs w:val="1"/>
          <w:rtl w:val="0"/>
        </w:rPr>
        <w:t xml:space="preserve">Business dynamics: systems thinking and modeling for a complex world</w:t>
      </w:r>
      <w:r w:rsidDel="00000000" w:rsidR="00000000" w:rsidRPr="00000000">
        <w:rPr>
          <w:rtl w:val="0"/>
        </w:rPr>
        <w:t xml:space="preserve">. Boston: Irwin/McGraw-Hill, 2000.</w:t>
      </w:r>
    </w:p>
    <w:p w:rsidR="00000000" w:rsidDel="00000000" w:rsidP="00000000" w:rsidRDefault="00000000" w:rsidRPr="00000000" w14:paraId="0000046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VAN BROEKHOVEN, E.; DE BAETS, B. Only smooth rule bases can generate monotone Mamdani-Assilian models under center-of-gravity defuzzification. </w:t>
      </w:r>
      <w:r w:rsidDel="00000000" w:rsidR="00000000" w:rsidRPr="00000000">
        <w:rPr>
          <w:b w:val="1"/>
          <w:bCs w:val="1"/>
          <w:rtl w:val="0"/>
        </w:rPr>
        <w:t xml:space="preserve">IEEE Transactions on Fuzzy Systems</w:t>
      </w:r>
      <w:r w:rsidDel="00000000" w:rsidR="00000000" w:rsidRPr="00000000">
        <w:rPr>
          <w:rtl w:val="0"/>
        </w:rPr>
        <w:t xml:space="preserve">, v. 17, n. 5, p. 1157-1174, out. 2009. DOI 10.1109/TFUZZ.2009.2023328.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character" w:styleId="TextodoEspaoReservado">
    <w:name w:val="Placeholder Text"/>
    <w:basedOn w:val="Fontepargpadro"/>
    <w:uiPriority w:val="99"/>
    <w:semiHidden w:val="1"/>
    <w:rsid w:val="00B11AB0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bksZen28oDauECf2TLFhX/wYw==">CgMxLjAaFAoBMBIPCg0IB0IJEgdHdW5nc3VoGhQKATESDwoNCAdCCRIHR3VuZ3N1aBoUCgEyEg8KDQgHQgkSB0d1bmdzdWgaEgoBMxINCgsIB0IHEgVDYXJkbxoUCgE0Eg8KDQgHQgkSB0d1bmdzdWgaEgoBNRINCgsIB0IHEgVDYXJkbzgAciExd1BMczJXdk9oYndHLUp2bENZUzlld1Ezc1pXTmU2U0M=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2026-09-07T12:03:00Z</dcterms:created>
  <dc:creator>Isadora Maria Carvalho Lopes</dc:creator>
</cp:coreProperties>
</file>