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UNIVERSIDADE FEDERAL DE MINAS GERAIS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Engenharia de Sistemas — Trabalho de Conclusão de Curso II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Pensamento sistêmico aplicado à gestão de equipes em projetos de engenharia: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metodologia e resultados iniciais da calibração empírica e da transferência ordinal de risco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Isadora Maria Carvalho Lopes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Orientador: Prof. André Batista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Belo Horizonte, setembro de 2026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 METODOLOGIA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1.1  Classificação e abordagem da pesquisa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Esta pesquisa fundamenta-se no método científico-tecnológico, caracterizando-se como pesquisa aplicada e experimental. Quanto à abordagem do problema, o estudo é quantitativo, pois as questões centrais do trabalho — se a complexidade de uma tarefa está associada à ocorrência de falhas, em que magnitude, e se essa associação é estável o bastante para ser transferida ordinalmente a outro domínio — são formuladas como hipóteses estatísticas sobre parâmetros populacionais e respondidas por estimação de efeitos, intervalos de confiança e testes de hipótese sobre bases de dados públicas.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Cabe uma delimitação metodológica desde já. O trabalho não busca construir o melhor classificador de módulos defeituosos, objetivo usual da literatura de predição de defeitos de software. Busca-se uma relação interpretável e ordinalmente transferível entre um nível de dificuldade técnica e um risco basal de retrabalho, a ser incorporada a um modelo de simulação de equipes de projeto. Essa diferença de objetivo é o que justifica privilegiar interpretabilidade e estabilidade sobre acurácia preditiva, e é o critério declarado que orienta todas as escolhas de modelagem descritas adiante.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procedimentos técnicos adotados baseiam-se na engenharia sistemática e em uma metodologia de desenvolvimento de sistemas organizada em ciclos de concepção, especificação, implementação e validação, aplicados de forma incremental a cada etapa do pipeline de dados.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1.2  Materiais, ferramentas e recursos de engenharia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Para o planejamento, a modelagem e a execução das atividades foram utilizados os seguintes recursos técnicos.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Ambientes de desenvolvimento e software: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Visual Studio Code 1.125 como ambiente de desenvolvimento; Git 2.49 para controle de versão, com repositório remoto privado no GitHub garantindo sincronização entre as duas estações de trabalho utilizadas; ambiente virtual Python isolado por projeto, com dependências declaradas em arquivo de requisitos versionado.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Linguagens, frameworks e bibliotecas: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Python 3.14 como linguagem de implementação. Bibliotecas: pandas 3.0.5 (manipulação tabular), NumPy 2.5.2 (álgebra numérica), SciPy 1.15 (distribuições e testes), statsmodels 0.15 (regressão logística, verossimilhança e inferência) e Matplotlib 3.10 (figuras). A etapa de auditoria dos arquivos brutos foi implementada exclusivamente com a biblioteca padrão, por decisão metodológica justificada na Seção 1.4.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Componentes de hardware e instrumentação: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não aplicável. O trabalho é integralmente computacional, baseado em análise secundária de bases públicas e em simulação.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Bases de dados e fontes de informação: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(i) NASA Metrics Data Program (MDP), nas versões limpas D′ e D″ disponibilizadas por Shepperd et al. (2013), utilizadas para a calibração da relação entre complexidade e defeito; (ii) NASA Promise Data Repository, versões brutas dos conjuntos CM1, JM1, KC1, KC2 e PC1, utilizadas como termo de comparação e para a auditoria de proveniência; (iii) PSPLIB, conjunto J60, com 480 instâncias de projeto, utilizado para a estrutura de execução — tarefas, precedências, durações e restrições de recursos; (iv) NASA Software Engineering Handbook, requisito SWE-220, e relatório NASA/TM-20205011566 (NESC), como fonte normativa dos limiares de complexidade ciclomática.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1.3  Processo de desenvolvimento do software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desenvolvimento seguiu um ciclo de engenharia incremental, no qual cada etapa do pipeline é implementada como um script independente, verificada isoladamente e só então integrada à etapa seguinte. A estrutura adotada é a seguinte.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Requisitos e restrições: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imutabilidade dos dados brutos; rastreabilidade de cada observação até o arquivo e a linha de origem; toda transformação realizada por código e registrada em log; distinção explícita entre o que provém da literatura, o que é decisão metodológica deste trabalho e o que é exploração.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Projeto e arquitetura: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separação entre camada de dados brutos (somente leitura), camada de processamento (scripts numerados na ordem de execução) e camada de saídas (tabelas, figuras e logs), conforme a Figura 1.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Implementação: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seis scripts em Python, executáveis de forma independente e em sequência, cada um documentando internamente o problema que resolve, sua entrada, sua saída, sua lógica, a origem de cada decisão e o critério de verificação do próprio resultado.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Verificação e ensaios: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cada script encerra com um bloco de verificações automáticas que compara seu resultado com invariantes conhecidas — totais que devem se conservar, chaves que devem ser únicas, ausências que não podem existir, propriedades matemáticas que devem valer. Uma verificação que falha interrompe a execução com código de erro, de modo que uma etapa defeituosa não alimenta silenciosamente a seguinte.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1.4  Procedimentos experimentais e coleta de dados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dados foram extraídos de forma integralmente automatizada, por meio dos scripts descritos, a partir dos arquivos originais dos repositórios públicos. Nenhum arquivo bruto foi editado em momento algum: todas as transformações produzem arquivos derivados, e a integridade dos originais é verificável por resumo criptográfico SHA-256 calculado a cada execução. O repositório está configurado para preservar os bytes originais dos arquivos de dados, impedindo que o sistema de controle de versão converta terminadores de linha e altere fisicamente os arquivos entre as duas estações de trabalho — precaução sem a qual a verificação por resumo criptográfico deixaria de ser reproduzível.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etapa de auditoria foi implementada sem bibliotecas de leitura de alto nível, com uso exclusivo da biblioteca padrão do Python. A justificativa é metodológica: leitores de dados de alto nível convertem tipos, tratam valores ausentes e descartam registros malformados de maneira silenciosa, o que destruiria precisamente a evidência que a auditoria pretende coletar. A partir da etapa de consolidação, com os dados já caracterizados, o uso de bibliotecas de análise passa a ser adequado.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condições controladas dos ensaios são as seguintes: a base de análise é fixa (17.377 observações de 12 projetos); a unidade de observação é o módulo de software; o desfecho é binário (módulo defeituoso ou não); o efeito do projeto de origem é sempre incluído nos modelos, de modo que nenhuma associação seja atribuída a uma métrica quando puder ser explicada pela procedência da observação; e todos os testes de robustez — sensibilidade aos pontos de corte e validação por exclusão sucessiva de projetos — são executados sobre a mesma base, sem reamostragem aleatória, o que torna os resultados determinísticos e reproduzíveis bit a bit.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1.5  Modelagem do sistema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objeto construído é um modelo híbrido que acopla Dinâmica de Sistemas e Modelagem Baseada em Agentes, especificado na fase conceitual deste trabalho. O ecossistema é povoado por duas classes de agentes. O Agente Gestor controla um vetor dinâmico de restrições, composto pela pressão de cronograma P(t), pela restrição orçamentária Ω e pela topologia do fluxo de trabalho W, em que cada nó guarda uma dificuldade técnica Dᵢ. O Agente Engenheiro é caracterizado por um vetor contínuo de atributos que evoluem ao longo da simulação: competência técnica C(t), bateria cognitiva B(t), disponibilidade a(t), taxa de resposta na rede R(t), confiança mútua τ(t) e limiar de saturação da atenção τ_sat.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grandeza que engatilha as transições de estado é o esforço cognitivo exigido pela tarefa, que cresce com a dificuldade técnica e com a pressão de cronograma, e é aliviado pela capacidade cognitiva disponível: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E(t) = Dᵢ · P(t) / B(t)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índice de dificuldade técnica da tarefa i;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P(t)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pressão de cronograma imposta pelo gestor;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B(t)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bateria cognitiva disponível do agente.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Quando existe hiato de competência e o agente recorre à rede, a transferência lateral de conhecimento produz incremento de competência ao custo de tempo, conforme a formulação de Crowder, Robinson e Hughes (2012):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ΔC = [ 15 + 3 ( C_k − C ) ] / 100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(2)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Procedência dos coeficientes.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escalares 15 e 3 não são premissas deste trabalho: integram a formulação publicada por Crowder, Robinson e Hughes (2012), na qual o primeiro representa o incremento base de assimilação por interação bem-sucedida e o segundo pondera o ganho adicional pelo hiato técnico entre provedor e receptor. São reproduzidos sem alteração. O que este trabalho decide, e declara como decisão própria, é o contexto em que a equação opera.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 formulação original: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equação e seus dois coeficientes, tal como publicados.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Adaptação declarada nesta implementação: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os autores estabelecem que o incremento é limitado ao intervalo de zero a três décimos, que a competência resultante não ultrapassa a dificuldade da subtarefa, e que, concluída a subtarefa, a competência do agente RETORNA ao valor de partida, por entenderem que parte da competência é específica da subtarefa. A implementação atual não reproduz esse retorno: o ganho obtido com o apoio permanece entre tarefas. Trata-se de adaptação da dinâmica original, e é assim que deve ser lida — não como correção nem como aperfeiçoamento. Nenhum teste foi executado nesta entrega para comparar as duas dinâmicas, e por isso nada se afirma sobre qual delas representa melhor o fenômeno. A avaliação está registrada como pendência para a etapa seguinte.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Decisão de operacionalização deste trabalho: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exigência adicional de que o agente que presta apoio seja mais competente que o solicitante, discutida na Seção 2.10, e a seleção de um único apoiador por evento, onde a formulação original admite múltiplos respondentes com ganhos acumulados.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saturação individual e o atrito na rede traduzem-se em multiplicadores adimensionais no intervalo [0,1], obtidos por inferência difusa — fuzzificação dos estados contínuos de fadiga e atrito por funções de pertinência, avaliação por regras e defuzzificação —, procedimento proposto e ilustrado por Liu, Triantis e Sarangi (2011) para representar variáveis qualitativas em Dinâmica de Sistemas. Registre-se que os autores propõem e demonstram o método em aplicação, sem estabelecer validação geral dele; a adoção aqui é, portanto, de um procedimento proposto na literatura, e não de um procedimento validado. A produtividade efetiva resulta da modulação da produtividade nominal por esses multiplicadores: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PR_efetiva = PR_nominal · μ_cognitivo · μ_rede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(3)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válvula que alimenta o estoque de retrabalho oculto é regida pela equação de falhas, na qual o risco basal da tarefa soma-se a uma parcela que cresce à medida que a degradação cognitiva avança: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TGE = PR_efetiva · ( F_base + R_error · ( 1 − μ_cognitivo )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(4)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F_base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risco basal de falha associado à dificuldade da tarefa;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R_error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taxa de erro adicional sob degradação cognitiva.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métrica terminal agrega os quatro relógios do projeto na fração do esforço contabilizado que corresponde a trabalho produtivo, razão entre o tempo de trabalho efetivo e a soma dos quatro relógios: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E_total = Σ TWᵢ / Σ ( TWᵢ + TLᵢ + TUᵢ + TRᵢ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(5)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TWᵢ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tempo de trabalho efetivo na tarefa i;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TLᵢ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tempo de espera por suporte técnico;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TUᵢ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tempo improdutivo por adiamento ou indisponibilidade da rede;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TRᵢ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esforço de retrabalho contabilizado, decorrente de falhas detectadas. Não ocupa agente nem avança o cronograma na implementação atual (ver Seção 2.8).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execução temporal dessas equações é governada por uma árvore de decisão de três portas, avaliada a cada passo. A Porta 1 detecta sobrecarga: quando o esforço exigido supera o limiar de saturação, o agente transita para processamento heurístico e, conforme o nível da restrição orçamentária, ou adia a tarefa ou a conclui com erro, injetando no estoque de retrabalho oculto uma parcela proporcional ao excesso sobre o limiar. A Porta 2 trata o hiato de competência, disparando requisição à rede e aplicando a equação (2) caso exista agente disponível e com confiança mútua suficiente. A Porta 3 corresponde à execução analítica nominal, acionada quando não há sobrecarga nem hiato de competência.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Os três estoques.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camada de dinâmica de sistemas do modelo é composta por três estoques, cujas taxas de entrada e saída são alimentadas pelas decisões dos agentes. O desgaste cognitivo acumulado (S_DC) acumula a drenagem da bateria cognitiva de todos os agentes e mede o custo cognitivo total incorrido pela equipe. O progresso validado (S_PV) acumula a duração nominal das tarefas concluídas sem defeito, e é a única medida de avanço que o modelo considera legítima: uma tarefa concluída com defeito oculto não incrementa esse estoque, ainda que o cronograma a registre como pronta. A dívida técnica latente (S_UR) acumula o esforço de retrabalho que já foi gerado mas ainda não foi detectado, medido em períodos de trabalho futuro; é o estoque que materializa a diferença entre progresso aparente e progresso real.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separação entre S_PV e o simples número de tarefas concluídas é o mecanismo pelo qual o modelo representa a patologia central que o trabalho investiga: sob pressão, a equipe continua a marcar tarefas como concluídas enquanto S_PV estagna e S_UR cresce, de modo que o painel de controle do projeto melhora exatamente enquanto o projeto piora.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Portas de decisão.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cada período, para cada tarefa elegível, o agente designado percorre uma árvore de três portas. A Porta 1 corresponde ao modo heurístico: acionada quando o esforço percebido excede o limiar de saturação, ela executa a tarefa com custo cognitivo elevado e probabilidade de defeito aumentada, e é a porta pela qual o defeito tende a ficar oculto. A Porta 2 corresponde ao adiamento: o agente reconhece que não dispõe de condições para executar a tarefa e a devolve à fila, incorrendo em tempo improdutivo. A Porta 3 corresponde à execução analítica: o agente executa a tarefa em modo deliberado, com custo cognitivo menor e risco de defeito reduzido ao patamar basal da faixa de dificuldade. A probabilidade de transição entre os modos é estocástica e governada pela Equação 6.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p_heurístico = 1 / ( 1 + exp[ − ( E − τ_sat ) / s ]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(6)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esforço percebido, conforme Equação 1;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τ_sat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limiar de saturação cognitiva do agente;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parâmetro de suavidade da transição.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formulação estocástica foi adotada porque o texto do TCC I descreve a transição como estocástica enquanto o pseudocódigo a escreve como limiar determinístico. Com s tendendo a zero a Equação 6 recupera o limiar determinístico, de modo que as duas leituras passam a ser alternativas testáveis por análise de sensibilidade em vez de escolhas arbitrárias.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1.6  Sistema de inferência difusa e garantia de monotonicidade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multiplicadores de produtividade μ_cognitivo e μ_rede são produzidos por um sistema de inferência difusa de Mamdani–Assilian com duas entradas, três termos linguísticos triangulares por variável, base completa de nove regras e defuzzificação por centroide, seguindo a prática consolidada de acoplar lógica difusa a modelos de dinâmica de sistemas (LIU; TRIANTIS; SARANGI, 2011). Esta estrutura é decisão do TCC II, e não herança da fase conceitual: o TCC I anuncia o emprego de lógica difusa e cita exemplos — funções de pertinência triangulares e inferência pelo método máx-mín —, mas não define quais variáveis entram, quantos termos linguísticos cada uma tem, qual é a base de regras nem o método de defuzzificação. A escolha aqui adotada inclusive DIVERGE do exemplo citado na fase conceitual: a t-norma mínimo foi substituída pela t-norma produto, pela razão exposta adiante nesta seção.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Requisito de monotonicidade.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saída do sistema é um multiplicador de produtividade. Exige-se, portanto, que ela seja monotonicamente não crescente em ambas as entradas: a produtividade não pode aumentar quando a fadiga ou a pressão aumentam. Trata-se de requisito estrutural do modelo, e não de preferência estética; sua violação tornaria possível que uma equipe mais fatigada produzisse mais.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implementação inicial, fiel à especificação conceitual, empregava a t-norma mínimo, isto é, a inferência conhecida como Max-Min. A superfície resultante apresentou regiões de derivada positiva. O refinamento sucessivo da malha de integração mostrou que o efeito não era artefato de discretização: a violação escalava linearmente com o passo da malha, convergindo para uma derivada positiva máxima de aproximadamente 0,26.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A causa é um resultado formal.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Van Broekhoven e De Baets (2009) demonstram que a monotonicidade de modelos de Mamdani–Assilian sob defuzzificação por centroide não decorre de a base de regras ser monótona, e enumeram as cinco únicas configurações para as quais a garantia existe. Para modelos de duas entradas há uma única configuração garantida: t-norma produto com base de regras monótona e suave. A combinação de duas entradas com t-norma mínimo não figura entre elas. A não monotonicidade observada não era, portanto, defeito de implementação nem ruído numérico, mas o comportamento previsto pela teoria para a configuração escolhida.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Duas premissas do teorema foram verificadas por código sobre a base de regras adotada. A primeira, de que a base seja monótona e suave nos termos das Definições 2.1 e 2.2 dos autores, já era satisfeita: as diferenças de índice de consequente entre regras vizinhas são todas nulas ou unitárias. A segunda, de que os termos de saída constituam uma partição difusa, não era satisfeita pelos conjuntos originalmente adotados, cujas pertinências somavam entre zero e um ao longo do domínio.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Decisão metodológica.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Adotou-se a configuração garantida: t-norma produto e partição difusa uniforme na saída. A configuração originalmente especificada foi mantida como valor alternativo do parâmetro declarado t_norma e é executada em varredura, de modo que a diferença entre as duas seja medida e não decretada. A Tabela 1 apresenta a medição sobre malha de 161 por 161 pontos.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 – Maior derivada positiva da superfície difusa por configuração de inferência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5230"/>
        <w:gridCol w:w="1920"/>
        <w:gridCol w:w="1920"/>
      </w:tblGrid>
      <w:tr>
        <w:trPr>
          <w:tblHeader/>
        </w:trPr>
        <w:tc>
          <w:tcPr>
            <w:tcW w:type="dxa" w:w="523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Configuração</w:t>
            </w:r>
          </w:p>
        </w:tc>
        <w:tc>
          <w:tcPr>
            <w:tcW w:type="dxa" w:w="192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Garantida pelo teorema</w:t>
            </w:r>
          </w:p>
        </w:tc>
        <w:tc>
          <w:tcPr>
            <w:tcW w:type="dxa" w:w="192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Maior derivada positiva</w:t>
            </w:r>
          </w:p>
        </w:tc>
      </w:tr>
      <w:tr>
        <w:tc>
          <w:tcPr>
            <w:tcW w:type="dxa" w:w="52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t-norma mínimo com conjuntos originais (especificação conceitual)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0,258112</w:t>
            </w:r>
          </w:p>
        </w:tc>
      </w:tr>
      <w:tr>
        <w:tc>
          <w:tcPr>
            <w:tcW w:type="dxa" w:w="52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t-norma produto com conjuntos originais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0,000000</w:t>
            </w:r>
          </w:p>
        </w:tc>
      </w:tr>
      <w:tr>
        <w:tc>
          <w:tcPr>
            <w:tcW w:type="dxa" w:w="52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t-norma mínimo com partição difusa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0,420881</w:t>
            </w:r>
          </w:p>
        </w:tc>
      </w:tr>
      <w:tr>
        <w:tc>
          <w:tcPr>
            <w:tcW w:type="dxa" w:w="52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t-norma produto com partição difusa (configuração adotada)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0,000000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A garantia corresponde à linha 4 da Tabela IX de Van Broekhoven e De Baets (2009).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configuração adotada é exatamente monótona dentro da precisão da integração numérica, com derivada positiva máxima da ordem de 10⁻¹⁴. O critério de verificação deixou de ser uma tolerância arbitrada por este trabalho e passou a ser a previsão do teorema. A verificação exige, adicionalmente, que a configuração de t-norma mínimo continue violando a monotonicidade: caso deixasse de violar, o diagnóstico estaria incorreto e a substituição da t-norma perderia justificativa.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adoção da partição uniforme teve um efeito colateral favorável ao rigor do modelo: os centros dos termos de saída passaram a ser estruturais, com núcleos em zero, meio e um, e dois parâmetros anteriormente arbitrados deixaram de existir.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1.7  Instrumental de calibração empírica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equações anteriores descrevem o modelo; as seguintes descrevem os métodos empregados para estimar, a partir de dados observados, os parâmetros Dᵢ e F_base que nelas aparecem. As equações (7) a (10) constituem o instrumental estatístico; as (11) a (13), os parâmetros de delineamento das instâncias; e as (14) a (20), a construção do índice de dificuldade e a transferência de risco entre domínios.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associação entre métricas e ocorrência de defeito é modelada por regressão logística. Como o desfecho é binário, modela-se o logaritmo da chance, e não a probabilidade — esta é limitada ao intervalo [0,1], que uma função linear extrapolaria: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ln [ p / ( 1 − p ) ] = β₀ + β₁x₁ + β₂x₂ + … + βₚxₚ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(7)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probabilidade de o módulo ser defeituoso;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xᵢ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variáveis explicativas, incluindo o projeto de origem como fator;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βᵢ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coeficientes estimados por máxima verossimilhança.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interpretação dos coeficientes dá-se pela razão de chances, que exprime por quanto a chance de defeito é multiplicada a cada aumento unitário na variável, mantidas as demais constantes: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RC = exp(β)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(8)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comparação entre modelos aninhados emprega o teste da razão de verossimilhança, cuja estatística segue aproximadamente uma distribuição qui-quadrado com graus de liberdade iguais ao número de parâmetros adicionais: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LR = 2 ( ℓ_completo − ℓ_reduzido )  ~  χ² ( gl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(9)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diagnóstico de multicolinearidade utiliza o fator de inflação da variância, obtido da regressão auxiliar de cada variável contra as demais: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VIFⱼ = 1 / ( 1 − R²ⱼ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(10)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três parâmetros de delineamento das instâncias do PSPLIB, conforme Kolisch, Sprecher e Drexl (1995), são a complexidade de rede, o fator de recursos e a força de recursos: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NC = | A | / | V |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(11)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| A |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número de arcos de precedência;  | V | — número de atividades, incluindo as fictícias.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RF = ( 1/n ) · Σⱼ [ ( 1/K ) · Σₖ 1{ rⱼₖ &gt; 0 } 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(12)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n, 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número de atividades reais e de tipos de recurso;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rⱼₖ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demanda da atividade j pelo recurso k;  1{·} — função indicadora.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RSₖ = ( aₖ − rₖᵐⁱⁿ ) / ( rₖᵐᵃˣ − rₖᵐⁱⁿ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(13)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aₖ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disponibilidade do recurso k;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rₖᵐⁱⁿ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maior demanda individual, menor disponibilidade que mantém o problema viável;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rₖᵐᵃˣ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pico de demanda no cronograma de inícios mais cedo.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criticidade de cada atividade é medida pela folga total, obtida das passagens para frente e para trás do método do caminho crítico: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folgaⱼ = LSⱼ − ESⱼ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(14)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ESⱼ, LSⱼ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início mais cedo e início mais tarde admissível sem atrasar o projeto.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índice de dificuldade técnica compõe três grandezas, normalizadas para [0,1] dentro de cada instância: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dⱼ = ( durⱼ − dur_mín ) / ( dur_máx − dur_mín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(15)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rⱼ = ( 1/K ) · Σₖ ( rⱼₖ / aₖ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(16)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cⱼ = 1 − folga_normⱼ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(17)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sendo o índice a combinação ponderada dos três componentes: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Dⱼ = w₁ dⱼ + w₂ rⱼ + w₃ cⱼ ,   com  w₁ + w₂ + w₃ = 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(18)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pesos são tratados como suposição de partida, fixados em 1/3 cada, e submetidos a análise de sensibilidade conforme reportado na Seção 2.5.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transferência de risco entre domínios opera sobre razões, e não sobre níveis absolutos. Para cada nível ordinal ℓ, a razão de risco é estimada na base NASA em relação ao nível de referência ℓ₀: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RR( ℓ ) = F( ℓ ) / F( ℓ₀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(19)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 o risco basal atribuído a uma tarefa do PSPLIB no nível ℓ resulta do produto dessa razão por uma taxa basal do domínio de engenharia: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F_base( ℓ ) = F_âncora × RR( ℓ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(20)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F(ℓ)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frequência de defeito observada no nível ℓ da base NASA;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ℓ₀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nível de referência, correspondente à dificuldade mais baixa;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F_âncora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taxa basal de retrabalho do domínio de engenharia; parâmetro do modelo, não estimado neste trabalho.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1.8  Calibração do modelo e avaliação de identificabilidade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modelo contém parâmetros que não são diretamente observáveis. Duas perguntas distintas precisam de resposta: qual o procedimento que os fixa a partir de dados, e qual a evidência de que esse procedimento de fato os identifica. Responder apenas à primeira entregaria um algoritmo em execução, sem demonstração de que ele extrai informação.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Procedimento.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Adotou-se o History Matching (ANDRIANAKIS et al., 2015). Em vez de buscar um vetor ótimo de parâmetros, o método descarta do espaço tudo o que é implausível à luz dos dados, e devolve um conjunto — designado NROY, do inglês not ruled out yet — em lugar de uma estimativa pontual. A medida de implausibilidade de cada saída e a regra de descarte são dadas pelas Equações 21 e 22.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I_j( x ) = | z_j − f̄_j( x ) | / √( V_obs,j + V_sim,j + V_mod,j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(21)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I( x ) = máx_j I_j( x ) ,   x ∈ NROY  ⟺  I( x ) ≤ 3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(22)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z_j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valor observado da saída j;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f̄_j(x)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média do simulador na saída j sob o vetor de parâmetros x;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V_obs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variância da observação;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V_sim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variância da média do simulador, decorrente da estocasticidade;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V_mod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variância de discrepância entre modelo e realidade.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corte em três desvios não é escolha deste trabalho. Pela desigualdade de Vysochanskii–Petunin, para distribuições unimodais dotadas de densidade e com variância finita, ao menos noventa e cinco por cento da massa de probabilidade situa-se a menos de três desvios da média (PUKELSHEIM, 1994), de modo que descartar valores com implausibilidade superior a três raramente descarta o vetor verdadeiro. As condições do resultado são registradas porque o corte se apoia nelas: a desigualdade não vale para uma distribuição unimodal qualquer.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Dispensa do emulador.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literatura de History Matching recorre a emuladores estatísticos porque o simulador que se deseja calibrar costuma ser caro. O simulador aqui construído custa cerca de um décimo de segundo por execução, e o delineamento completo, com três mil e duzentas execuções, conclui em minutos. Avalia-se o simulador diretamente. A decisão elimina o termo de erro de emulação da Equação 21, isto é, remove uma aproximação em vez de acrescentá-la. Caso o modelo venha a encarecer, o emulador pode ser introduzido sem alteração do restante do procedimento.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Teste do gêmeo idêntico.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Para verificar se o procedimento identifica parâmetros, empregou-se o teste do gêmeo idêntico (McCULLOCH et al., 2022): geram-se observações sintéticas a partir de um vetor de parâmetros conhecido, executa-se a calibração sem informar esse vetor, e verifica-se se o conjunto NROY resultante o contém. Duas precauções de desenho foram adotadas. O vetor verdadeiro foi posicionado deliberadamente fora do centro das faixas, pois um alvo situado no meio do espaço não testa as bordas do procedimento. E as sementes aleatórias que geram as observações sintéticas são disjuntas das utilizadas pelo simulador durante a calibração; sem essa separação, o teste compararia ruído idêntico consigo mesmo e seria aprovado trivialmente.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Limitação a declarar.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No teste do gêmeo idêntico o modelo é, por construção, a própria verdade, de modo que a variância de discrepância V_mod é nula. O teste é, portanto, otimista: mede se o procedimento identifica parâmetros no cenário mais favorável concebível. A reprovação nele condenaria o procedimento, mas a aprovação não garante desempenho equivalente diante de dados reais, situação em que V_mod é positiva e precisa ser especificada. Essa assimetria é mantida explícita na leitura dos resultados.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1.9  Matriz de cenários e desenho experimental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experimento central do trabalho contrasta dois arranjos de governança submetidos a condições externas idênticas. A Tabela 2 apresenta os parâmetros organizacionais que os distinguem. Todos os demais elementos — instâncias de projeto, índice de dificuldade das tarefas, disponibilidade de recursos e função de pressão — são idênticos entre os braços, e constituem o controle experimental.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2 – Matriz de cenários: parâmetros organizacionais que distinguem os arranjos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100"/>
        <w:gridCol w:w="1500"/>
        <w:gridCol w:w="1500"/>
        <w:gridCol w:w="3970"/>
      </w:tblGrid>
      <w:tr>
        <w:trPr>
          <w:tblHeader/>
        </w:trPr>
        <w:tc>
          <w:tcPr>
            <w:tcW w:type="dxa" w:w="21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Parâmetro</w:t>
            </w:r>
          </w:p>
        </w:tc>
        <w:tc>
          <w:tcPr>
            <w:tcW w:type="dxa" w:w="15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15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Adaptativa</w:t>
            </w:r>
          </w:p>
        </w:tc>
        <w:tc>
          <w:tcPr>
            <w:tcW w:type="dxa" w:w="39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Interpretação organizacional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τ_inicial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0,80</w:t>
            </w:r>
          </w:p>
        </w:tc>
        <w:tc>
          <w:tcPr>
            <w:tcW w:type="dxa" w:w="3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confiança inicial na rede de pares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τ_mín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0,60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</w:t>
            </w:r>
          </w:p>
        </w:tc>
        <w:tc>
          <w:tcPr>
            <w:tcW w:type="dxa" w:w="3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limiar de confiança para conceder ajuda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p_reporte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0,15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3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probabilidade de reportar defeito em vez de ocultá-lo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p_detecção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0,03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0,12</w:t>
            </w:r>
          </w:p>
        </w:tc>
        <w:tc>
          <w:tcPr>
            <w:tcW w:type="dxa" w:w="3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probabilidade de a dívida oculta aflorar por período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 (2026), a partir de config/parametros.yaml.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Quatro parâmetros variam simultaneamente.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dois arranjos diferem em todos os quatro parâmetros organizacionais, e não apenas na probabilidade de reporte. Essa é uma limitação de delineamento que precisa ser declarada: um contraste que move quatro variáveis ao mesmo tempo não permite atribuir o efeito observado a nenhum mecanismo isolado. O experimento compara dois PACOTES de governança, e é assim que deve ser lido. A decomposição do efeito exige ablação, executada e apresentada na Seção 2.9 — cujo resultado obriga a qualificar parte da leitura mecanística deste experimento.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Sobre a probabilidade de detecção.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probabilidade de a dívida oculta aflorar por período é quatro vezes maior no arranjo adaptativo. Ela não é, portanto, uma constante do ambiente: é parte do pacote de governança, e responde pela diferença no tempo que o projeto passa aguardando o afloramento de defeitos já cometidos. Uma versão anterior deste documento afirmava que esse parâmetro era idêntico entre os braços e que não constituía variável de governança; a afirmação era falsa e foi corrigida.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Segurança psicológica como mecanismo.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probabilidade de reporte de defeito operacionaliza a noção de segurança psicológica: em um arranjo centralizado, o agente que detecta um defeito próprio antecipa custo pessoal ao reportá-lo e tende a ocultá-lo, alimentando o estoque de dívida técnica latente; em um arranjo adaptativo, o mesmo agente reporta, e o retrabalho é pago imediatamente e de forma visível. A relação entre segurança psicológica e disposição a reportar erros é sustentada na fase conceitual deste trabalho, que a apoia em literatura própria de comportamento organizacional. Esta entrega, porém, NÃO auditou essas fontes primárias, e elas não constam das referências aqui listadas. Em consequência, a relação é apresentada como PREMISSA DE MODELAGEM herdada da fase conceitual, e não como resultado estabelecido da literatura, e a verificação das fontes correspondentes fica registrada como pendência bibliográfica para a etapa seguinte. O que esta entrega afirma é apenas o que mediu: dado o parâmetro, como o modelo se comporta. O modelo não presume qual arranjo é superior; a diferença de desempenho emerge da interação entre ocultação, acúmulo de dívida e pressão de prazo.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Delineamento pareado.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Cada par de execuções emprega a mesma instância e a mesma semente aleatória nos dois braços. A variação atribuível à instância e ao sorteio é, portanto, comum aos dois e cancela-se na diferença, o que eleva substancialmente a potência estatística em relação a um delineamento independente de mesmo tamanho. A inferência emprega o teste de Wilcoxon para amostras pareadas, e não o teste t, porque as saídas do modelo são assimétricas e limitadas inferiormente por zero. O tamanho de efeito é reportado pelo d de Cohen pareado e pela proporção de pares favoráveis, uma vez que, com centenas de pares, o valor-p isoladamente não distingue diferença relevante de diferença meramente detectável.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1.10  Pontos de acoplamento entre a calibração e o modelo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duas formulações anteriores encontram-se em dois pontos precisos, e é esse encontro que define o escopo da presente entrega.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Primeiro acoplamento.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índice Dᵢ, construído pela equação (18) sobre as 28.800 tarefas do PSPLIB J60, é exatamente a grandeza que aparece no numerador da equação (1). Antes desta etapa, a dificuldade técnica das tarefas seria um parâmetro arbitrado; ela passa a ser derivada de grandezas medidas nas próprias instâncias.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Segundo acoplamento.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risco basal F_base, obtido pela equação (20) a partir da calibração sobre a base NASA, é o termo que aparece na equação de falhas (4), governando a válvula que alimenta o estoque de retrabalho oculto. Antes desta etapa, esse risco seria uma suposição; ele passa a ser um gradiente estimado empiricamente, com incerteza quantificada, ainda que ancorado a uma taxa basal a definir.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resultados apresentados no capítulo seguinte referem-se integralmente a esses dois acoplamentos. Os demais componentes do modelo — a inferência difusa que produz μ_cognitivo e μ_rede, a árvore de decisão de três portas, os estoques e a integração temporal — encontram-se implementados e verificados, e são eles que produzem os resultados das Seções 2.7 a 2.11; a Seção 2.7 relaciona as verificações executadas sobre cada um.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 RESULTADOS INICIAIS E DISCUSSÃO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2.1  Arquitetura e implementação da solução inicial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primeira versão funcional do pipeline de dados foi concluída e verificada. Os requisitos essenciais de rastreabilidade, imutabilidade e verificação automática foram atendidos. A Figura 1 apresenta a arquitetura implementada, organizada em três camadas: dados brutos imutáveis, scripts de processamento e saídas auditáveis.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1 – Arquitetura do pipeline de dados implementado</w:t>
      </w:r>
    </w:p>
    <w:p>
      <w:pPr>
        <w:spacing w:after="40" w:before="200"/>
        <w:jc w:val="center"/>
      </w:pPr>
      <w:r>
        <w:drawing>
          <wp:inline distT="0" distB="0" distL="0" distR="0">
            <wp:extent cx="5581650" cy="3533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Como verificação independente de reprodutibilidade, o pipeline foi executado em dois ambientes computacionais distintos — sistemas operacionais e versões de biblioteca diferentes — produzindo resultados numericamente idênticos em todas as etapas.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2.2  Métricas de desempenho e resultados dos ensaios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ensaios iniciais avaliaram três dimensões: a integridade dos dados de entrada, a fidelidade da base de análise em relação ao procedimento publicado que a gerou, e a magnitude e a estabilidade das associações estatísticas de interesse. A Tabela 3 consolida os indicadores obtidos.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3 – Indicadores de desempenho obtidos nos ensaios iniciais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1750"/>
        <w:gridCol w:w="2550"/>
        <w:gridCol w:w="3170"/>
        <w:gridCol w:w="1600"/>
      </w:tblGrid>
      <w:tr>
        <w:trPr>
          <w:tblHeader/>
        </w:trPr>
        <w:tc>
          <w:tcPr>
            <w:tcW w:type="dxa" w:w="17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Módulo</w:t>
            </w:r>
          </w:p>
        </w:tc>
        <w:tc>
          <w:tcPr>
            <w:tcW w:type="dxa" w:w="25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Parâmetro analisado</w:t>
            </w:r>
          </w:p>
        </w:tc>
        <w:tc>
          <w:tcPr>
            <w:tcW w:type="dxa" w:w="31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Valor / métrica medida</w:t>
            </w:r>
          </w:p>
        </w:tc>
        <w:tc>
          <w:tcPr>
            <w:tcW w:type="dxa" w:w="16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01 – Auditoria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Cobertura e integridade dos arquivos brutos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23 arquivos, 49.942 observações; resumo SHA-256 por arquivo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01 – Auditoria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Correspondência entre pares ARFF e CSV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 de 5 pares equivalentes; JM1 divergente (10.885 vs. 13.204 registros)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Anomalia identificada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03 – Validação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Reprodução de D′ para D″ pelo algoritmo publicado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 de 12 conjuntos reproduzidos no conjunto de módulos preservados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03 – Validação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Resíduo não explicado pelo pseudocódigo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46 de 17.377 registros (0,26%), restritos à escolha do rótulo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Documentado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02 – Consolidação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Base única com rastreabilidade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17.377 observações, 12 projetos, 20 métricas, 0 valores ausentes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04 – Modelagem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Ganho explicativo da complexidade sobre o efeito de projeto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LR = 639,8; gl = 1; p ≈ 3,6 × 10⁻¹⁴¹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04 – Modelagem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Efeito da complexidade ciclomática controlando o tamanho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RC = 0,944; IC 95% [0,870; 1,024]; p = 0,17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 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04 – Modelagem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Multicolinearidade entre métricas (VIF)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HALSTEAD_EFFORT = 23,1; HALSTEAD_DIFFICULTY = 15,2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Métricas excluídas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05 – F_base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Ordenação do risco por faixa de complexidade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0,147 / 0,285 / 0,348 / 0,439; tendência z = 25,6; p ≈ 1,8 × 10⁻¹⁴⁴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05 – F_base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Sensibilidade aos pontos de corte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Ordenação monotônica preservada em 5 de 5 esquemas testados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05 – F_base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Validação por exclusão sucessiva de projetos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Monotonicidade em 12 de 12 reamostragens; amplitude máxima 0,087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 – Auditoria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Integridade estrutural das instâncias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480 arquivos; 62 nós e 4 recursos renováveis em todos; 480/480 grafos acíclicos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 – Auditoria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Reconstrução do delineamento experimental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Fatorial 3 × 4 × 4 = 48 células completo e balanceado, 10 instâncias por célula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 – Índice Di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Ortogonalidade entre os componentes do índice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Spearman entre duração, intensidade e criticidade: −0,004; 0,003; 0,193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 – Índice Di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Adequação da medida de criticidade prevista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Contagem de sucessores × folga total: Spearman 0,116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Substituída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 – Índice Di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Sensibilidade da ordenação aos pesos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Menor correlação de ordenação entre 6 esquemas: 0,847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Transferência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Gradiente de risco NASA → J60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RR = 1,00 / 1,94 / 2,37 / 2,99; IC 95% por bootstrap de projetos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Transferência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Viés da correspondência direta de rótulos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Inflação de 1,74× no risco médio, por artefato do tamanho dos estratos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Método descartado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Pipeline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Reprodutibilidade entre ambientes distintos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Resultados numericamente idênticos em duas execuções independentes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RC = razão de chances; LR = estatística do teste da razão de verossimilhança; VIF = fator de inflação da variância.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2.3  Discussão científica preliminar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solução comporta-se de maneira estável sob as condições de ensaio. Três resultados merecem discussão.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Qualidade e proveniência dos dados.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auditoria confirmou empiricamente as advertências de Shepperd et al. (2013) quanto à circulação de versões divergentes dos conjuntos NASA. Os cinco pares de arquivos do repositório Promise reproduzem exatamente as contagens tabuladas pelos autores, exceto o JM1: o arquivo em formato ARFF contém 10.885 registros, coincidindo com o catalogado, enquanto o arquivo CSV homônimo contém 13.204. Os dois arquivos compartilham praticamente o mesmo conjunto de observações distintas, diferindo na multiplicidade das repetições, o que indica que um deles já passou por remoção parcial de duplicatas antes de ser distribuído como bruto. A versão CSV foi, por isso, descartada.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Fidelidade da base de análise.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Optou-se por utilizar a versão D″ publicada, e não por reproduzir a limpeza a partir dos dados brutos, porque o algoritmo dos autores pressupõe atributos (MODULE_ID, ERROR_DENSITY e ERROR_COUNT) ausentes das versões do repositório Promise disponíveis: aplicá-lo a essas versões constituiria adaptação, não replicação. Essa decisão exigia, contudo, verificar que os arquivos D″ são o que declaram ser. Dispondo também da versão D′, aplicaram-se a ela os dois passos do algoritmo que distinguem uma versão da outra — remoção de casos idênticos e de casos inconsistentes. O conjunto de módulos preservados foi reproduzido exatamente nos 12 conjuntos. Registrou-se, entretanto, uma discrepância: sob a leitura literal do pseudocódigo, que determina remover ambos os membros de um par inconsistente, apenas 4 dos 12 conjuntos são reproduzidos; sob a interpretação de que se preserva um representante por vetor de atributos, os 12 são reproduzidos em contagem. O resíduo restante — 46 registros, ou 0,26% da base — restringe-se a qual rótulo foi mantido nos grupos conflitantes. Conclui-se que os arquivos distribuídos são consistentes com o procedimento publicado quanto aos módulos selecionados, mas não seguem literalmente o pseudocódigo quanto ao tratamento do rótulo. O achado é registrado como limitação conhecida e quantificada da base, e é ele próprio um exemplo do problema de documentação de pré-processamento que os autores denunciam.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Complexidade, tamanho e risco.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resultado de maior consequência para o trabalho é negativo e foi obtido pelo teste que a metodologia previa. Isoladamente, a complexidade ciclomática apresenta associação forte com a ocorrência de defeito, mesmo controlando o projeto de origem (razão de chances 1,90 por unidade logarítmica; LR = 639,8). Contudo, ao se acrescentar o tamanho do módulo ao modelo, o efeito da complexidade desaparece: a razão de chances ajustada cai para 0,944, com intervalo de confiança de 95% entre 0,870 e 1,024 — contendo, portanto, o valor nulo — e p = 0,17. A relação inversa não se verifica: o tamanho sobrevive folgadamente ao controle pela complexidade (LR = 431,2; p ≈ 9 × 10⁻⁹⁶). A Figura 2 apresenta o mesmo teste aplicado a todas as seis métricas candidatas. Uma delas — a complexidade de projeto — exibe efeito positivo com intervalo de confiança acima da unidade (razão de chances 1,098; IC 95% [1,010; 1,194]; p = 0,028); as demais que permanecem distinguíveis do nulo o fazem com sinal negativo, padrão característico de colinearidade e não de mecanismo causal. O efeito positivo isolado, porém, não sobrevive à correção para comparações múltiplas: as seis métricas foram testadas na mesma base, e sob o procedimento de Holm–Bonferroni o valor-p corrigido dessa métrica sobe a 0,084. NENHUMA das seis sobrevive à correção. A distinção é registrada porque a figura mostra o intervalo não corrigido: lida isoladamente, ela sugere um sobrevivente que a correção elimina.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2 – Razões de chances das métricas candidatas antes e depois do controle pelo tamanho do módulo</w:t>
      </w:r>
    </w:p>
    <w:p>
      <w:pPr>
        <w:spacing w:after="40" w:before="200"/>
        <w:jc w:val="center"/>
      </w:pPr>
      <w:r>
        <w:drawing>
          <wp:inline distT="0" distB="0" distL="0" distR="0">
            <wp:extent cx="558165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Esse resultado não invalida o uso da complexidade como eixo ordinal, mas altera o que se pode afirmar a partir dele. A ordenação do risco pelas faixas de complexidade é forte e robusta, como mostram a Figura 3 e a Tabela 3: o risco cresce monotonicamente de 0,147 a 0,439 entre a faixa mais baixa e a mais alta, e a monotonicidade se preserva sob todos os cinco esquemas alternativos de corte testados e sob todas as doze reamostragens por exclusão de projeto. O que os dados não sustentam é a atribuição causal: a complexidade ciclomática opera, nesta base, como marcador ordinal de risco correlacionado ao tamanho, e não como fator de risco independente dele. Para o propósito deste trabalho — transferência ordinal de risco entre domínios — um marcador estável é suficiente; a afirmação de efeito independente, que não seria sustentável, é explicitamente abandonada.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A força dos valores-p desta camada, e por que ela não deve ser lida ao pé da letra.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valores-p reportados na Tabela 3 para os modelos logísticos e para o teste de tendência são calculados sobre dezessete mil trezentos e setenta e sete módulos, tratados como observações independentes. Eles não são: os módulos estão agrupados em doze projetos, e módulos do mesmo projeto compartilham equipe, processo e período. Os modelos incluem o projeto de origem como efeito fixo, o que impede que uma associação seja atribuída a uma métrica quando puder ser explicada pela procedência da observação, mas isso trata o confundimento ENTRE projetos e não a dependência DENTRO de cada um. Em consequência, os erros-padrão estão subestimados e valores-p da ordem de dez elevado a menos cento e quarenta expressam o tamanho da base, não a força da evidência. O que sustenta a conclusão desta seção não são esses valores-p, e sim duas verificações que operam na unidade correta: a monotonicidade se preserva nas doze reamostragens por exclusão sucessiva de projeto, e os intervalos das razões de risco por faixa são obtidos por reamostragem de PROJETOS, não de módulos. A inferência com erros-padrão robustos a agrupamento fica registrada como pendência; ela não altera as estimativas pontuais, apenas a precisão declarada.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3 – Risco basal por faixa de complexidade ciclomática, em frequência bruta e em probabilidade ajustada pelo efeito do projeto de origem</w:t>
      </w:r>
    </w:p>
    <w:p>
      <w:pPr>
        <w:spacing w:after="40" w:before="200"/>
        <w:jc w:val="center"/>
      </w:pPr>
      <w:r>
        <w:drawing>
          <wp:inline distT="0" distB="0" distL="0" distR="0">
            <wp:extent cx="52197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faixas adotadas — v(G) ≤ 10, de 11 a 15, de 16 a 20 e acima de 20 — constituem adaptação metodológica deste trabalho a partir das faixas interpretativas do NASA Software Engineering Handbook, cujo requisito SWE-220 estabelece o limiar de 15 para software crítico de segurança e exige revisão formal e justificativa documentada para qualquer excedente. As faixas da fonte original são cinco e sobrepõem-se nos extremos; a adaptação a quatro níveis não sobrepostos, alinhada ao limiar normativo, é registrada como decisão deste trabalho e não como classificação oficial.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4 – Estabilidade da ordenação sob exclusão sucessiva de cada projeto</w:t>
      </w:r>
    </w:p>
    <w:p>
      <w:pPr>
        <w:spacing w:after="40" w:before="200"/>
        <w:jc w:val="center"/>
      </w:pPr>
      <w:r>
        <w:drawing>
          <wp:inline distT="0" distB="0" distL="0" distR="0">
            <wp:extent cx="521970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Limitações.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Três limitações condicionam a leitura destes resultados. Primeira, e mais importante, os dados NASA descrevem módulos de software, ao passo que o objeto do trabalho são tarefas de projetos de engenharia; não se afirma equivalência métrica entre os domínios, e a transferência prevista é ordinal, não cardinal — a ser explicitamente qualificada na monografia. Segunda, a proveniência dos arquivos utilizados é de segunda mão: os arquivos do repositório Promise foram obtidos por meio de um espelho público que declara sua origem, e os arquivos D′ e D″ têm data anterior ao artigo que os descreve, o que recomenda confirmação junto à coleção oficial dos autores antes da redação final. Terceira, a métrica HALSTEAD_ERROR_EST foi deliberadamente excluída da seleção por circularidade: sendo definida como estimativa do número de erros derivada do volume do programa, seu uso para explicar a ocorrência de defeito equivaleria a prever defeito a partir de uma previsão de defeito; sua correlação de Spearman de 0,979 com HALSTEAD_EFFORT confirma que ela não carrega informação estrutural independente.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Consequência para a próxima etapa.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achado sobre complexidade e tamanho tem implicação direta sobre a construção do índice de dificuldade técnica no PSPLIB J60. O componente do índice análogo à magnitude da tarefa — duração normalizada e intensidade de recursos — encontra respaldo empírico na base NASA, ao passo que o componente análogo à complexidade estrutural, a criticidade na rede de precedências, não encontra respaldo independente. Recomenda-se, portanto, ponderar conservadoramente o componente estrutural e submetê-lo a análise de sensibilidade específica, em vez de tratá-lo como equivalente ao componente de magnitude. A decisão final sobre a ponderação será tomada após a caracterização do J60 e registrada no guia metodológico.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2.4  Caracterização da base PSPLIB J60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segunda base do trabalho, que fornece a estrutura de execução de projeto — tarefas, precedências, durações e restrições de recursos —, foi auditada com o mesmo protocolo. As 480 instâncias do conjunto J60 foram lidas diretamente do formato original, sem intermediários, e verificadas quanto à integridade estrutural: todas declaram 62 atividades, sendo 60 reais e duas fictícias, e 4 recursos renováveis; os 480 grafos de precedência são acíclicos.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verificação central, contudo, não é estrutural e sim de delineamento. As instâncias do PSPLIB são geradas por um projeto experimental fatorial sobre três parâmetros definidos por Kolisch, Sprecher e Drexl (1995): a complexidade de rede, dada pela razão entre arcos de precedência e atividades; o fator de recursos, que mede a fração média de tipos de recurso requisitados por atividade; e a força de recursos, que posiciona a disponibilidade entre o mínimo de viabilidade e o pico de demanda do cronograma de inícios mais cedo. Os três parâmetros foram recalculados a partir dos arquivos e seus níveis foram reconstruídos por agrupamento dos valores obtidos, sem que nenhum valor de referência fosse suposto. A Tabela 4 apresenta o resultado.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4 – Níveis dos parâmetros de delineamento reconstruídos a partir das instâncias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400"/>
        <w:gridCol w:w="3670"/>
        <w:gridCol w:w="3000"/>
      </w:tblGrid>
      <w:tr>
        <w:trPr>
          <w:tblHeader/>
        </w:trPr>
        <w:tc>
          <w:tcPr>
            <w:tcW w:type="dxa" w:w="24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Parâmetro</w:t>
            </w:r>
          </w:p>
        </w:tc>
        <w:tc>
          <w:tcPr>
            <w:tcW w:type="dxa" w:w="36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Níveis reconstruídos dos arquivos</w:t>
            </w:r>
          </w:p>
        </w:tc>
        <w:tc>
          <w:tcPr>
            <w:tcW w:type="dxa" w:w="30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Níveis nominais do delineamento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Complexidade de rede (NC)</w:t>
            </w:r>
          </w:p>
        </w:tc>
        <w:tc>
          <w:tcPr>
            <w:tcW w:type="dxa" w:w="36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1,5000 / 1,8065 / 2,1129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1,5 / 1,8 / 2,1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Fator de recursos (RF)</w:t>
            </w:r>
          </w:p>
        </w:tc>
        <w:tc>
          <w:tcPr>
            <w:tcW w:type="dxa" w:w="36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0,2500 / 0,5042 / 0,7542 / 1,0000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 / 0,50 / 0,75 / 1,00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Força de recursos (RS)</w:t>
            </w:r>
          </w:p>
        </w:tc>
        <w:tc>
          <w:tcPr>
            <w:tcW w:type="dxa" w:w="36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0,1975 / 0,5106 / 0,7038 / 1,0000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0,20 / 0,50 / 0,70 / 1,00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reconstrução recupera um delineamento fatorial completo e balanceado de 3 × 4 × 4 = 48 células, com exatamente uma combinação por célula e dez instâncias por combinação. Como os níveis foram derivados dos próprios arquivos, o resultado valida simultaneamente a rotina de leitura e as três formulações implementadas.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Registrou-se ainda uma característica relevante do conjunto: a complexidade de rede e o fator de recursos são exatamente constantes dentro de cada combinação, ao passo que a força de recursos não é, variando em até 0,12 dentro de uma mesma célula. A causa é estrutural e não constitui defeito: a disponibilidade de cada recurso é um número inteiro, de modo que o gerador não realiza exatamente o valor pretendido e arredonda. A consequência metodológica é que o nível nominal e o valor realizado são variáveis distintas — o primeiro é um fator do delineamento, o segundo uma medida contínua — e tratá-los como equivalentes converteria ruído de arredondamento em variação experimental. Nos modelos subsequentes, o nível nominal será utilizado como fator e o valor realizado, quando pertinente, como covariável.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2.5  Índice de dificuldade técnica das tarefas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Com as instâncias caracterizadas, construiu-se o índice de dificuldade técnica que atribui a cada tarefa um nível ordinal. O índice, definido pelas equações (15) a (18), combina três grandezas medidas nas próprias instâncias: a duração normalizada, a intensidade de uso de recursos — definida como a fração média da disponibilidade de cada recurso que a tarefa consome, adaptação por atividade do fator de recursos de Kolisch, Sprecher e Drexl (1995) — e a criticidade na rede de precedências. As normalizações são feitas dentro de cada instância, uma vez que o modelo compara tarefas de um mesmo projeto e não tarefas de projetos distintos.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Correção de uma atribuição de fonte.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formulação preliminar deste trabalho atribuía a construção do índice a De Reyck e Herroelen (1996). A verificação da fonte mostrou que a atribuição era imprópria: o índice de complexidade ali discutido deriva de Bein, Kamburowski e Stallmann (1992) e mede a distância da rede inteira à série-paralelidade, sendo uma propriedade do grafo e não da atividade. A referência foi mantida no trabalho, porém realocada para sustentar a caracterização da rede por instância, e o índice por tarefa passou a ser declarado como construção deste trabalho, com cada componente apoiado em fonte própria.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Substituição da medida de criticidade.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formulação preliminar previa a contagem de sucessores como medida de criticidade. Comparada à folga total obtida do método do caminho crítico, sobre as mesmas 28.800 tarefas, a correlação de Spearman entre as duas é de apenas 0,116, e 3.488 tarefas apresentam folga acima da mediana e três ou mais sucessores — isto é, muitos sucessores e nenhuma urgência. A criticidade passou a ser medida pela folga total, que é a medida canônica no nível da atividade. A contagem de sucessores permanece calculada e gravada na base, disponível como variável alternativa para análise de sensibilidade.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três componentes mostram-se quase ortogonais entre si, com correlações de Spearman de −0,004 entre duração e intensidade de recursos, 0,003 entre intensidade e criticidade, e 0,193 entre duração e criticidade. Cada um carrega, portanto, informação distinta, e o índice composto não é uma única grandeza sob três nomes — situação oposta à observada na base NASA, onde complexidade e tamanho apresentavam correlação de 0,752 e o composto colapsava sobre um único eixo. A Figura 5 apresenta o comportamento dos níveis resultantes.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5 – Duração média e folga total média por nível de dificuldade</w:t>
      </w:r>
    </w:p>
    <w:p>
      <w:pPr>
        <w:spacing w:after="40" w:before="200"/>
        <w:jc w:val="center"/>
      </w:pPr>
      <w:r>
        <w:drawing>
          <wp:inline distT="0" distB="0" distL="0" distR="0">
            <wp:extent cx="558165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duração média cresce e a folga média decresce monotonicamente ao longo dos quatro níveis, comportamento coerente com a interpretação do índice. Os pontos de corte são os quartis da distribuição, decisão declarada deste trabalho: ao contrário do domínio de software, que dispõe do limiar normativo do requisito SWE-220, não há para tarefas de projeto um limiar externo equivalente. A ordenação mostrou-se razoavelmente robusta à ponderação: entre seis esquemas alternativos de pesos, a menor correlação de ordenação observada foi de 0,847.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2.6  Transferência ordinal de risco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etapa que liga as duas bases consiste em atribuir às tarefas do PSPLIB o risco calibrado sobre os módulos da NASA. A forma dessa atribuição não é indiferente, e a decisão adotada apoia-se em evidência numérica.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quatro níveis não têm o mesmo tamanho relativo nos dois domínios: na base NASA, 86,24% dos módulos situam-se no nível mais baixo, contra 25,00% das tarefas do J60, por construção dos quartis. Atribuir a cada nível do J60 o risco absoluto do nível homônimo da NASA produziria risco médio de 0,3046 nas tarefas, contra taxa observada de 0,1749 na NASA — uma inflação de 1,74 vezes gerada exclusivamente pela diferença de tamanho dos estratos, e não por qualquer propriedade das tarefas. Seria um artefato de construção apresentado como resultado.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Adotou-se, portanto, a transferência por razão de risco relativo, conforme as equações (19) e (20). O que os dados NASA sustentam não é o nível absoluto de risco de um módulo de software, que não tem razão para valer em tarefas de engenharia, e sim a forma do gradiente: quantas vezes mais arriscada é uma tarefa difícil em relação a uma fácil. Essa razão é adimensional e independe da taxa basal do domínio. A Tabela 5 e a Figura 6 apresentam as razões estimadas.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5 – Razões de risco transferidas, com intervalos por reamostragem de projetos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500"/>
        <w:gridCol w:w="2200"/>
        <w:gridCol w:w="2000"/>
        <w:gridCol w:w="2370"/>
      </w:tblGrid>
      <w:tr>
        <w:trPr>
          <w:tblHeader/>
        </w:trPr>
        <w:tc>
          <w:tcPr>
            <w:tcW w:type="dxa" w:w="25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Nível de dificuldade</w:t>
            </w:r>
          </w:p>
        </w:tc>
        <w:tc>
          <w:tcPr>
            <w:tcW w:type="dxa" w:w="22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Risco basal NASA</w:t>
            </w:r>
          </w:p>
        </w:tc>
        <w:tc>
          <w:tcPr>
            <w:tcW w:type="dxa" w:w="20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Razão de risco</w:t>
            </w:r>
          </w:p>
        </w:tc>
        <w:tc>
          <w:tcPr>
            <w:tcW w:type="dxa" w:w="23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IC 95% (bootstrap)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baixa (referência)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0,1470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1,000</w:t>
            </w:r>
          </w:p>
        </w:tc>
        <w:tc>
          <w:tcPr>
            <w:tcW w:type="dxa" w:w="2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média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0,2845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1,935</w:t>
            </w:r>
          </w:p>
        </w:tc>
        <w:tc>
          <w:tcPr>
            <w:tcW w:type="dxa" w:w="2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[1,758; 2,599]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0,3479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2,367</w:t>
            </w:r>
          </w:p>
        </w:tc>
        <w:tc>
          <w:tcPr>
            <w:tcW w:type="dxa" w:w="2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[1,720; 3,229]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muito alta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0,4388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2,985</w:t>
            </w:r>
          </w:p>
        </w:tc>
        <w:tc>
          <w:tcPr>
            <w:tcW w:type="dxa" w:w="2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[1,878; 4,156]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Bootstrap com 4.000 réplicas, reamostrando projetos.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6 – Gradiente de risco transferido, com intervalo de confiança</w:t>
      </w:r>
    </w:p>
    <w:p>
      <w:pPr>
        <w:spacing w:after="40" w:before="200"/>
        <w:jc w:val="center"/>
      </w:pPr>
      <w:r>
        <w:drawing>
          <wp:inline distT="0" distB="0" distL="0" distR="0">
            <wp:extent cx="503872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Unidade de reamostragem.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intervalos foram obtidos reamostrando projetos, e não observações individuais. As observações de um mesmo projeto não são independentes, pois compartilham equipe, processo, domínio de aplicação e critério de registro de defeito; reamostrar módulos trataria 17.377 observações como 17.377 evidências independentes e produziria intervalos artificialmente estreitos. A unidade de agrupamento correta é o projeto — o mesmo raciocínio que fundamenta a validação por exclusão sucessiva de projetos apresentada na Seção 2.3.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intervalos resultantes são largos, sobretudo no nível mais alto, cujo limite superior alcança 4,156. Isso constitui informação e não deficiência: com doze projetos, a incerteza sobre o gradiente é substancial, e reportá-la é preferível a apresentar a estimativa pontual como se fosse precisa.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A âncora do modelo.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razão de risco fixa a forma da relação, não o seu nível. O risco atribuído a uma tarefa é o produto da razão por uma taxa basal de retrabalho do domínio de engenharia, que este trabalho não estima e trata explicitamente como parâmetro do modelo, a ser fixado por dado do domínio ou tratado como incerteza na simulação. Por essa razão, a base de tarefas resultante grava o multiplicador de risco e seu intervalo, e não uma probabilidade absoluta: gravar a probabilidade embutiria um valor arbitrário na base como se fosse dado observado.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Limitação a declarar.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construção assume que o gradiente ordinal de risco por dificuldade é transferível entre domínios, ainda que o nível absoluto não seja. Trata-se de suposição e não de resultado. É uma suposição mais fraca do que a de equivalência métrica direta, que os dados não sustentam, mas não é vazia, e será mantida explícita na redação final.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2.7  Verificação do simulador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O que cada verificação sustenta.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seção intitulava-se “verificação e validação”. O termo validação foi retirado: não há neste trabalho critério confrontado com dado externo capaz de reprovar o modelo, e chamar de validação um teste que não pode reprovar nada seria atribuir ao resultado uma força que ele não tem. As verificações passam a ser declaradas por classe, e a classe determina o que se pode afirmar a partir delas.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Verdadeiras por construção: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passam qualquer que seja o modelo, porque decorrem da forma como a grandeza é construída. São registradas para que não sejam confundidas com evidência. Exemplo: com risco basal e pressão nulos, a dívida técnica é nula porque o termo que a gera foi zerado.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Invariantes estruturais: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conservação de tarefas, precedências, disponibilidade de recursos e consistência dos relógios. Um simulador correto não pode falhá-las, e falhá-las indica defeito de código.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Verificações de implementação: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testam se o código realiza a direção que a formulação prevê. Não constituem evidência sobre equipes reais e não restringem magnitude.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Verificações de ordem de grandeza: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confrontam a saída com a literatura de campo numa faixa larga. Rejeitam desalinhamento grosseiro e nada mais; não calibram parâmetro algum.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Tabela 6 apresenta o conjunto executado, com a classe de cada verificação e o valor medido. Uma propriedade esperada que não se confirma é registrada como tal, e não convertida em aprovação nem suprimida.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6 – Verificações do simulador, por classe, e seus resultados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620"/>
        <w:gridCol w:w="3250"/>
        <w:gridCol w:w="1550"/>
        <w:gridCol w:w="1500"/>
        <w:gridCol w:w="2150"/>
      </w:tblGrid>
      <w:tr>
        <w:trPr>
          <w:tblHeader/>
        </w:trPr>
        <w:tc>
          <w:tcPr>
            <w:tcW w:type="dxa" w:w="62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2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Verificação</w:t>
            </w:r>
          </w:p>
        </w:tc>
        <w:tc>
          <w:tcPr>
            <w:tcW w:type="dxa" w:w="15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Classe</w:t>
            </w:r>
          </w:p>
        </w:tc>
        <w:tc>
          <w:tcPr>
            <w:tcW w:type="dxa" w:w="15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Situação</w:t>
            </w:r>
          </w:p>
        </w:tc>
        <w:tc>
          <w:tcPr>
            <w:tcW w:type="dxa" w:w="21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Medido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toda tarefa termina em estado terminal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construção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tarefas não terminais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precedência respeitada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estrutural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violações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disponibilidade de recursos nunca excedida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estrutural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instâncias com excesso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4a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relógios não negativos e soma positiva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construção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verdadeira por construção — não e evidência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4b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[construcao, poder fraco] soma dos relógios não excede o tempo de agente alocado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construção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folga minima 10,7% — o teste so pega…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E_total, bateria, competência e multiplicadores em [0,1]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construção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mesma semente reproduz o mesmo resultado (12 instâncias x 2 cenarios)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construção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verdadeira por construção se o RNG e…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6b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sementes diferentes produzem resultados diferentes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estrutural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 falhar - o gerador não está sendo usado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7a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sem risco nem pressão, nenhuma tarefa falha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construção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 execuções — verdadeira por construção…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7c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sem risco nem pressão, dívida técnica nula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construção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verdadeira por construção (F_âncora=0)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7d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[contingente a amostra] condição ideal elimina a ociosidade (TU = 0)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contingente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TU máximo = 0,0 - Di máximo nas 12…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7e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[comportamento sob condição ideal] conclui mais rápido que a nominal (pareado)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cond. ideal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 de 24 pares favoráveis - ganho medio…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8a‑C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oculta (S_UR max) cresce com a pressão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 instâncias - n = 500 por célula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8a‑A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oculta (S_UR max) cresce com a pressão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 instâncias - n = 500 por célula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8b‑C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tempo em modo heurístico cresce com a pressão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 instâncias - n = 500 por célula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8b‑A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tempo em modo heurístico cresce com a pressão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 instâncias - n = 500 por célula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8c‑C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[exploratória, post hoc] defeitos gerados crescem com a pressão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exploratória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 instâncias - n = 500 por célula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8c‑A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[exploratória, post hoc] defeitos gerados crescem com a pressão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exploratória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 confirmada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de 2 instâncias - n = 500 por célula -…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9a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[ordem de grandeza, não validação] mediana do retrabalho na faixa [1% - 50%]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ordem de grandeza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mediana = 0,1913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9b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cauda fora da faixa inferior a 10% das execuções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ordem de grandeza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0/24 = 0,0%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9c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estritamente positiva (estoque não inerte)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ordem de grandeza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mediana = 0,0423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9d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 critério 9a não restringe F_âncora (evidência do rebaixamento)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meta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 em 5 de 5 valores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Correção do teste de tendência sob pressão.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verificação de que a dívida técnica cresce com a pressão calculava a correlação de Spearman sobre cinco médias, uma por nível de pressão, e reportava o valor-p assintótico devolvido pela biblioteca. Esse valor-p não é utilizável com cinco observações: o menor valor-p bilateral exato possível nesse caso é a razão entre duas e cento e vinte permutações, ou seja, aproximadamente dezessete milésimos. Um valor-p de ordem de grandeza muito inferior a esse não é atingível e não podia ter sido apresentado como evidência. O teste também rodava em apenas um braço e uma instância, e a agregação em cinco médias descartava as quarenta repetições de cada nível.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teste foi refeito sobre os pontos individuais, nos dois braços e em duas instâncias, com delineamento em duas etapas. Na primeira, um piloto de duzentas execuções por célula estima o tamanho de efeito. Na segunda, o número de repetições é fixado por cálculo de potência antes da execução, e o teste confirmatório roda com sementes disjuntas das do piloto, de modo que a escolha do tamanho amostral não contamine o resultado. O critério permaneceu inalterado — correlação positiva e valor-p abaixo de cinco centésimos —; apenas o número de repetições mudou. A Tabela 7 apresenta o resultado.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7 – Tendência sob pressão: piloto e teste confirmatório, por braço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900"/>
        <w:gridCol w:w="1750"/>
        <w:gridCol w:w="1750"/>
        <w:gridCol w:w="1750"/>
        <w:gridCol w:w="1750"/>
        <w:gridCol w:w="1170"/>
      </w:tblGrid>
      <w:tr>
        <w:trPr>
          <w:tblHeader/>
        </w:trPr>
        <w:tc>
          <w:tcPr>
            <w:tcW w:type="dxa" w:w="29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Grandeza</w:t>
            </w:r>
          </w:p>
        </w:tc>
        <w:tc>
          <w:tcPr>
            <w:tcW w:type="dxa" w:w="17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Braço</w:t>
            </w:r>
          </w:p>
        </w:tc>
        <w:tc>
          <w:tcPr>
            <w:tcW w:type="dxa" w:w="17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ρ piloto (n = 200)</w:t>
            </w:r>
          </w:p>
        </w:tc>
        <w:tc>
          <w:tcPr>
            <w:tcW w:type="dxa" w:w="17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ρ confirmatório (n = 500)</w:t>
            </w:r>
          </w:p>
        </w:tc>
        <w:tc>
          <w:tcPr>
            <w:tcW w:type="dxa" w:w="17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IC 95% confirmatório</w:t>
            </w:r>
          </w:p>
        </w:tc>
        <w:tc>
          <w:tcPr>
            <w:tcW w:type="dxa" w:w="11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Confirma</w:t>
            </w:r>
          </w:p>
        </w:tc>
      </w:tr>
      <w:t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oculta de pico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0,319 a 0,650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0,351 a 0,600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[0,270 a 0,655]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</w:t>
            </w:r>
          </w:p>
        </w:tc>
      </w:tr>
      <w:t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oculta de pico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0,042 a 0,142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0,091 a 0,179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[0,000 a 0,265]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</w:t>
            </w:r>
          </w:p>
        </w:tc>
      </w:tr>
      <w:t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fração de tempo em modo heurístico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0,690 a 0,884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0,682 a 0,882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[0,631 a 0,900]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</w:t>
            </w:r>
          </w:p>
        </w:tc>
      </w:tr>
      <w:t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fração de tempo em modo heurístico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0,667 a 0,930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0,708 a 0,939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[0,660 a 0,949]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</w:t>
            </w:r>
          </w:p>
        </w:tc>
      </w:tr>
      <w:t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defeitos gerados (ocultos + reportados)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0,156 a 0,321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0,161 a 0,296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[0,072 a 0,376]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</w:t>
            </w:r>
          </w:p>
        </w:tc>
      </w:tr>
      <w:t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defeitos gerados (ocultos + reportados)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0,036 a 0,089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0,072 a 0,081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[-0,019 a 0,170]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de 2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Piloto com sementes 0 a 39; confirmatório com sementes 1000 a 1099, disjuntas.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O que a correção mudou.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No braço adaptativo, a dívida oculta de pico não apresentava tendência detectável com duzentas execuções e passa a apresentá-la com quinhentas, exatamente como o cálculo de potência previa: tratava-se de teste subdimensionado, não de propriedade ausente. Já a contagem de defeitos gerados continua sem se confirmar nesse braço mesmo com potência adequada, e a razão foi medida, não suposta. São duas causas somadas. A primeira é que a pressão é endógena ao atraso: o braço adaptativo conclui mais perto do caminho crítico, atrasa menos e por isso recebe apenas cinquenta e sete por cento da amplitude de pressão que o braço centralizado recebe para o mesmo teto nominal. A segunda é que o canal de defeito é pouco sensível à pressão nesta parametrização — a pressão acrescenta no máximo quarenta e sete milésimos à probabilidade de falha, sobre uma base que varia de um décimo a três décimos conforme a faixa de dificuldade, de modo que a dificuldade domina a pressão por um fator entre três e vinte. Nenhuma das duas é defeito de código; ambas são propriedades declaradas do modelo calibrado. O resultado é registrado como não confirmado, e não confirmado não significa refutado: o intervalo de confiança contém tanto o zero quanto efeitos positivos pequenos.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Verificação de ordem de grandeza e seu poder de rejeição.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fração de esforço dedicada a retrabalho foi confrontada com a literatura de campo. A referência medida na mesma unidade da saída do modelo é a de Boehm e Basili (2001), segundo a qual projetos de software despendem entre quarenta e cinquenta por cento do esforço em retrabalho evitável. As cifras de Love et al. (2026) e de Love e Li (2000), da construção civil, são retidas apenas como piso de ordem de grandeza, com a ressalva explícita de que sua base é o valor de contrato e não o esforço, o que as torna grandezas de unidades distintas. Esta verificação era anteriormente apresentada como validação externa. Não é. Um critério de validação precisa poder reprovar, e este aprova em toda a faixa declarada do parâmetro de risco basal, como mostra a Tabela 8. Seu poder de rejeição sobre esse parâmetro é nulo, e ele é portanto rebaixado a verificação de ordem de grandeza: rejeita desalinhamento grosseiro e nada mais, não confirma o modelo e não substitui calibração.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8 – Poder de rejeição do critério de plausibilidade sobre o risco basal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3000"/>
        <w:gridCol w:w="3000"/>
        <w:gridCol w:w="3070"/>
      </w:tblGrid>
      <w:tr>
        <w:trPr>
          <w:tblHeader/>
        </w:trPr>
        <w:tc>
          <w:tcPr>
            <w:tcW w:type="dxa" w:w="30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F_âncora</w:t>
            </w:r>
          </w:p>
        </w:tc>
        <w:tc>
          <w:tcPr>
            <w:tcW w:type="dxa" w:w="30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Mediana do retrabalho sobre o plano</w:t>
            </w:r>
          </w:p>
        </w:tc>
        <w:tc>
          <w:tcPr>
            <w:tcW w:type="dxa" w:w="30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Critério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0,05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0,0750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0,1752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0,15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0,2181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0,2922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0,3632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A faixa varrida é a faixa aberta declarada para o parâmetro.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2.8  Experimento central: governança centralizada e adaptativa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experimento comparou os dois arranjos da Tabela 2 sobre dezesseis instâncias do J60 com doze sementes cada, totalizando trezentas e oitenta e quatro execuções pareadas. Nenhuma execução deixou de concluir dentro do horizonte estabelecido. A Tabela 9 apresenta os resultados.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9 – Comparação pareada entre os arranjos de governança, por instância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620"/>
        <w:gridCol w:w="1180"/>
        <w:gridCol w:w="1180"/>
        <w:gridCol w:w="1080"/>
        <w:gridCol w:w="1080"/>
        <w:gridCol w:w="1160"/>
        <w:gridCol w:w="770"/>
      </w:tblGrid>
      <w:tr>
        <w:trPr>
          <w:tblHeader/>
        </w:trPr>
        <w:tc>
          <w:tcPr>
            <w:tcW w:type="dxa" w:w="262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118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Centraliz.</w:t>
            </w:r>
          </w:p>
        </w:tc>
        <w:tc>
          <w:tcPr>
            <w:tcW w:type="dxa" w:w="118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Adaptat.</w:t>
            </w:r>
          </w:p>
        </w:tc>
        <w:tc>
          <w:tcPr>
            <w:tcW w:type="dxa" w:w="108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Variação</w:t>
            </w:r>
          </w:p>
        </w:tc>
        <w:tc>
          <w:tcPr>
            <w:tcW w:type="dxa" w:w="108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 de Cohen</w:t>
            </w:r>
          </w:p>
        </w:tc>
        <w:tc>
          <w:tcPr>
            <w:tcW w:type="dxa" w:w="11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Instâncias favor.</w:t>
            </w:r>
          </w:p>
        </w:tc>
        <w:tc>
          <w:tcPr>
            <w:tcW w:type="dxa" w:w="7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2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Tarefas concluídas com defeito oculto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13,02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3,82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-70,6%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-7,815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100,0%</w:t>
            </w:r>
          </w:p>
        </w:tc>
        <w:tc>
          <w:tcPr>
            <w:tcW w:type="dxa" w:w="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0,00044</w:t>
            </w:r>
          </w:p>
        </w:tc>
      </w:tr>
      <w:tr>
        <w:tc>
          <w:tcPr>
            <w:tcW w:type="dxa" w:w="2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Taxa de omissão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0,2170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0,0637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-70,6%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-7,815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100,0%</w:t>
            </w:r>
          </w:p>
        </w:tc>
        <w:tc>
          <w:tcPr>
            <w:tcW w:type="dxa" w:w="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= piso</w:t>
            </w:r>
          </w:p>
        </w:tc>
      </w:tr>
      <w:tr>
        <w:tc>
          <w:tcPr>
            <w:tcW w:type="dxa" w:w="2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de pico sobre o plano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0,0741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0,0201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-72,8%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-6,726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100,0%</w:t>
            </w:r>
          </w:p>
        </w:tc>
        <w:tc>
          <w:tcPr>
            <w:tcW w:type="dxa" w:w="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= piso</w:t>
            </w:r>
          </w:p>
        </w:tc>
      </w:tr>
      <w:tr>
        <w:tc>
          <w:tcPr>
            <w:tcW w:type="dxa" w:w="2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Atraso relativo (makespan sobre CPM)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1,9991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-36,2%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-5,546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100,0%</w:t>
            </w:r>
          </w:p>
        </w:tc>
        <w:tc>
          <w:tcPr>
            <w:tcW w:type="dxa" w:w="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= piso</w:t>
            </w:r>
          </w:p>
        </w:tc>
      </w:tr>
      <w:tr>
        <w:tc>
          <w:tcPr>
            <w:tcW w:type="dxa" w:w="2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Ocupação E_total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0,8885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13,3%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3,752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100,0%</w:t>
            </w:r>
          </w:p>
        </w:tc>
        <w:tc>
          <w:tcPr>
            <w:tcW w:type="dxa" w:w="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= piso</w:t>
            </w:r>
          </w:p>
        </w:tc>
      </w:tr>
      <w:tr>
        <w:tc>
          <w:tcPr>
            <w:tcW w:type="dxa" w:w="2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Esforço de retrabalho sobre o plano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0,2031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0,1545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-23,9%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-3,074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100,0%</w:t>
            </w:r>
          </w:p>
        </w:tc>
        <w:tc>
          <w:tcPr>
            <w:tcW w:type="dxa" w:w="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= piso</w:t>
            </w:r>
          </w:p>
        </w:tc>
      </w:tr>
      <w:tr>
        <w:tc>
          <w:tcPr>
            <w:tcW w:type="dxa" w:w="2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Retrabalho sobre esforço realizado (diagnóstico)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0,0770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0,0846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9,9%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1,285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6,2%</w:t>
            </w:r>
          </w:p>
        </w:tc>
        <w:tc>
          <w:tcPr>
            <w:tcW w:type="dxa" w:w="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0,00009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Dezesseis instâncias, cada uma com a média das suas doze sementes. “= piso” indica que o valor-p atingiu 3,05 × 10⁻⁵, o menor possível com dezesseis pares. A última linha é métrica de diagnóstico, discutida adiante.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O atraso depende da definição de conclusão.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laço de simulação só encerra quando, além de todas as tarefas concluídas, a dívida oculta pendente foi integralmente detectada. O makespan aqui reportado inclui, portanto, uma cauda posterior à conclusão da última tarefa, durante a qual nenhuma tarefa está ativa e o projeto apenas aguarda que a dívida aflore. Essa cauda é maior no arranjo centralizado, que acumula mais dívida oculta e a detecta com probabilidade menor. Em consequência, a magnitude do contraste de atraso é condicionada à definição operacional de conclusão adotada, e não é independente dela: medido até a conclusão da última tarefa, e não até a quitação da dívida, o contraste seria menor. As duas definições são legítimas e medem coisas diferentes — prazo até entregar e prazo até estabilizar —, e apenas a segunda está implementada. Quantificar a alternativa exige alterar a condição de parada, o que não foi feito nesta entrega; a comparação entre as duas medidas está registrada como pendência. O sinal do efeito não está em questão: o arranjo adaptativo conclui antes sob a definição adotada, e a cauda que a definição acrescenta é maior justamente no arranjo que já era o mais lento.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arranjo adaptativo supera o centralizado em todos os indicadores substantivos, em dezesseis de dezesseis instâncias, com tamanhos de efeito grandes. A leitura mecanística — a de que o arranjo adaptativo, ao converter defeito oculto em retrabalho visível e imediato, impede o acúmulo de dívida técnica que no arranjo centralizado retorna adiante sob pressão de prazo — é compatível com estes números, mas não decorre deles: os dois arranjos diferem em quatro parâmetros ao mesmo tempo, e enquanto variarem juntos a comparação mede o pacote e não um mecanismo. A Seção 2.9 executa a ablação que separa as parcelas, e o resultado obriga a qualificar parte desta leitura.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A unidade de inferência é a instância, e não a semente.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Uma versão anterior desta tabela pareava por combinação de instância e semente, totalizando cento e noventa e dois pares. As doze sementes de uma mesma instância não são projetos independentes: tratá-las como observações separadas é pseudorreplicação, que infla os graus de liberdade e produz valores-p sem correspondência com a informação disponível — com cento e noventa e dois pares, o menor valor-p atingível no teste de Wilcoxon é da ordem de três vezes dez elevado a menos cinquenta e oito, e nenhum valor nessa escala é interpretável. A inferência foi refeita tomando a instância como unidade, cada uma entrando com a média das suas doze sementes. As médias por braço não se alteram; alteram-se o tamanho de efeito e a proporção de casos favoráveis, que passam a ser calculados sobre a unidade correta. A correção FORTALECE o resultado: os tamanhos de efeito crescem, e a proporção de casos favoráveis ao arranjo adaptativo vai a dezesseis de dezesseis em todos os indicadores substantivos. Em contrapartida, os valores-p deixam de ser astronômicos e vários passam a coincidir com o piso de três vírgula zero cinco vezes dez elevado a menos cinco, o menor atingível com dezesseis pares; o piso informa que todos os pares apontam no mesmo sentido, e não a magnitude do efeito, que deve ser lida no tamanho de efeito e na proporção.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Evidência duplicada na tabela.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duas primeiras linhas são a mesma grandeza dividida por sessenta. Os tamanhos de efeito e as proporções coincidem exatamente, e os valores-p diferem apenas pelo tratamento de empates no teste sobre valores inteiros. Mantê-las juntas faz a mesma evidência aparecer duas vezes; a supressão de uma delas está registrada como pendência de apresentação.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Uma métrica que media visibilidade, não dano.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última linha da Tabela 9 move-se em sentido contrário a todas as demais. A investigação dessa discrepância revelou defeito na formulação original da métrica, e não achado substantivo. A razão entre retrabalho e esforço realizado tem por denominador o esforço efetivamente despendido, que inclui o tempo ocioso e bloqueado. O braço centralizado acumula tempo ocioso muito superior — cento e vinte e seis contra seis períodos em média — e, ao inflar o próprio denominador, dilui o retrabalho e aparenta desempenho melhor, ainda que seu esforço de retrabalho absoluto seja trinta e um vírgula um por cento MAIOR que o do arranjo adaptativo — equivalentemente, o do arranjo adaptativo é vinte e três vírgula oito por cento MENOR que o do centralizado. As duas leituras vêm dos mesmos valores, 68,87 contra 52,51, e diferem apenas na base da razão; a redução de vinte e três vírgula oito por cento é sempre relativa ao braço centralizado. A métrica premiava a ineficiência que se pretendia medir.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7 – Composição do esforço realizado e o mesmo retrabalho medido sob duas bases distintas</w:t>
      </w:r>
    </w:p>
    <w:p>
      <w:pPr>
        <w:spacing w:after="40" w:before="200"/>
        <w:jc w:val="center"/>
      </w:pPr>
      <w:r>
        <w:drawing>
          <wp:inline distT="0" distB="0" distL="0" distR="0">
            <wp:extent cx="5581650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Correção adotada.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base da razão passou a ser o esforço planejado do projeto, dado pela soma das durações nominais das tarefas. Trata-se de propriedade da instância, idêntica nos dois braços, de modo que a razão só pode variar pelo numerador. A métrica agregada original foi ainda decomposta em duas: o retrabalho efetivamente pago e a dívida latente de pico. A decomposição é necessária, e não cosmética, porque os arranjos diferem justamente na probabilidade de reporte: o adaptativo converte dívida oculta em retrabalho visível, e um agregado que soma as duas parcelas não distingue conversão de redução. Com a correção, o indicador passa a favorecer o arranjo adaptativo em vinte e três vírgula nove por cento, em concordância com os demais.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Registra-se ainda que o valor final do estoque de dívida latente é nulo em todas as trezentas e oitenta e quatro execuções, por construção do laço de simulação, que só encerra após a quitação da dívida pendente. Por essa razão, a estatística informativa é o valor de pico do estoque, e não o seu valor terminal.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O que TR mede, e o que não mede.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grandeza designada TR é ESFORÇO DE RETRABALHO CONTABILIZADO, e não tempo consumido no cronograma. Quando um defeito é reportado ou aflora, a implementação atual acresce a parcela correspondente ao relógio de retrabalho, mas essa parcela não ocupa um agente nem avança o calendário do projeto do mesmo modo que a execução de uma tarefa. A denominação foi corrigida ao longo do texto para não induzir a leitura de tempo efetivamente despendido. A limitação tem duas consequências que ficam declaradas. A primeira é que o custo de cronograma do retrabalho está subestimado: no modelo atual, refazer não disputa capacidade com executar. A segunda incide sobre a métrica de ocupação, cujo denominador soma os quatro relógios e portanto inclui TR: uma parcela que não consome capacidade entra no denominador como se consumisse, de modo que a métrica não deve ser lida como medida de produtividade. Fazer o retrabalho ocupar agente e recurso é alteração estrutural do modelo, não implementada nesta entrega, e está registrada como pendência.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8 – Trajetórias médias dos estoques nos dois arranjos, com faixa interquartil</w:t>
      </w:r>
    </w:p>
    <w:p>
      <w:pPr>
        <w:spacing w:after="40" w:before="200"/>
        <w:jc w:val="center"/>
      </w:pPr>
      <w:r>
        <w:drawing>
          <wp:inline distT="0" distB="0" distL="0" distR="0">
            <wp:extent cx="5400675" cy="4029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Figura 8 torna visível o mecanismo. No arranjo centralizado, a dívida técnica latente cresce ao longo de todo o período nominal do projeto, atinge o máximo em torno de uma vez e meia o prazo do caminho crítico e só então é drenada, o que prolonga a execução muito além do previsto. No arranjo adaptativo, o mesmo estoque permanece próximo de zero, e o progresso validado acumula-se de forma sustentada. A bateria cognitiva média recupera-se mais cedo, o que é consequência, e não causa, do menor volume de retrabalho tardio.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Comportamento no limite de pressão nula.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Registra-se um comportamento de fronteira, fora do domínio de operação. Com pressão nula o esforço cognitivo exigido zera, e a probabilidade de transição para o modo heurístico cai ao seu piso, de aproximadamente um vírgula oito por cento por período de agente. Como no arranjo centralizado a confiança constante impede toda concessão de ajuda, uma tarefa cuja dificuldade excede a competência de todos os agentes passa a depender exclusivamente desse piso para ser iniciada, o que corresponde a uma espera média da ordem de cinquenta e seis períodos por tarefa. O efeito é de lentidão severa, e não de travamento: a transição é estocástica e sua probabilidade nunca chega a zero, de modo que a execução sempre termina. O caso está fora do domínio nominal, porque a pressão é limitada inferiormente a três décimos e nunca atinge zero em nenhuma execução apresentada; e as trezentas e oitenta e quatro execuções do experimento e as duas mil oitocentas e oitenta da ablação concluíram todas dentro do horizonte. Nenhuma conclusão desta entrega depende de ignorar esse comportamento. Ele é consequência lógica da formulação atual — transição estocástica combinada com confiança constante — e desaparece assim que qualquer das duas hipóteses estruturais em avaliação for alterada.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2.9  Ablação: a que o contraste entre os arranjos se deve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Por que a ablação é obrigatória.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dois arranjos da Tabela 2 diferem em quatro parâmetros simultaneamente. Enquanto variarem juntos, a comparação mede o pacote, e nenhum efeito observado pode ser atribuído a mecanismo algum. A ablação separa as parcelas, e a primeira conclusão que ela produz é sobre o próprio método de atribuição.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Substituição isolada não é decomposição.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leitura natural — trocar um parâmetro por vez e reportar a fração do contraste que cada troca reproduz — não decompõe coisa alguma, porque as frações resultantes não somam o contraste. Afirmar que “determinado parâmetro explica tal percentual do efeito” seria atribuição causal indevida sempre que houver interação, e há. A decomposição legítima exige o fatorial completo dos quatro parâmetros, com dezesseis células, e o ajuste do modelo saturado correspondente: dezesseis termos para dezesseis células produzem ajuste exato, sem resíduo e sem escolha de modelo, e vale a identidade que decompõe o contraste na soma dos efeitos principais e de todas as interações. A Tabela 10 apresenta essa decomposição.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10 – Decomposição exata do contraste em efeitos principais e interações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3400"/>
        <w:gridCol w:w="1900"/>
        <w:gridCol w:w="1900"/>
        <w:gridCol w:w="1870"/>
      </w:tblGrid>
      <w:tr>
        <w:trPr>
          <w:tblHeader/>
        </w:trPr>
        <w:tc>
          <w:tcPr>
            <w:tcW w:type="dxa" w:w="34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19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Efeitos principais</w:t>
            </w:r>
          </w:p>
        </w:tc>
        <w:tc>
          <w:tcPr>
            <w:tcW w:type="dxa" w:w="19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Interações</w:t>
            </w:r>
          </w:p>
        </w:tc>
        <w:tc>
          <w:tcPr>
            <w:tcW w:type="dxa" w:w="18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Maior interação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atraso relativo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118,9%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-18,9%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CD (-26,2%)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ocupação E_total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104,5%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-4,5%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 (-2,6%)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tempo de ajuda TL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99,0%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1,0%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ACD (1,1%)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ociosidade TU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102,6%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-2,6%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 (-2,4%)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esforço de retrabalho TR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105,5%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-5,5%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ACD (9,4%)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trabalho efetivo TW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97,2%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2,8%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 (1,6%)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tarefas com defeito oculto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112,3%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-12,3%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 (-11,7%)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taxa de omissão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112,3%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-12,3%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 (-11,7%)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retrabalho sobre o plano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107,2%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-7,2%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ACD (10,1%)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sobre o plano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161,8%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-61,8%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CD (-45,5%)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de pico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161,7%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-61,7%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CD (-45,7%)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A = confiança inicial; B = limiar de confiança; C = probabilidade de reporte; D = probabilidade de detecção. Percentuais relativos ao contraste nominal entre os arranjos.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leitura da tabela é direta. Para os indicadores de tempo e ocupação, as interações são pequenas e a decomposição é quase aditiva. Para a família da dívida oculta, ao contrário, as interações carregam mais de três quintos do contraste, e a maior delas é antagônica entre a probabilidade de reporte e a de detecção: os dois parâmetros fazem em larga medida o mesmo trabalho — converter dívida oculta em retrabalho visível — e juntos entregam muito menos que a soma dos efeitos isolados. Nessa família, nenhuma atribuição a um parâmetro isolado é defensável.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Um parâmetro inerte.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fatorial revelou que o limiar de confiança não produz efeito algum em nenhuma das dezesseis células: as oito comparações que trocam apenas esse parâmetro são idênticas execução a execução, e todo termo do modelo saturado que o contém é exatamente zero. A causa não está no parâmetro e sim no fato de a confiança ser constante e igual para todos os agentes: o portão da Porta 2 compara sempre a confiança inicial com o limiar, de modo que os dois níveis testados do limiar caem do mesmo lado dos dois níveis testados da confiança inicial. A Tabela 11 mostra a resposta local do modelo a esse limiar.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11 – Resposta do arranjo centralizado ao limiar de confiança, com os demais parâmetros fixos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1250"/>
        <w:gridCol w:w="1150"/>
        <w:gridCol w:w="1350"/>
        <w:gridCol w:w="1450"/>
        <w:gridCol w:w="1150"/>
        <w:gridCol w:w="1150"/>
        <w:gridCol w:w="1150"/>
        <w:gridCol w:w="1420"/>
      </w:tblGrid>
      <w:tr>
        <w:trPr>
          <w:tblHeader/>
        </w:trPr>
        <w:tc>
          <w:tcPr>
            <w:tcW w:type="dxa" w:w="12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τ_mín</w:t>
            </w:r>
          </w:p>
        </w:tc>
        <w:tc>
          <w:tcPr>
            <w:tcW w:type="dxa" w:w="11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Ajudas</w:t>
            </w:r>
          </w:p>
        </w:tc>
        <w:tc>
          <w:tcPr>
            <w:tcW w:type="dxa" w:w="13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Bloqueios</w:t>
            </w:r>
          </w:p>
        </w:tc>
        <w:tc>
          <w:tcPr>
            <w:tcW w:type="dxa" w:w="14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Atraso relativo</w:t>
            </w:r>
          </w:p>
        </w:tc>
        <w:tc>
          <w:tcPr>
            <w:tcW w:type="dxa" w:w="11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TU</w:t>
            </w:r>
          </w:p>
        </w:tc>
        <w:tc>
          <w:tcPr>
            <w:tcW w:type="dxa" w:w="11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TL</w:t>
            </w:r>
          </w:p>
        </w:tc>
        <w:tc>
          <w:tcPr>
            <w:tcW w:type="dxa" w:w="11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TR</w:t>
            </w:r>
          </w:p>
        </w:tc>
        <w:tc>
          <w:tcPr>
            <w:tcW w:type="dxa" w:w="142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Ocupação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0,2000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2,8600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59,64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0,8980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0,2250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2,8600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59,64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0,8980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0,2400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2,8600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59,64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0,8980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0,2490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2,8600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59,64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0,8980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0,2499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2,8600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59,64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0,8980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68,87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0,2501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68,87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0,2510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68,87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0,2600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68,87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0,2750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68,87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0,3000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68,87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Dezesseis instâncias com doze sementes por ponto. A confiança inicial do arranjo centralizado vale 0,25.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resposta é um degrau, não um gradiente. Onze pontos da grade produzem apenas dois comportamentos, idênticos até a sexta casa decimal dentro de cada um, e o salto único ocorre num intervalo de largura de um décimo de milésimo que contém exatamente o valor da confiança inicial. Uma variação quatrocentas e noventa vezes maior, entre os dois extremos inferiores da grade, não produz efeito algum. A descontinuidade não decorre de má escolha de valor: enquanto a confiança for constante e idêntica entre agentes, o portão é uma única comparação global e o parâmetro não pode assumir outra forma. Registra-se, adicionalmente, que a confiança inicial do arranjo centralizado e o limiar do arranjo adaptativo foram fixados no mesmo valor, ambos declarados como premissa e sem justificativa numérica registrada, e que esse valor é precisamente o ponto de fronteira em que o resultado depende de a desigualdade do portão ser estrita. A desigualdade estrita é herdada da formulação conceitual; a coincidência dos dois valores é escolha de parametrização deste trabalho, e fica registrada como questão a rever.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segunda ablação neutraliza o mecanismo de assistência nos dois braços, em duas direções opostas: suprimindo integralmente a concessão de ajuda, e tornando-a disponível independentemente da confiança. A Tabela 12 apresenta o contraste entre os arranjos sob cada condição.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12 – Contraste entre os arranjos, nominal e sob ablação do mecanismo de assistência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550"/>
        <w:gridCol w:w="1180"/>
        <w:gridCol w:w="1300"/>
        <w:gridCol w:w="1350"/>
        <w:gridCol w:w="900"/>
        <w:gridCol w:w="900"/>
        <w:gridCol w:w="1890"/>
      </w:tblGrid>
      <w:tr>
        <w:trPr>
          <w:tblHeader/>
        </w:trPr>
        <w:tc>
          <w:tcPr>
            <w:tcW w:type="dxa" w:w="25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118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Nominal</w:t>
            </w:r>
          </w:p>
        </w:tc>
        <w:tc>
          <w:tcPr>
            <w:tcW w:type="dxa" w:w="13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Sem assist.</w:t>
            </w:r>
          </w:p>
        </w:tc>
        <w:tc>
          <w:tcPr>
            <w:tcW w:type="dxa" w:w="13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Assist. univ.</w:t>
            </w:r>
          </w:p>
        </w:tc>
        <w:tc>
          <w:tcPr>
            <w:tcW w:type="dxa" w:w="9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Resta (sem)</w:t>
            </w:r>
          </w:p>
        </w:tc>
        <w:tc>
          <w:tcPr>
            <w:tcW w:type="dxa" w:w="9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Resta (univ.)</w:t>
            </w:r>
          </w:p>
        </w:tc>
        <w:tc>
          <w:tcPr>
            <w:tcW w:type="dxa" w:w="189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Veredito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atraso relativo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-1,1354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-0,8240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-0,8608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72,6%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75,8%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ocupação E_total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0,1046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-0,0477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-0,0095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-45,6%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-9,0%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INVERTE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tempo de ajuda TL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10,4896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0,0000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0,5156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4,9%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DESAPARECE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ociosidade TU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-120,3229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18,9323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-0,5052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-15,7%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INVERTE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esforço de retrabalho TR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-16,3564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-4,2601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-7,1266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26,0%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43,6%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trabalho efetivo TW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-149,6042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-123,8073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-118,5365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82,8%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79,2%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tarefas com defeito oculto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-9,1979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-8,9948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-8,6198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97,8%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93,7%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taxa de omissão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-0,1533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-0,1499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-0,1437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97,8%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93,7%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retrabalho sobre o plano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-0,0486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-0,0130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-0,0211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26,7%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43,4%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sobre o plano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-0,0540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-0,0505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-0,0458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93,6%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84,8%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de pico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-18,2888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-17,1061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-15,5282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93,5%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84,9%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Contraste = média do arranjo adaptativo menos média do centralizado, por instância. As duas colunas “Resta” dão a fração do contraste nominal que sobrevive a cada ablação.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O que sobrevive e o que não sobrevive.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ablação separa dois conjuntos de resultados que estavam somados numa conclusão única. A redução da dívida técnica oculta sobrevive às duas ablações com mais de quatro quintos do contraste nominal, e é portanto robusta ao mecanismo de assistência. Já a vantagem em tempo e ocupação depende desse mecanismo: o tempo de ajuda desaparece por construção, a ociosidade e a ocupação invertem de sinal, o retrabalho pago conserva entre um quarto e dois quintos do contraste, e o atraso relativo conserva cerca de três quartos. Esses resultados ficam declarados como condicionados a uma hipótese estrutural ainda em avaliação — a de confiança constante — e não como estabelecidos.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2.10  Divergência declarada na Porta 2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conferência do código contra o pseudocódigo da fase conceitual encontrou uma divergência não declarada na Porta 2. A regra conceitual condiciona a concessão de ajuda a duas condições, disponibilidade e confiança, e nada estabelece sobre competência. A implementação acrescenta uma terceira condição, a de que o agente que presta apoio seja mais competente que o que solicita. A Tabela 13 mede a diferença entre as duas operacionalizações sobre as mesmas instâncias, sementes e demais parâmetros.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13 – Porta 2: operacionalização implementada e regra conceitual literal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1900"/>
        <w:gridCol w:w="2400"/>
        <w:gridCol w:w="1500"/>
        <w:gridCol w:w="1500"/>
        <w:gridCol w:w="1250"/>
        <w:gridCol w:w="520"/>
      </w:tblGrid>
      <w:tr>
        <w:trPr>
          <w:tblHeader/>
        </w:trPr>
        <w:tc>
          <w:tcPr>
            <w:tcW w:type="dxa" w:w="19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Arranjo</w:t>
            </w:r>
          </w:p>
        </w:tc>
        <w:tc>
          <w:tcPr>
            <w:tcW w:type="dxa" w:w="24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15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Implementada</w:t>
            </w:r>
          </w:p>
        </w:tc>
        <w:tc>
          <w:tcPr>
            <w:tcW w:type="dxa" w:w="15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Conceitual</w:t>
            </w:r>
          </w:p>
        </w:tc>
        <w:tc>
          <w:tcPr>
            <w:tcW w:type="dxa" w:w="12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Diferença</w:t>
            </w:r>
          </w:p>
        </w:tc>
        <w:tc>
          <w:tcPr>
            <w:tcW w:type="dxa" w:w="52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atraso relativo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ocupação E_total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tempo de ajuda TL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0,0000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0,0000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ociosidade TU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126,2656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126,2656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esforço de retrabalho TR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68,8653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68,8653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de pico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25,1123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25,1123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tarefas com defeito oculto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13,0208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13,0208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atraso relativo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1,9991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1,9977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-0,1%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0,860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ocupação E_total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0,8885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0,8879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-0,1%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0,940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tempo de ajuda TL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10,4896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10,2188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-2,6%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0,346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ociosidade TU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5,9427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6,8906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16,0%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0,820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esforço de retrabalho TR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52,5089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52,9729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0,782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de pico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6,8235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6,9315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1,6%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0,744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tarefas com defeito oculto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3,8229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3,7344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-2,3%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0,815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Dezesseis instâncias com doze sementes, pareadas; unidade inferencial: instância.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Magnitude.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No arranjo centralizado a diferença é exatamente nula, porque o filtro de competência nunca chega a ser avaliado: a confiança já impede toda concessão de ajuda. No arranjo adaptativo, todos os indicadores publicados variam menos de três por cento, com exceção da ociosidade, cuja variação relativa é maior mas incide sobre valores absolutos pequenos e não é estatisticamente distinguível. O critério de materialidade foi declarado antes da medição: a divergência seria material se alterasse algum indicador publicado em mais de cinco por cento com significância, ou se invertesse algum sinal. Nenhuma das duas condições se verifica.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Avaliação conceitual da restrição.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restrição não é arbitrária, e sua justificativa não depende do desempenho que produz. A equação de transferência de conhecimento permanece positiva mesmo quando o agente que presta apoio é menos competente que o que solicita, porque o termo proporcional à diferença de competências jamais chega a anular o incremento de base. Sem a restrição, portanto, a formulação permitiria que um agente elevasse sua competência ao receber apoio de um colega que sabe menos, o que é incompatível com o significado da variável: a própria lista de símbolos da fase conceitual define o limiar como limiar de transferência de conhecimento, e não se transfere o que não se possui. O protocolo de Crowder et al. (2012), origem da equação, é coerente com essa leitura ao fazer o agente difundir o pedido precisamente porque sua competência é inferior à dificuldade da subtarefa. A restrição é, assim, apresentada como decisão de operacionalização na passagem do modelo conceitual ao computacional, e não como correção nem como erro. Fica registrado que ela não constava da especificação e que deverá ser formalizada nela, com a justificativa acima, antes da versão final. A escolha definitiva entre as duas formulações não é feita nesta entrega e não será feita com base em desempenho.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2.11  Rastreabilidade das verificações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Tabela 14 registra, para cada procedimento, as instâncias e sementes utilizadas, o número de execuções e o arquivo de saída correspondente, de modo que qualquer número apresentado possa ser reencontrado. As tabelas das Seções 2.7 a 2.11, bem como a matriz de cenários e a tabela do experimento, são montadas em tempo de geração a partir desses arquivos, sem valor digitado. Registre-se, para não induzir generalização indevida, que as demais tabelas e os valores citados no corpo do texto das Seções 2.2 a 2.6 — a camada de dados — ainda são transcritos manualmente a partir das saídas dos scripts correspondentes. Foram conferidos contra os arquivos de origem, mas a garantia que vale para as seções derivadas de CSV não vale para eles; a extensão desse mecanismo às seções de dados está registrada como pendência.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14 – Procedimentos de verificação, condições de execução e arquivos de saída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450"/>
        <w:gridCol w:w="2050"/>
        <w:gridCol w:w="1250"/>
        <w:gridCol w:w="1050"/>
        <w:gridCol w:w="2270"/>
      </w:tblGrid>
      <w:tr>
        <w:trPr>
          <w:tblHeader/>
        </w:trPr>
        <w:tc>
          <w:tcPr>
            <w:tcW w:type="dxa" w:w="24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Procedimento</w:t>
            </w:r>
          </w:p>
        </w:tc>
        <w:tc>
          <w:tcPr>
            <w:tcW w:type="dxa" w:w="20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Instâncias</w:t>
            </w:r>
          </w:p>
        </w:tc>
        <w:tc>
          <w:tcPr>
            <w:tcW w:type="dxa" w:w="12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Sementes</w:t>
            </w:r>
          </w:p>
        </w:tc>
        <w:tc>
          <w:tcPr>
            <w:tcW w:type="dxa" w:w="10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Execuções</w:t>
            </w:r>
          </w:p>
        </w:tc>
        <w:tc>
          <w:tcPr>
            <w:tcW w:type="dxa" w:w="22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Arquivo</w:t>
            </w:r>
          </w:p>
        </w:tc>
      </w:tr>
      <w:tr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Experimento central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 instâncias J60 (todas[::30][:16])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a 11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384</w:t>
            </w:r>
          </w:p>
        </w:tc>
        <w:tc>
          <w:tcPr>
            <w:tcW w:type="dxa" w:w="2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modelo_03_experimento_bruto.csv</w:t>
            </w:r>
          </w:p>
        </w:tc>
      </w:tr>
      <w:tr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Ablação de governança (B9)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 mesmas 16 instâncias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a 11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2880</w:t>
            </w:r>
          </w:p>
        </w:tc>
        <w:tc>
          <w:tcPr>
            <w:tcW w:type="dxa" w:w="2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modelo_07_ablacao_bruto.csv</w:t>
            </w:r>
          </w:p>
        </w:tc>
      </w:tr>
      <w:tr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Decomposição fatorial 2⁴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 mesmas 16 instâncias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a 11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3072</w:t>
            </w:r>
          </w:p>
        </w:tc>
        <w:tc>
          <w:tcPr>
            <w:tcW w:type="dxa" w:w="2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modelo_10_fatorial_celulas.csv</w:t>
            </w:r>
          </w:p>
        </w:tc>
      </w:tr>
      <w:tr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Sensibilidade de τ_mín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 mesmas 16 instâncias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a 11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2112</w:t>
            </w:r>
          </w:p>
        </w:tc>
        <w:tc>
          <w:tcPr>
            <w:tcW w:type="dxa" w:w="2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modelo_09_sensibilidade_tau_min.csv</w:t>
            </w:r>
          </w:p>
        </w:tc>
      </w:tr>
      <w:tr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Tendência sob pressão — piloto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j6010_1 e j6014_1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a 39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800</w:t>
            </w:r>
          </w:p>
        </w:tc>
        <w:tc>
          <w:tcPr>
            <w:tcW w:type="dxa" w:w="2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modelo_11_tendencia_piloto.csv</w:t>
            </w:r>
          </w:p>
        </w:tc>
      </w:tr>
      <w:tr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Tendência sob pressão — confirmatório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j6010_1 e j6014_1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1000 a 1099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2000</w:t>
            </w:r>
          </w:p>
        </w:tc>
        <w:tc>
          <w:tcPr>
            <w:tcW w:type="dxa" w:w="2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modelo_11_tendencia_confirmatorio.csv</w:t>
            </w:r>
          </w:p>
        </w:tc>
      </w:tr>
      <w:tr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Porta 2 — TCC1 × TCC2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 mesmas 16 instâncias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a 11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768</w:t>
            </w:r>
          </w:p>
        </w:tc>
        <w:tc>
          <w:tcPr>
            <w:tcW w:type="dxa" w:w="2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modelo_12_porta2_comparacao.csv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Os arquivos residem em outputs/tables no repositório do trabalho.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2.12  Calibração e identificabilidade dos parâmetros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procedimento descrito na Seção 1.8 foi executado em duas ondas de quatrocentos pontos amostrados por hipercubo latino, calibrando cinco parâmetros contra quatro observáveis. O teste do gêmeo idêntico foi aprovado nos três critérios: o conjunto NROY não é vazio, com cento e quinze pontos; contém o vetor verdadeiro nos cinco parâmetros; e o volume da caixa envolvente foi reduzido a quatorze vírgula oito por cento do volume a priori.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aprovação do teste, contudo, não implica que os cinco parâmetros tenham sido determinados. A Tabela 15 reporta, para cada um, a redução da largura marginal do conjunto NROY relativamente à faixa inicial.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15 – Identificabilidade dos parâmetros calibrados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3470"/>
        <w:gridCol w:w="1600"/>
        <w:gridCol w:w="1800"/>
        <w:gridCol w:w="2200"/>
      </w:tblGrid>
      <w:tr>
        <w:trPr>
          <w:tblHeader/>
        </w:trPr>
        <w:tc>
          <w:tcPr>
            <w:tcW w:type="dxa" w:w="34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Parâmetro</w:t>
            </w:r>
          </w:p>
        </w:tc>
        <w:tc>
          <w:tcPr>
            <w:tcW w:type="dxa" w:w="16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Valor verdadeiro</w:t>
            </w:r>
          </w:p>
        </w:tc>
        <w:tc>
          <w:tcPr>
            <w:tcW w:type="dxa" w:w="18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Redução da largura</w:t>
            </w:r>
          </w:p>
        </w:tc>
        <w:tc>
          <w:tcPr>
            <w:tcW w:type="dxa" w:w="22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Veredito</w:t>
            </w:r>
          </w:p>
        </w:tc>
      </w:tr>
      <w:t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μ_mín (piso do multiplicador de produtividade)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0,6200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70,3%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identificado</w:t>
            </w:r>
          </w:p>
        </w:tc>
      </w:tr>
      <w:t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F_âncora (frequência basal de defeito)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0,1800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36,8%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parcialmente identificado</w:t>
            </w:r>
          </w:p>
        </w:tc>
      </w:tr>
      <w:t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τ_sat (limiar de saturação cognitiva)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0,8500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10,9%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 identificado</w:t>
            </w:r>
          </w:p>
        </w:tc>
      </w:tr>
      <w:t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f_retrabalho (severidade do retrabalho)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0,4200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6,0%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 identificado</w:t>
            </w:r>
          </w:p>
        </w:tc>
      </w:tr>
      <w:t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k_heurístico (drenagem em modo heurístico)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0,1350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5,8%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 identificado</w:t>
            </w:r>
          </w:p>
        </w:tc>
      </w:tr>
      <w:t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F_âncora × f_retrabalho (produto)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0,0756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74,7%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identificado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Adotou-se o limiar de vinte e cinco por cento de redução como fronteira da não identificabilidade.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Equifinalidade de causa estrutural.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correlação de postos entre F_âncora e f_retrabalho, calculada dentro do conjunto NROY, é de menos zero vírgula oitocentos e quarenta, o que caracteriza uma crista. A crista não é acidente amostral: decorre da estrutura do modelo. O esforço de retrabalho gerado por tarefa é, em esperança, o produto entre a probabilidade de falha e a severidade do retrabalho, e a probabilidade de falha é proporcional a F_âncora. Os observáveis agregados enxergam apenas esse produto, de modo que aumentos em um fator podem ser compensados por reduções no outro sem alteração das saídas.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9 – Conjunto NROY projetado sobre a crista de equifinalidade e redução marginal por parâmetro</w:t>
      </w:r>
    </w:p>
    <w:p>
      <w:pPr>
        <w:spacing w:after="40" w:before="200"/>
        <w:jc w:val="center"/>
      </w:pPr>
      <w:r>
        <w:drawing>
          <wp:inline distT="0" distB="0" distL="0" distR="0">
            <wp:extent cx="5581650" cy="302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hipótese foi testada e confirmada: o produto dos dois fatores apresenta redução de setenta e quatro vírgula sete por cento, contra trinta e seis vírgula oito e seis vírgula zero por cento dos fatores isolados. Decorre daí uma recomendação de reparametrização: em calibração com dados reais, deve-se estimar o produto — interpretável como esforço esperado de retrabalho por tarefa — e declarar a divisão entre frequência e severidade como não identificada, em vez de reportar dois números que os dados não sustentam. A separação dos fatores exigiria observar a taxa de defeito e o custo unitário de correção de forma independente, dado que o delineamento atual não contempla.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Estabilidade entre ondas: achado preliminar.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larguras marginais praticamente não se alteraram entre a primeira e a segunda onda. Essa estabilidade é compatível com um limite de identificabilidade estrutural, e não de tamanho de amostra, mas a hipótese ainda não está demonstrada: a segunda onda foi amostrada a partir do mesmo gerador da primeira, e um desenho amostral independente é necessário para distinguir estabilidade real de estabilidade herdada do delineamento. Até que essa verificação seja executada, o achado é registrado como preliminar, e não se afirma que uma terceira onda não reduziria o espaço.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2.13  Procedência dos parâmetros e limitações declaradas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Tabela 16 resume a procedência dos parâmetros do modelo, segundo a classificação mantida no arquivo único de configuração. A distinção é mantida explícita porque a credibilidade de um modelo de simulação depende menos do número de parâmetros do que da clareza sobre a origem de cada um.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16 – Procedência dos parâmetros do modelo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1700"/>
        <w:gridCol w:w="1300"/>
        <w:gridCol w:w="6070"/>
      </w:tblGrid>
      <w:tr>
        <w:trPr>
          <w:tblHeader/>
        </w:trPr>
        <w:tc>
          <w:tcPr>
            <w:tcW w:type="dxa" w:w="17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Condição</w:t>
            </w:r>
          </w:p>
        </w:tc>
        <w:tc>
          <w:tcPr>
            <w:tcW w:type="dxa" w:w="13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Quantidade</w:t>
            </w:r>
          </w:p>
        </w:tc>
        <w:tc>
          <w:tcPr>
            <w:tcW w:type="dxa" w:w="60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aberto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ainda não fixado; cinco deles submetidos à calibração da Seção 2.9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calibrado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estimado dos dados por procedimento documentado: o gradiente de risco RR por faixa, obtido da base NASA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derivado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calculado do escalonamento de referência das próprias instâncias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literatura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exigido por resultado publicado: a t-norma produto e a existência de partição difusa na saída (Van Broekhoven e De Baets, 2009)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premissa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6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arbitrado de forma declarada, com justificativa registrada e sujeito a varredura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tcc1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herdado da fase conceitual sem alteração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 (2026), a partir do arquivo de configuração do modelo.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Limitações.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Quatro limitações são declaradas. Primeira, a transferência ordinal de risco entre domínios pressupõe que o gradiente de risco por dificuldade seja transferível, ainda que o nível absoluto não seja; trata-se de suposição, e não de resultado. Segunda, e mais importante para a leitura desta entrega, NÃO foi realizada validação externa do simulador: não há aqui nenhum critério confrontado com observação de campo que pudesse reprová-lo. A comparação da fração de retrabalho com a literatura funciona apenas como verificação de ordem de grandeza, e a Seção 2.7 demonstra que ela aprova em toda a faixa declarada do parâmetro de risco basal, isto é, que seu poder de rejeição é nulo. Terceira, o teste do gêmeo idêntico é otimista por construção, uma vez que anula a discrepância entre modelo e realidade. Quarta, três dos cinco parâmetros submetidos à calibração não são identificáveis com os observáveis do delineamento atual, e assim são reportados.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2.14  Cronograma de atividades e próximas etapas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Tabela 17 distribui cronologicamente as atividades previstas para a conclusão do trabalho.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17 – Cronograma de finalização do trabalho (TCC II)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4270"/>
        <w:gridCol w:w="960"/>
        <w:gridCol w:w="960"/>
        <w:gridCol w:w="960"/>
        <w:gridCol w:w="960"/>
        <w:gridCol w:w="960"/>
      </w:tblGrid>
      <w:tr>
        <w:trPr>
          <w:tblHeader/>
        </w:trPr>
        <w:tc>
          <w:tcPr>
            <w:tcW w:type="dxa" w:w="42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Atividade / etapa de engenharia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Set.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Out.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Nov.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Dez.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Jan.</w:t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 Confirmação da proveniência dos dados junto à coleção oficial e fechamento da calibração NASA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 Auditoria do PSPLIB J60 e validação dos parâmetros NC, RF e RS (concluída)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 Construção do índice de dificuldade e da transferência ordinal NASA → J60 (concluída)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 Implementação do sistema de inferência difusa e do simulador de equipes (concluída)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 Verificação do simulador e experimento de governança (concluídos)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 Calibração por History Matching e teste do gêmeo idêntico (concluídos)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 Fixação da âncora de risco por dado do domínio de engenharia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8. Análise de sensibilidade sobre os parâmetros em varredura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9. Ensaios finais e validação do modelo integrado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10. Redação final da monografia conforme normas ABNT e preparação da defesa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 (2026).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REFERÊNCIAS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ANDRIANAKIS, I.; VERNON, I. R.; McCREESH, N. et al. Bayesian history matching of complex infectious disease models using emulation: a tutorial and a case study on HIV in Uganda. PLoS Computational Biology, v. 11, n. 1, e1003968, 2015. DOI 10.1371/journal.pcbi.1003968.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BEIN, W. W.; KAMBUROWSKI, J.; STALLMANN, M. F. M. Optimal reduction of two-terminal directed acyclic graphs. SIAM Journal on Computing, v. 21, n. 6, p. 1112-1129, 1992.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BOEHM, B.; BASILI, V. R. Software defect reduction top 10 list. Computer, v. 34, n. 1, p. 135-137, jan. 2001. DOI 10.1109/2.962984.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CROWDER, R. M.; ROBINSON, M. A.; HUGHES, H. P. N. et al. The development of an agent-based modeling framework for simulating engineering team work. IEEE Transactions on Systems, Man, and Cybernetics – Part A: Systems and Humans, v. 42, n. 6, p. 1425-1439, 2012.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 REYCK, B.; HERROELEN, W. On the use of the complexity index as a measure of complexity in activity networks. European Journal of Operational Research, v. 91, n. 2, p. 347-366, 1996.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KOLISCH, R. Serial and parallel resource-constrained project scheduling methods revisited: theory and computation. European Journal of Operational Research, v. 90, n. 2, p. 320-333, 1996.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KOLISCH, R.; SPRECHER, A. PSPLIB – a project scheduling problem library. European Journal of Operational Research, v. 96, n. 1, p. 205-216, 1997.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KOLISCH, R.; SPRECHER, A.; DREXL, A. Characterization and generation of a general class of resource-constrained project scheduling problems. Management Science, v. 41, n. 10, p. 1693-1703, 1995.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LIU, S.; TRIANTIS, K. P.; SARANGI, S. Representing qualitative variables and their interactions with fuzzy logic in system dynamics modeling. Systems Research and Behavioral Science, v. 28, p. 245-263, 2011.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LOVE, P. E. D.; LI, H. Quantifying the causes and costs of rework in construction. Construction Management and Economics, v. 18, n. 4, p. 479-490, 2000.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LOVE, P. E. D.; MATTHEWS, J.; FANG, W. et al. Quantifying the costs of field rework in construction. Journal of Construction Engineering and Management, v. 152, n. 1, 2026. DOI 10.1061/JCEMD4.COENG-17026.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MACAL, C. M.; NORTH, M. J. Tutorial on agent-based modelling and simulation. Journal of Simulation, v. 4, n. 3, p. 151-162, 2010.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McCABE, T. J. A complexity measure. IEEE Transactions on Software Engineering, v. SE-2, n. 4, p. 308-320, 1976.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McCULLOCH, J.; GE, J.; WARD, J. A.; HEPPENSTALL, A.; POLHILL, J. G.; MALLESON, N. Calibrating agent-based models using uncertainty quantification methods. Journal of Artificial Societies and Social Simulation, v. 25, n. 2, artigo 1, 2022. DOI 10.18564/jasss.4791.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NATIONAL AERONAUTICS AND SPACE ADMINISTRATION. Cyclomatic complexity assessment. NASA/TM-20205011566, NESC-RP-20-01515. Washington: NASA, 2020.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NATIONAL AERONAUTICS AND SPACE ADMINISTRATION. SWE-220 – Cyclomatic complexity for safety-critical software. NASA Software Engineering Handbook, versão D. Disponível em: https://swehb.nasa.gov. Acesso em: 3 set. 2026.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PUKELSHEIM, F. The three sigma rule. The American Statistician, v. 48, n. 2, p. 88-91, 1994. DOI 10.1080/00031305.1994.10476030.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RODRIGUES, A. G. The application of system dynamics to project management: an integrated methodology (SYDPIM). Tese (Doctor of Philosophy) — University of Strathclyde, Glasgow, 2000.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SHEPPERD, M. The cleaned NASA MDP data sets. Thoughts on Empirical Software Engineering, 1 abr. 2018. Disponível em: https://empiricalsoftwareengineering.wordpress.com. Acesso em: 3 set. 2026.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SHEPPERD, M.; SONG, Q.; SUN, Z.; MAIR, C. Data quality: some comments on the NASA software defect datasets. IEEE Transactions on Software Engineering, v. 39, n. 9, p. 1208-1215, 2013.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STERMAN, J. D. Business dynamics: systems thinking and modeling for a complex world. Boston: Irwin/McGraw-Hill, 2000.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VAN BROEKHOVEN, E.; DE BAETS, B. Only smooth rule bases can generate monotone Mamdani-Assilian models under center-of-gravity defuzzification. IEEE Transactions on Fuzzy Systems, v. 17, n. 5, p. 1157-1174, out. 2009. DOI 10.1109/TFUZZ.2009.2023328.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ab77e0b7010e60a91b141aa3aa224d659eccd.png"/><Relationship Id="rId8" Type="http://schemas.openxmlformats.org/officeDocument/2006/relationships/image" Target="media/14ecd3f83c301fcc8357d1851565cd68caca50c4.png"/><Relationship Id="rId9" Type="http://schemas.openxmlformats.org/officeDocument/2006/relationships/image" Target="media/14f930279bfd1e0fce3dfc9de1def10b8ade1afc.png"/><Relationship Id="rId10" Type="http://schemas.openxmlformats.org/officeDocument/2006/relationships/image" Target="media/3bf2fa59d9763d8544097b408777fb39f848d754.png"/><Relationship Id="rId11" Type="http://schemas.openxmlformats.org/officeDocument/2006/relationships/image" Target="media/b84eefe191a1b15edd5dd5f21aec397eb9e28960.png"/><Relationship Id="rId12" Type="http://schemas.openxmlformats.org/officeDocument/2006/relationships/image" Target="media/85e12bfeb03a4a27ad539f8ea3c270991340fe89.png"/><Relationship Id="rId13" Type="http://schemas.openxmlformats.org/officeDocument/2006/relationships/image" Target="media/a1e5985db8a81d114e6e5e11bde83be57bafb2ee.png"/><Relationship Id="rId14" Type="http://schemas.openxmlformats.org/officeDocument/2006/relationships/image" Target="media/55a45c6dd7445b7fde05102abedc9ecd65d8a0fe.png"/><Relationship Id="rId15" Type="http://schemas.openxmlformats.org/officeDocument/2006/relationships/image" Target="media/12b51ff485370dd2da835040ca7448f90f6f883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TCC II — Metodologia e Resultados Iniciais</dc:title>
  <dc:creator>Isadora Maria Carvalho Lopes</dc:creator>
  <cp:lastModifiedBy>Un-named</cp:lastModifiedBy>
  <cp:revision>1</cp:revision>
  <dcterms:created xsi:type="dcterms:W3CDTF">2026-09-07T03:13:59.759Z</dcterms:created>
  <dcterms:modified xsi:type="dcterms:W3CDTF">2026-09-07T03:13:59.759Z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