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864"/>
          <w:sz w:val="52"/>
        </w:rPr>
        <w:t>Guión de defensa en vídeo</w:t>
      </w:r>
    </w:p>
    <w:p>
      <w:pPr>
        <w:jc w:val="center"/>
      </w:pPr>
      <w:r>
        <w:rPr>
          <w:color w:val="2E75B6"/>
          <w:sz w:val="32"/>
        </w:rPr>
        <w:t>Movilidad Turística Sostenible en Mallorca</w:t>
      </w:r>
    </w:p>
    <w:p>
      <w:pPr>
        <w:jc w:val="center"/>
      </w:pPr>
      <w:r>
        <w:rPr>
          <w:i/>
          <w:color w:val="595959"/>
          <w:sz w:val="26"/>
        </w:rPr>
        <w:t>Desafío 4 · Trabajo Fin de Máster</w:t>
      </w:r>
    </w:p>
    <w:p/>
    <w:p/>
    <w:p>
      <w:pPr>
        <w:jc w:val="center"/>
      </w:pPr>
      <w:r>
        <w:rPr>
          <w:b/>
          <w:sz w:val="26"/>
        </w:rPr>
        <w:t>Duración total del vídeo: 5:00 minutos máximo</w:t>
      </w:r>
    </w:p>
    <w:p/>
    <w:p/>
    <w:p/>
    <w:p/>
    <w:p/>
    <w:p/>
    <w:p>
      <w:pPr>
        <w:jc w:val="center"/>
      </w:pPr>
      <w:r>
        <w:rPr>
          <w:color w:val="595959"/>
          <w:sz w:val="20"/>
        </w:rPr>
        <w:t>Diapositivas de apoyo: ver el artefacto “Defensa TFM — Movilidad Mallorca”</w:t>
      </w:r>
    </w:p>
    <w:p>
      <w:r>
        <w:br w:type="page"/>
      </w:r>
    </w:p>
    <w:p>
      <w:pPr>
        <w:pStyle w:val="Heading1"/>
      </w:pPr>
      <w:r>
        <w:t>Cómo usar este guión</w:t>
      </w:r>
    </w:p>
    <w:p>
      <w:pPr>
        <w:pStyle w:val="ListBullet"/>
        <w:spacing w:after="120"/>
      </w:pPr>
      <w:r>
        <w:rPr>
          <w:b/>
          <w:sz w:val="22"/>
        </w:rPr>
        <w:t xml:space="preserve">Los tiempos: </w:t>
      </w:r>
      <w:r>
        <w:rPr>
          <w:sz w:val="22"/>
        </w:rPr>
        <w:t>cada bloque indica el minuto exacto en el que debe empezar y con qué diapositiva o pantalla va, para no perder el ritmo.</w:t>
      </w:r>
    </w:p>
    <w:p>
      <w:pPr>
        <w:pStyle w:val="ListBullet"/>
        <w:spacing w:after="120"/>
      </w:pPr>
      <w:r>
        <w:rPr>
          <w:b/>
          <w:sz w:val="22"/>
        </w:rPr>
        <w:t xml:space="preserve">El texto citado: </w:t>
      </w:r>
      <w:r>
        <w:rPr>
          <w:sz w:val="22"/>
        </w:rPr>
        <w:t>todo lo que va entre comillas está pensado para leerse en voz alta, casi palabra por palabra; ajústalo a tu forma de hablar, pero no lo alargues.</w:t>
      </w:r>
    </w:p>
    <w:p>
      <w:pPr>
        <w:pStyle w:val="ListBullet"/>
        <w:spacing w:after="120"/>
      </w:pPr>
      <w:r>
        <w:rPr>
          <w:b/>
          <w:sz w:val="22"/>
        </w:rPr>
        <w:t xml:space="preserve">Los cambios de pantalla: </w:t>
      </w:r>
      <w:r>
        <w:rPr>
          <w:sz w:val="22"/>
        </w:rPr>
        <w:t>cuando el guión dice «cambia a pantalla compartida», es el momento de dejar de mostrar las diapositivas y compartir la ventana de la aplicación (Streamlit).</w:t>
      </w:r>
    </w:p>
    <w:p>
      <w:pPr>
        <w:pStyle w:val="ListBullet"/>
        <w:spacing w:after="120"/>
      </w:pPr>
      <w:r>
        <w:rPr>
          <w:b/>
          <w:sz w:val="22"/>
        </w:rPr>
        <w:t xml:space="preserve">Antes de grabar: </w:t>
      </w:r>
      <w:r>
        <w:rPr>
          <w:sz w:val="22"/>
        </w:rPr>
        <w:t>practica la demo entera al menos una vez antes de grabar, con la consulta del Planificador ya precargada (ver aviso importante al final).</w:t>
      </w:r>
    </w:p>
    <w:p>
      <w:r>
        <w:br w:type="page"/>
      </w:r>
    </w:p>
    <w:p>
      <w:pPr>
        <w:pStyle w:val="Heading1"/>
      </w:pPr>
      <w:r>
        <w:t>Guión cronometrado (5:00 min)</w:t>
      </w:r>
    </w:p>
    <w:p>
      <w:pPr>
        <w:spacing w:before="280" w:after="80"/>
      </w:pPr>
      <w:r>
        <w:rPr>
          <w:b/>
          <w:color w:val="2E75B6"/>
          <w:sz w:val="24"/>
        </w:rPr>
        <w:t xml:space="preserve">[0:00–0:15] </w:t>
      </w:r>
      <w:r>
        <w:rPr>
          <w:b/>
          <w:color w:val="1F3864"/>
          <w:sz w:val="24"/>
        </w:rPr>
        <w:t>Diapositiva 1 — Portada</w:t>
      </w:r>
    </w:p>
    <w:p>
      <w:pPr>
        <w:spacing w:after="280" w:line="312" w:lineRule="auto"/>
        <w:ind w:left="283"/>
        <w:shd w:val="clear" w:fill="EEF3FA"/>
      </w:pPr>
      <w:r>
        <w:rPr>
          <w:i/>
          <w:color w:val="1F3864"/>
          <w:sz w:val="24"/>
        </w:rPr>
        <w:t>“Hola. Este es mi Trabajo Fin de Máster para el Desafío 4: un generador de mapas de accesibilidad y movilidad sostenible para el turismo en Mallorca. En cinco minutos os enseño cómo funciona y qué demuestra.”</w:t>
      </w:r>
    </w:p>
    <w:p>
      <w:pPr>
        <w:spacing w:before="280" w:after="80"/>
      </w:pPr>
      <w:r>
        <w:rPr>
          <w:b/>
          <w:color w:val="2E75B6"/>
          <w:sz w:val="24"/>
        </w:rPr>
        <w:t xml:space="preserve">[0:15–0:50] </w:t>
      </w:r>
      <w:r>
        <w:rPr>
          <w:b/>
          <w:color w:val="1F3864"/>
          <w:sz w:val="24"/>
        </w:rPr>
        <w:t>Diapositiva 2 — El problema</w:t>
      </w:r>
    </w:p>
    <w:p>
      <w:pPr>
        <w:spacing w:after="280" w:line="312" w:lineRule="auto"/>
        <w:ind w:left="283"/>
        <w:shd w:val="clear" w:fill="EEF3FA"/>
      </w:pPr>
      <w:r>
        <w:rPr>
          <w:i/>
          <w:color w:val="1F3864"/>
          <w:sz w:val="24"/>
        </w:rPr>
        <w:t>“Mallorca recibe muchos más turistas de los que su transporte público puede absorber sin tensionarse. Muchos alojamientos —sobre todo rurales y vacacionales— están lejos de una parada de autobús, lo que empuja al visitante a depender del coche. El problema no es solo que exista esa desconexión: es que hasta ahora nadie la había medido con datos reales y verificables, para saber exactamente dónde intervenir primero.”</w:t>
      </w:r>
    </w:p>
    <w:p>
      <w:pPr>
        <w:spacing w:before="280" w:after="80"/>
      </w:pPr>
      <w:r>
        <w:rPr>
          <w:b/>
          <w:color w:val="2E75B6"/>
          <w:sz w:val="24"/>
        </w:rPr>
        <w:t xml:space="preserve">[0:50–1:20] </w:t>
      </w:r>
      <w:r>
        <w:rPr>
          <w:b/>
          <w:color w:val="1F3864"/>
          <w:sz w:val="24"/>
        </w:rPr>
        <w:t>Diapositiva 3 — La solución</w:t>
      </w:r>
    </w:p>
    <w:p>
      <w:pPr>
        <w:spacing w:after="280" w:line="312" w:lineRule="auto"/>
        <w:ind w:left="283"/>
        <w:shd w:val="clear" w:fill="EEF3FA"/>
      </w:pPr>
      <w:r>
        <w:rPr>
          <w:i/>
          <w:color w:val="1F3864"/>
          <w:sz w:val="24"/>
        </w:rPr>
        <w:t>“Para resolverlo, construí una plataforma que cruza datos abiertos —OpenStreetMap, el transporte público oficial, el registro de alojamientos— con un motor de rutas real, OpenTripPlanner, que calcula caminos a pie, en bici y en autobús como cualquier buscador de rutas. Con esos datos calculo el TSMAI: un índice de accesibilidad sostenible por alojamiento, explicable, con nueve versiones documentadas de mejora.”</w:t>
      </w:r>
    </w:p>
    <w:p>
      <w:pPr>
        <w:spacing w:before="280" w:after="80"/>
      </w:pPr>
      <w:r>
        <w:rPr>
          <w:b/>
          <w:color w:val="2E75B6"/>
          <w:sz w:val="24"/>
        </w:rPr>
        <w:t xml:space="preserve">[1:20–1:30] </w:t>
      </w:r>
      <w:r>
        <w:rPr>
          <w:b/>
          <w:color w:val="1F3864"/>
          <w:sz w:val="24"/>
        </w:rPr>
        <w:t>Diapositiva 4 — Agenda de la demo (transición)</w:t>
      </w:r>
    </w:p>
    <w:p>
      <w:pPr>
        <w:spacing w:after="280" w:line="312" w:lineRule="auto"/>
        <w:ind w:left="283"/>
        <w:shd w:val="clear" w:fill="EEF3FA"/>
      </w:pPr>
      <w:r>
        <w:rPr>
          <w:i/>
          <w:color w:val="1F3864"/>
          <w:sz w:val="24"/>
        </w:rPr>
        <w:t>“Os lo enseño en vivo.”</w:t>
      </w:r>
    </w:p>
    <w:p>
      <w:pPr>
        <w:spacing w:after="320" w:before="0" w:line="288" w:lineRule="auto"/>
      </w:pPr>
      <w:r>
        <w:rPr>
          <w:b w:val="0"/>
          <w:i/>
          <w:color w:val="2E75B6"/>
          <w:sz w:val="20"/>
        </w:rPr>
        <w:t>→ Aquí cambias a pantalla compartida: la aplicación Streamlit, ya abierta en el navegador.</w:t>
      </w:r>
    </w:p>
    <w:p>
      <w:pPr>
        <w:pStyle w:val="Heading2"/>
      </w:pPr>
      <w:r>
        <w:t>1:30–3:50 — DEMO EN LA APLICACIÓN (2:20 min)</w:t>
      </w:r>
    </w:p>
    <w:p>
      <w:pPr>
        <w:spacing w:after="160" w:before="160" w:line="288" w:lineRule="auto"/>
      </w:pPr>
      <w:r>
        <w:rPr>
          <w:b/>
          <w:i w:val="0"/>
          <w:color w:val="1F3864"/>
          <w:sz w:val="22"/>
        </w:rPr>
        <w:t>Pantalla 1 · Resumen de decisión (≈20 s)</w:t>
      </w:r>
    </w:p>
    <w:p>
      <w:pPr>
        <w:spacing w:after="280" w:line="312" w:lineRule="auto"/>
        <w:ind w:left="283"/>
        <w:shd w:val="clear" w:fill="EEF3FA"/>
      </w:pPr>
      <w:r>
        <w:rPr>
          <w:i/>
          <w:color w:val="1F3864"/>
          <w:sz w:val="24"/>
        </w:rPr>
        <w:t>“Esta es la pantalla principal. De 1.461 alojamientos, 172 están en «prioridad de mejora», y 139 de esos se mantienen aunque cambiemos los pesos del índice — es decir, es una prioridad robusta, no un accidente de cálculo.”</w:t>
      </w:r>
    </w:p>
    <w:p>
      <w:pPr>
        <w:spacing w:after="160" w:before="80" w:line="288" w:lineRule="auto"/>
      </w:pPr>
      <w:r>
        <w:rPr>
          <w:b/>
          <w:i w:val="0"/>
          <w:color w:val="1F3864"/>
          <w:sz w:val="22"/>
        </w:rPr>
        <w:t>Pantalla 2 · Ficha de intervención (≈35 s)</w:t>
      </w:r>
    </w:p>
    <w:p>
      <w:pPr>
        <w:spacing w:after="280" w:line="312" w:lineRule="auto"/>
        <w:ind w:left="283"/>
        <w:shd w:val="clear" w:fill="EEF3FA"/>
      </w:pPr>
      <w:r>
        <w:rPr>
          <w:i/>
          <w:color w:val="1F3864"/>
          <w:sz w:val="24"/>
        </w:rPr>
        <w:t>“Si entro en el detalle de uno de estos alojamientos, veo su puntuación, la distancia real a la parada más cercana —aquí, más de cinco kilómetros—, y la evidencia de servicio de autobús en verano frente a invierno. No es solo un número: es un diagnóstico con una acción de revisión propuesta.”</w:t>
      </w:r>
    </w:p>
    <w:p>
      <w:pPr>
        <w:spacing w:after="160" w:before="80" w:line="288" w:lineRule="auto"/>
      </w:pPr>
      <w:r>
        <w:rPr>
          <w:b/>
          <w:i w:val="0"/>
          <w:color w:val="1F3864"/>
          <w:sz w:val="22"/>
        </w:rPr>
        <w:t>Pantalla 3 · Análisis territorial (≈30 s)</w:t>
      </w:r>
    </w:p>
    <w:p>
      <w:pPr>
        <w:spacing w:after="280" w:line="312" w:lineRule="auto"/>
        <w:ind w:left="283"/>
        <w:shd w:val="clear" w:fill="EEF3FA"/>
      </w:pPr>
      <w:r>
        <w:rPr>
          <w:i/>
          <w:color w:val="1F3864"/>
          <w:sz w:val="24"/>
        </w:rPr>
        <w:t>“Aquí está el mapa completo de Mallorca, coloreado por nivel de accesibilidad, con paradas de transporte público y ciclovías superpuestas, y un ranking que compara los 51 municipios entre sí.”</w:t>
      </w:r>
    </w:p>
    <w:p>
      <w:pPr>
        <w:spacing w:after="160" w:before="80" w:line="288" w:lineRule="auto"/>
      </w:pPr>
      <w:r>
        <w:rPr>
          <w:b/>
          <w:i w:val="0"/>
          <w:color w:val="1F3864"/>
          <w:sz w:val="22"/>
        </w:rPr>
        <w:t>Pantalla 4 · Planificador (≈45 s)</w:t>
      </w:r>
    </w:p>
    <w:p>
      <w:pPr>
        <w:spacing w:after="280" w:line="312" w:lineRule="auto"/>
        <w:ind w:left="283"/>
        <w:shd w:val="clear" w:fill="EEF3FA"/>
      </w:pPr>
      <w:r>
        <w:rPr>
          <w:i/>
          <w:color w:val="1F3864"/>
          <w:sz w:val="24"/>
        </w:rPr>
        <w:t>“Elijo el hotel AC Ciutat de Palma y, como destino, el Palau de l'Almudaina, junto a la Catedral. El sistema consulta en vivo el motor de rutas real y compara los modos disponibles en este horario. El coche sería más rápido —7,6 minutos frente a 10,6 en bici— pero el sistema recomienda la bicicleta, porque el perfil equilibrado también pondera las emisiones, no solo el tiempo.”</w:t>
      </w:r>
    </w:p>
    <w:p>
      <w:pPr>
        <w:spacing w:before="280" w:after="80"/>
      </w:pPr>
      <w:r>
        <w:rPr>
          <w:b/>
          <w:color w:val="2E75B6"/>
          <w:sz w:val="24"/>
        </w:rPr>
        <w:t xml:space="preserve">[3:50–4:20] </w:t>
      </w:r>
      <w:r>
        <w:rPr>
          <w:b/>
          <w:color w:val="1F3864"/>
          <w:sz w:val="24"/>
        </w:rPr>
        <w:t>Diapositiva 5 — Resultados y validación</w:t>
      </w:r>
    </w:p>
    <w:p>
      <w:pPr>
        <w:spacing w:after="280" w:line="312" w:lineRule="auto"/>
        <w:ind w:left="283"/>
        <w:shd w:val="clear" w:fill="EEF3FA"/>
      </w:pPr>
      <w:r>
        <w:rPr>
          <w:i/>
          <w:color w:val="1F3864"/>
          <w:sz w:val="24"/>
        </w:rPr>
        <w:t>“El sistema está validado a escala: el motor de rutas resuelve correctamente el 98,5% de los casos. Y hay un hallazgo que me parece especialmente relevante: la conexión de bus baja del 51% en verano a solo el 1% en invierno, afectando a más de 790 alojamientos — una brecha estacional real, no una suposición.”</w:t>
      </w:r>
    </w:p>
    <w:p>
      <w:pPr>
        <w:spacing w:before="280" w:after="80"/>
      </w:pPr>
      <w:r>
        <w:rPr>
          <w:b/>
          <w:color w:val="2E75B6"/>
          <w:sz w:val="24"/>
        </w:rPr>
        <w:t xml:space="preserve">[4:20–4:40] </w:t>
      </w:r>
      <w:r>
        <w:rPr>
          <w:b/>
          <w:color w:val="1F3864"/>
          <w:sz w:val="24"/>
        </w:rPr>
        <w:t>Diapositiva 6 — Limitaciones</w:t>
      </w:r>
    </w:p>
    <w:p>
      <w:pPr>
        <w:spacing w:after="280" w:line="312" w:lineRule="auto"/>
        <w:ind w:left="283"/>
        <w:shd w:val="clear" w:fill="EEF3FA"/>
      </w:pPr>
      <w:r>
        <w:rPr>
          <w:i/>
          <w:color w:val="1F3864"/>
          <w:sz w:val="24"/>
        </w:rPr>
        <w:t>“Soy honesto con lo que falta: el análisis de sentimiento ya funciona con datos reales de Inside Airbnb, pero la muestra actual aún no basta para publicar resultados por municipio. Y el sistema no certifica seguridad ni accesibilidad universal: es evidencia para revisar, no una sentencia final.”</w:t>
      </w:r>
    </w:p>
    <w:p>
      <w:pPr>
        <w:spacing w:before="280" w:after="80"/>
      </w:pPr>
      <w:r>
        <w:rPr>
          <w:b/>
          <w:color w:val="2E75B6"/>
          <w:sz w:val="24"/>
        </w:rPr>
        <w:t xml:space="preserve">[4:40–5:00] </w:t>
      </w:r>
      <w:r>
        <w:rPr>
          <w:b/>
          <w:color w:val="1F3864"/>
          <w:sz w:val="24"/>
        </w:rPr>
        <w:t>Diapositiva 7 — Cierre</w:t>
      </w:r>
    </w:p>
    <w:p>
      <w:pPr>
        <w:spacing w:after="280" w:line="312" w:lineRule="auto"/>
        <w:ind w:left="283"/>
        <w:shd w:val="clear" w:fill="EEF3FA"/>
      </w:pPr>
      <w:r>
        <w:rPr>
          <w:i/>
          <w:color w:val="1F3864"/>
          <w:sz w:val="24"/>
        </w:rPr>
        <w:t>“En resumen: un sistema reproducible, con datos y rutas reales, que identifica dónde revisar la movilidad turística en Mallorca con evidencia, no con intuición. Gracias.”</w:t>
      </w:r>
    </w:p>
    <w:p>
      <w:r>
        <w:br w:type="page"/>
      </w:r>
    </w:p>
    <w:p>
      <w:pPr>
        <w:pStyle w:val="Heading1"/>
      </w:pPr>
      <w:r>
        <w:t>La ruta elegida para el Planificador</w:t>
      </w:r>
    </w:p>
    <w:p>
      <w:pPr>
        <w:spacing w:after="160" w:before="0" w:line="288" w:lineRule="auto"/>
      </w:pPr>
      <w:r>
        <w:rPr>
          <w:b w:val="0"/>
          <w:i w:val="0"/>
          <w:sz w:val="22"/>
        </w:rPr>
        <w:t>Se probó en vivo contra la aplicación antes de escribir este guión, para no improvisar sobre un resultado desconocido durante la grabación.</w:t>
      </w:r>
    </w:p>
    <w:p>
      <w:pPr>
        <w:spacing w:after="160" w:before="0" w:line="288" w:lineRule="auto"/>
      </w:pPr>
      <w:r>
        <w:rPr>
          <w:b/>
          <w:i w:val="0"/>
          <w:color w:val="1F3864"/>
          <w:sz w:val="22"/>
        </w:rPr>
        <w:t>Origen: AC Hotel Ciutat de Palma by Marriott (Palma) · Destino: Palau de l'Almudaina · Fecha: 2026-09-15, 12:00 · Perfil: Equilibrada</w:t>
      </w:r>
    </w:p>
    <w:tbl>
      <w:tblPr>
        <w:tblStyle w:val="TableGrid"/>
        <w:tblW w:type="auto" w:w="0"/>
        <w:tblLayout w:type="fixed"/>
        <w:tblLook w:firstColumn="1" w:firstRow="1" w:lastColumn="0" w:lastRow="0" w:noHBand="0" w:noVBand="1" w:val="04A0"/>
      </w:tblPr>
      <w:tblGrid>
        <w:gridCol w:w="2353"/>
        <w:gridCol w:w="2353"/>
        <w:gridCol w:w="2353"/>
        <w:gridCol w:w="2353"/>
      </w:tblGrid>
      <w:tr>
        <w:tc>
          <w:tcPr>
            <w:tcW w:type="dxa" w:w="2835"/>
            <w:vAlign w:val="center"/>
            <w:shd w:val="clear" w:fill="1F3864"/>
          </w:tcPr>
          <w:p>
            <w:pPr>
              <w:jc w:val="center"/>
            </w:pPr>
            <w:r>
              <w:rPr>
                <w:b/>
                <w:color w:val="FFFFFF"/>
                <w:sz w:val="20"/>
              </w:rPr>
              <w:t>Modo</w:t>
            </w:r>
          </w:p>
        </w:tc>
        <w:tc>
          <w:tcPr>
            <w:tcW w:type="dxa" w:w="1984"/>
            <w:vAlign w:val="center"/>
            <w:shd w:val="clear" w:fill="1F3864"/>
          </w:tcPr>
          <w:p>
            <w:pPr>
              <w:jc w:val="center"/>
            </w:pPr>
            <w:r>
              <w:rPr>
                <w:b/>
                <w:color w:val="FFFFFF"/>
                <w:sz w:val="20"/>
              </w:rPr>
              <w:t>Duración</w:t>
            </w:r>
          </w:p>
        </w:tc>
        <w:tc>
          <w:tcPr>
            <w:tcW w:type="dxa" w:w="1984"/>
            <w:vAlign w:val="center"/>
            <w:shd w:val="clear" w:fill="1F3864"/>
          </w:tcPr>
          <w:p>
            <w:pPr>
              <w:jc w:val="center"/>
            </w:pPr>
            <w:r>
              <w:rPr>
                <w:b/>
                <w:color w:val="FFFFFF"/>
                <w:sz w:val="20"/>
              </w:rPr>
              <w:t>Distancia</w:t>
            </w:r>
          </w:p>
        </w:tc>
        <w:tc>
          <w:tcPr>
            <w:tcW w:type="dxa" w:w="1984"/>
            <w:vAlign w:val="center"/>
            <w:shd w:val="clear" w:fill="1F3864"/>
          </w:tcPr>
          <w:p>
            <w:pPr>
              <w:jc w:val="center"/>
            </w:pPr>
            <w:r>
              <w:rPr>
                <w:b/>
                <w:color w:val="FFFFFF"/>
                <w:sz w:val="20"/>
              </w:rPr>
              <w:t>Caminata</w:t>
            </w:r>
          </w:p>
        </w:tc>
      </w:tr>
      <w:tr>
        <w:tc>
          <w:tcPr>
            <w:tcW w:type="dxa" w:w="2835"/>
            <w:vAlign w:val="center"/>
            <w:shd w:val="clear" w:fill="E2F0E5"/>
          </w:tcPr>
          <w:p>
            <w:r>
              <w:rPr>
                <w:b/>
                <w:color w:val="22A06B"/>
                <w:sz w:val="20"/>
              </w:rPr>
              <w:t>Bicicleta  (recomendada)</w:t>
            </w:r>
          </w:p>
        </w:tc>
        <w:tc>
          <w:tcPr>
            <w:tcW w:type="dxa" w:w="1984"/>
            <w:vAlign w:val="center"/>
            <w:shd w:val="clear" w:fill="E2F0E5"/>
          </w:tcPr>
          <w:p>
            <w:r>
              <w:rPr>
                <w:b/>
                <w:color w:val="22A06B"/>
                <w:sz w:val="20"/>
              </w:rPr>
              <w:t>10,6 min</w:t>
            </w:r>
          </w:p>
        </w:tc>
        <w:tc>
          <w:tcPr>
            <w:tcW w:type="dxa" w:w="1984"/>
            <w:vAlign w:val="center"/>
            <w:shd w:val="clear" w:fill="E2F0E5"/>
          </w:tcPr>
          <w:p>
            <w:r>
              <w:rPr>
                <w:b/>
                <w:color w:val="22A06B"/>
                <w:sz w:val="20"/>
              </w:rPr>
              <w:t>2.342 m</w:t>
            </w:r>
          </w:p>
        </w:tc>
        <w:tc>
          <w:tcPr>
            <w:tcW w:type="dxa" w:w="1984"/>
            <w:vAlign w:val="center"/>
            <w:shd w:val="clear" w:fill="E2F0E5"/>
          </w:tcPr>
          <w:p>
            <w:r>
              <w:rPr>
                <w:b/>
                <w:color w:val="22A06B"/>
                <w:sz w:val="20"/>
              </w:rPr>
              <w:t>0 m</w:t>
            </w:r>
          </w:p>
        </w:tc>
      </w:tr>
      <w:tr>
        <w:tc>
          <w:tcPr>
            <w:tcW w:type="dxa" w:w="2835"/>
            <w:vAlign w:val="center"/>
          </w:tcPr>
          <w:p>
            <w:r>
              <w:rPr>
                <w:sz w:val="20"/>
              </w:rPr>
              <w:t>Coche</w:t>
            </w:r>
          </w:p>
        </w:tc>
        <w:tc>
          <w:tcPr>
            <w:tcW w:type="dxa" w:w="1984"/>
            <w:vAlign w:val="center"/>
          </w:tcPr>
          <w:p>
            <w:r>
              <w:rPr>
                <w:sz w:val="20"/>
              </w:rPr>
              <w:t>7,6 min</w:t>
            </w:r>
          </w:p>
        </w:tc>
        <w:tc>
          <w:tcPr>
            <w:tcW w:type="dxa" w:w="1984"/>
            <w:vAlign w:val="center"/>
          </w:tcPr>
          <w:p>
            <w:r>
              <w:rPr>
                <w:sz w:val="20"/>
              </w:rPr>
              <w:t>2.181 m</w:t>
            </w:r>
          </w:p>
        </w:tc>
        <w:tc>
          <w:tcPr>
            <w:tcW w:type="dxa" w:w="1984"/>
            <w:vAlign w:val="center"/>
          </w:tcPr>
          <w:p>
            <w:r>
              <w:rPr>
                <w:sz w:val="20"/>
              </w:rPr>
              <w:t>—</w:t>
            </w:r>
          </w:p>
        </w:tc>
      </w:tr>
      <w:tr>
        <w:tc>
          <w:tcPr>
            <w:tcW w:type="dxa" w:w="2835"/>
            <w:vAlign w:val="center"/>
            <w:shd w:val="clear" w:fill="F2F2F2"/>
          </w:tcPr>
          <w:p>
            <w:r>
              <w:rPr>
                <w:sz w:val="20"/>
              </w:rPr>
              <w:t>A pie</w:t>
            </w:r>
          </w:p>
        </w:tc>
        <w:tc>
          <w:tcPr>
            <w:tcW w:type="dxa" w:w="1984"/>
            <w:vAlign w:val="center"/>
            <w:shd w:val="clear" w:fill="F2F2F2"/>
          </w:tcPr>
          <w:p>
            <w:r>
              <w:rPr>
                <w:sz w:val="20"/>
              </w:rPr>
              <w:t>22,0 min</w:t>
            </w:r>
          </w:p>
        </w:tc>
        <w:tc>
          <w:tcPr>
            <w:tcW w:type="dxa" w:w="1984"/>
            <w:vAlign w:val="center"/>
            <w:shd w:val="clear" w:fill="F2F2F2"/>
          </w:tcPr>
          <w:p>
            <w:r>
              <w:rPr>
                <w:sz w:val="20"/>
              </w:rPr>
              <w:t>1.639 m</w:t>
            </w:r>
          </w:p>
        </w:tc>
        <w:tc>
          <w:tcPr>
            <w:tcW w:type="dxa" w:w="1984"/>
            <w:vAlign w:val="center"/>
            <w:shd w:val="clear" w:fill="F2F2F2"/>
          </w:tcPr>
          <w:p>
            <w:r>
              <w:rPr>
                <w:sz w:val="20"/>
              </w:rPr>
              <w:t>1.639 m</w:t>
            </w:r>
          </w:p>
        </w:tc>
      </w:tr>
    </w:tbl>
    <w:p>
      <w:pPr>
        <w:spacing w:after="80"/>
      </w:pPr>
    </w:p>
    <w:p>
      <w:pPr>
        <w:spacing w:after="160" w:before="0" w:line="288" w:lineRule="auto"/>
      </w:pPr>
      <w:r>
        <w:rPr>
          <w:b w:val="0"/>
          <w:i w:val="0"/>
          <w:sz w:val="22"/>
        </w:rPr>
        <w:t>Por qué esta ruta: el coche es más rápido, pero el sistema recomienda la bicicleta porque el perfil «Equilibrada» pondera también las emisiones, no solo el tiempo — es el argumento de «evidencia, no solo velocidad» del guión, con un resultado real y verificable.</w:t>
      </w:r>
    </w:p>
    <w:p>
      <w:pPr>
        <w:spacing w:after="160" w:before="0" w:line="288" w:lineRule="auto"/>
      </w:pPr>
      <w:r>
        <w:rPr>
          <w:b w:val="0"/>
          <w:i/>
          <w:color w:val="595959"/>
          <w:sz w:val="20"/>
        </w:rPr>
        <w:t>Aviso honesto: para esta fecha y hora, el transporte público no devolvió resultado («Resultados no disponibles para esta fecha/hora»). En el vídeo se comparan 3 modos, no 4. Menciónalo en una frase; encaja con el tono de limitaciones declaradas del resto de la defensa.</w:t>
      </w:r>
    </w:p>
    <w:p>
      <w:r>
        <w:br w:type="page"/>
      </w:r>
    </w:p>
    <w:p>
      <w:pPr>
        <w:pStyle w:val="Heading1"/>
      </w:pPr>
      <w:r>
        <w:t>Aviso importante antes de grabar</w:t>
      </w:r>
    </w:p>
    <w:p>
      <w:pPr>
        <w:spacing w:after="160" w:before="0" w:line="288" w:lineRule="auto"/>
      </w:pPr>
      <w:r>
        <w:rPr>
          <w:b w:val="0"/>
          <w:i w:val="0"/>
          <w:sz w:val="22"/>
        </w:rPr>
        <w:t>El Planificador consulta OpenTripPlanner en vivo, y esa consulta puede tardar hasta 25 segundos. Si se hace en directo sin preparación, ese silencio queda grabado en el vídeo.</w:t>
      </w:r>
    </w:p>
    <w:p>
      <w:pPr>
        <w:spacing w:after="160" w:before="0" w:line="288" w:lineRule="auto"/>
      </w:pPr>
      <w:r>
        <w:rPr>
          <w:b/>
          <w:i w:val="0"/>
          <w:sz w:val="22"/>
        </w:rPr>
        <w:t>Solución: unos minutos antes de grabar, ejecuta tú mismo esa misma consulta (mismo alojamiento, mismo destino, misma fecha, hora y perfil) una vez. El resultado queda en caché 5 minutos, así que al repetirla durante la grabación aparece al instante.</w:t>
      </w:r>
    </w:p>
    <w:p>
      <w:r>
        <w:br w:type="page"/>
      </w:r>
    </w:p>
    <w:p>
      <w:pPr>
        <w:pStyle w:val="Heading1"/>
      </w:pPr>
      <w:r>
        <w:t>Qué mostrar exactamente en la aplicación</w:t>
      </w:r>
    </w:p>
    <w:p>
      <w:pPr>
        <w:pStyle w:val="ListBullet"/>
        <w:spacing w:after="120"/>
      </w:pPr>
      <w:r>
        <w:rPr>
          <w:b/>
          <w:sz w:val="22"/>
        </w:rPr>
        <w:t xml:space="preserve">Resumen de decisión — </w:t>
      </w:r>
      <w:r>
        <w:rPr>
          <w:sz w:val="22"/>
        </w:rPr>
        <w:t>ya es la pestaña por defecto al abrir la aplicación; no toques nada, solo señala las cinco cifras principales.</w:t>
      </w:r>
    </w:p>
    <w:p>
      <w:pPr>
        <w:pStyle w:val="ListBullet"/>
        <w:spacing w:after="120"/>
      </w:pPr>
      <w:r>
        <w:rPr>
          <w:b/>
          <w:sz w:val="22"/>
        </w:rPr>
        <w:t xml:space="preserve">Ficha de intervención — </w:t>
      </w:r>
      <w:r>
        <w:rPr>
          <w:sz w:val="22"/>
        </w:rPr>
        <w:t>deja el alojamiento por defecto o elige uno de «prioridad de mejora»; espera a que cargue el mapa antes de hablar.</w:t>
      </w:r>
    </w:p>
    <w:p>
      <w:pPr>
        <w:pStyle w:val="ListBullet"/>
        <w:spacing w:after="120"/>
      </w:pPr>
      <w:r>
        <w:rPr>
          <w:b/>
          <w:sz w:val="22"/>
        </w:rPr>
        <w:t xml:space="preserve">Análisis territorial — </w:t>
      </w:r>
      <w:r>
        <w:rPr>
          <w:sz w:val="22"/>
        </w:rPr>
        <w:t>muéstralo con el color por nivel TSMAI activado (ya viene así); no actives las capas técnicas, distraen del mensaje.</w:t>
      </w:r>
    </w:p>
    <w:p>
      <w:pPr>
        <w:pStyle w:val="ListBullet"/>
        <w:spacing w:after="120"/>
      </w:pPr>
      <w:r>
        <w:rPr>
          <w:b/>
          <w:sz w:val="22"/>
        </w:rPr>
        <w:t xml:space="preserve">Planificador — </w:t>
      </w:r>
      <w:r>
        <w:rPr>
          <w:sz w:val="22"/>
        </w:rPr>
        <w:t>con la consulta AC Hotel Ciutat de Palma → Palau de l'Almudaina ya precargada, pulsa «Comparar rutas» y el resultado debe salir al instante.</w:t>
      </w:r>
    </w:p>
    <w:p>
      <w:pPr>
        <w:spacing w:after="160" w:before="0" w:line="288" w:lineRule="auto"/>
      </w:pPr>
      <w:r>
        <w:rPr>
          <w:b w:val="0"/>
          <w:i/>
          <w:color w:val="595959"/>
          <w:sz w:val="20"/>
        </w:rPr>
        <w:t>Si sobra tiempo en el minuto de la demo, la única quinta pantalla que merecería la pena añadir es Zonas de interés (unos 10 segundos, el mapa de clusters es muy visual) — pero solo si vas sobrado; priorizar el Planificador es más importante que añadir una pantalla más.</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Guión de defensa · TFM Movilidad Sostenible en Mallorca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