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Guión de vídeo — Competición de becas</w:t>
      </w:r>
    </w:p>
    <w:p>
      <w:pPr>
        <w:jc w:val="center"/>
      </w:pPr>
      <w:r>
        <w:rPr>
          <w:color w:val="2E75B6"/>
          <w:sz w:val="32"/>
        </w:rPr>
        <w:t>Movilidad Turística Sostenible en Mallorca</w:t>
      </w:r>
    </w:p>
    <w:p>
      <w:pPr>
        <w:jc w:val="center"/>
      </w:pPr>
      <w:r>
        <w:rPr>
          <w:i/>
          <w:color w:val="595959"/>
          <w:sz w:val="26"/>
        </w:rPr>
        <w:t>Desafío 4 — Generador de Mapas de Accesibilidad y Movilidad Sostenible</w:t>
      </w:r>
    </w:p>
    <w:p/>
    <w:p/>
    <w:p>
      <w:pPr>
        <w:jc w:val="center"/>
      </w:pPr>
      <w:r>
        <w:rPr>
          <w:b/>
          <w:sz w:val="26"/>
        </w:rPr>
        <w:t>Duración objetivo: 4:45–5:00 min (máximo permitido: 5:00)</w:t>
      </w:r>
    </w:p>
    <w:p/>
    <w:p/>
    <w:p/>
    <w:p/>
    <w:p/>
    <w:p>
      <w:pPr>
        <w:jc w:val="center"/>
      </w:pPr>
      <w:r>
        <w:rPr>
          <w:color w:val="595959"/>
          <w:sz w:val="22"/>
        </w:rPr>
        <w:t>Evaluado por un jurado de profesionales del sector, que elegirá los cuatro mejores proyectos.</w:t>
      </w:r>
    </w:p>
    <w:p>
      <w:r>
        <w:br w:type="page"/>
      </w:r>
    </w:p>
    <w:p>
      <w:pPr>
        <w:pStyle w:val="Heading1"/>
      </w:pPr>
      <w:r>
        <w:t>El baremo del jurado (léelo antes que el guión)</w:t>
      </w:r>
    </w:p>
    <w:p>
      <w:pPr>
        <w:spacing w:after="160" w:before="0" w:line="288" w:lineRule="auto"/>
      </w:pPr>
      <w:r>
        <w:rPr>
          <w:b w:val="0"/>
          <w:i w:val="0"/>
          <w:sz w:val="22"/>
        </w:rPr>
        <w:t>Estos son los cuatro criterios oficiales de la competición, en el orden que indicó la organización. El guión está construido para dar a cada uno el peso que le corresponde — sobre todo al primero, que es «el punto más importante».</w:t>
      </w:r>
    </w:p>
    <w:tbl>
      <w:tblPr>
        <w:tblStyle w:val="TableGrid"/>
        <w:tblW w:type="auto" w:w="0"/>
        <w:tblLayout w:type="fixed"/>
        <w:tblLook w:firstColumn="1" w:firstRow="1" w:lastColumn="0" w:lastRow="0" w:noHBand="0" w:noVBand="1" w:val="04A0"/>
      </w:tblPr>
      <w:tblGrid>
        <w:gridCol w:w="3137"/>
        <w:gridCol w:w="3137"/>
        <w:gridCol w:w="3137"/>
      </w:tblGrid>
      <w:tr>
        <w:tc>
          <w:tcPr>
            <w:tcW w:type="dxa" w:w="680"/>
            <w:vAlign w:val="center"/>
            <w:shd w:val="clear" w:fill="1F3864"/>
          </w:tcPr>
          <w:p>
            <w:pPr>
              <w:jc w:val="center"/>
            </w:pPr>
            <w:r>
              <w:rPr>
                <w:b/>
                <w:color w:val="FFFFFF"/>
                <w:sz w:val="20"/>
              </w:rPr>
              <w:t>#</w:t>
            </w:r>
          </w:p>
        </w:tc>
        <w:tc>
          <w:tcPr>
            <w:tcW w:type="dxa" w:w="4139"/>
            <w:vAlign w:val="center"/>
            <w:shd w:val="clear" w:fill="1F3864"/>
          </w:tcPr>
          <w:p>
            <w:pPr>
              <w:jc w:val="center"/>
            </w:pPr>
            <w:r>
              <w:rPr>
                <w:b/>
                <w:color w:val="FFFFFF"/>
                <w:sz w:val="20"/>
              </w:rPr>
              <w:t>Criterio</w:t>
            </w:r>
          </w:p>
        </w:tc>
        <w:tc>
          <w:tcPr>
            <w:tcW w:type="dxa" w:w="4535"/>
            <w:vAlign w:val="center"/>
            <w:shd w:val="clear" w:fill="1F3864"/>
          </w:tcPr>
          <w:p>
            <w:pPr>
              <w:jc w:val="center"/>
            </w:pPr>
            <w:r>
              <w:rPr>
                <w:b/>
                <w:color w:val="FFFFFF"/>
                <w:sz w:val="20"/>
              </w:rPr>
              <w:t>Cómo lo cubre este guión</w:t>
            </w:r>
          </w:p>
        </w:tc>
      </w:tr>
      <w:tr>
        <w:tc>
          <w:tcPr>
            <w:tcW w:type="dxa" w:w="680"/>
            <w:vAlign w:val="center"/>
            <w:shd w:val="clear" w:fill="F2F2F2"/>
          </w:tcPr>
          <w:p>
            <w:r>
              <w:rPr>
                <w:sz w:val="20"/>
              </w:rPr>
              <w:t>1</w:t>
            </w:r>
          </w:p>
        </w:tc>
        <w:tc>
          <w:tcPr>
            <w:tcW w:type="dxa" w:w="4139"/>
            <w:vAlign w:val="center"/>
            <w:shd w:val="clear" w:fill="F2F2F2"/>
          </w:tcPr>
          <w:p>
            <w:r>
              <w:rPr>
                <w:sz w:val="20"/>
              </w:rPr>
              <w:t>Aplicación y metodología de las técnicas del máster (el más importante)</w:t>
            </w:r>
          </w:p>
        </w:tc>
        <w:tc>
          <w:tcPr>
            <w:tcW w:type="dxa" w:w="4535"/>
            <w:vAlign w:val="center"/>
            <w:shd w:val="clear" w:fill="F2F2F2"/>
          </w:tcPr>
          <w:p>
            <w:r>
              <w:rPr>
                <w:sz w:val="20"/>
              </w:rPr>
              <w:t>Bloque dedicado de 50 s (2:35–3:25) + una técnica señalada en cada pantalla de la demo</w:t>
            </w:r>
          </w:p>
        </w:tc>
      </w:tr>
      <w:tr>
        <w:tc>
          <w:tcPr>
            <w:tcW w:type="dxa" w:w="680"/>
            <w:vAlign w:val="center"/>
          </w:tcPr>
          <w:p>
            <w:r>
              <w:rPr>
                <w:sz w:val="20"/>
              </w:rPr>
              <w:t>2</w:t>
            </w:r>
          </w:p>
        </w:tc>
        <w:tc>
          <w:tcPr>
            <w:tcW w:type="dxa" w:w="4139"/>
            <w:vAlign w:val="center"/>
          </w:tcPr>
          <w:p>
            <w:r>
              <w:rPr>
                <w:sz w:val="20"/>
              </w:rPr>
              <w:t>Resultados obtenidos</w:t>
            </w:r>
          </w:p>
        </w:tc>
        <w:tc>
          <w:tcPr>
            <w:tcW w:type="dxa" w:w="4535"/>
            <w:vAlign w:val="center"/>
          </w:tcPr>
          <w:p>
            <w:r>
              <w:rPr>
                <w:sz w:val="20"/>
              </w:rPr>
              <w:t>Bloque de cifras verificadas (3:25–3:55) + resultado en vivo del Planificador</w:t>
            </w:r>
          </w:p>
        </w:tc>
      </w:tr>
      <w:tr>
        <w:tc>
          <w:tcPr>
            <w:tcW w:type="dxa" w:w="680"/>
            <w:vAlign w:val="center"/>
            <w:shd w:val="clear" w:fill="F2F2F2"/>
          </w:tcPr>
          <w:p>
            <w:r>
              <w:rPr>
                <w:sz w:val="20"/>
              </w:rPr>
              <w:t>3</w:t>
            </w:r>
          </w:p>
        </w:tc>
        <w:tc>
          <w:tcPr>
            <w:tcW w:type="dxa" w:w="4139"/>
            <w:vAlign w:val="center"/>
            <w:shd w:val="clear" w:fill="F2F2F2"/>
          </w:tcPr>
          <w:p>
            <w:r>
              <w:rPr>
                <w:sz w:val="20"/>
              </w:rPr>
              <w:t>Exposición</w:t>
            </w:r>
          </w:p>
        </w:tc>
        <w:tc>
          <w:tcPr>
            <w:tcW w:type="dxa" w:w="4535"/>
            <w:vAlign w:val="center"/>
            <w:shd w:val="clear" w:fill="F2F2F2"/>
          </w:tcPr>
          <w:p>
            <w:r>
              <w:rPr>
                <w:sz w:val="20"/>
              </w:rPr>
              <w:t>Se cubre con tu forma de presentar, no con el contenido — ver consejos al final</w:t>
            </w:r>
          </w:p>
        </w:tc>
      </w:tr>
      <w:tr>
        <w:tc>
          <w:tcPr>
            <w:tcW w:type="dxa" w:w="680"/>
            <w:vAlign w:val="center"/>
          </w:tcPr>
          <w:p>
            <w:r>
              <w:rPr>
                <w:sz w:val="20"/>
              </w:rPr>
              <w:t>4</w:t>
            </w:r>
          </w:p>
        </w:tc>
        <w:tc>
          <w:tcPr>
            <w:tcW w:type="dxa" w:w="4139"/>
            <w:vAlign w:val="center"/>
          </w:tcPr>
          <w:p>
            <w:r>
              <w:rPr>
                <w:sz w:val="20"/>
              </w:rPr>
              <w:t>Innovación</w:t>
            </w:r>
          </w:p>
        </w:tc>
        <w:tc>
          <w:tcPr>
            <w:tcW w:type="dxa" w:w="4535"/>
            <w:vAlign w:val="center"/>
          </w:tcPr>
          <w:p>
            <w:r>
              <w:rPr>
                <w:sz w:val="20"/>
              </w:rPr>
              <w:t>Bloque de cierre (3:55–4:20): qué hace diferente a este proyecto de un mapa de calor típico</w:t>
            </w:r>
          </w:p>
        </w:tc>
      </w:tr>
    </w:tbl>
    <w:p>
      <w:pPr>
        <w:spacing w:after="80"/>
      </w:pPr>
    </w:p>
    <w:p>
      <w:pPr>
        <w:spacing w:after="160" w:before="0" w:line="288" w:lineRule="auto"/>
      </w:pPr>
      <w:r>
        <w:rPr>
          <w:b/>
          <w:i w:val="0"/>
          <w:sz w:val="22"/>
        </w:rPr>
        <w:t>Consecuencia práctica: a diferencia de un vídeo puramente comercial, aquí NO conviene esconder la metodología para ganar ritmo. Es al revés — cuanta más técnica del máster se vea nombrada con naturalidad (no leída como una lista), mejor puntúa el criterio 1.</w:t>
      </w:r>
    </w:p>
    <w:p>
      <w:r>
        <w:br w:type="page"/>
      </w:r>
    </w:p>
    <w:p>
      <w:pPr>
        <w:pStyle w:val="Heading1"/>
      </w:pPr>
      <w:r>
        <w:t>Cómo usar este guión</w:t>
      </w:r>
    </w:p>
    <w:p>
      <w:pPr>
        <w:pStyle w:val="ListBullet"/>
        <w:spacing w:after="120"/>
      </w:pPr>
      <w:r>
        <w:rPr>
          <w:b/>
          <w:sz w:val="22"/>
        </w:rPr>
        <w:t xml:space="preserve">Los tiempos: </w:t>
      </w:r>
      <w:r>
        <w:rPr>
          <w:sz w:val="22"/>
        </w:rPr>
        <w:t>son un objetivo, no una obligación exacta; lo importante es el orden y el peso relativo de cada bloque. El total no debe pasar de 5:00 en ningún caso — es el límite de la organización.</w:t>
      </w:r>
    </w:p>
    <w:p>
      <w:pPr>
        <w:pStyle w:val="ListBullet"/>
        <w:spacing w:after="120"/>
      </w:pPr>
      <w:r>
        <w:rPr>
          <w:b/>
          <w:sz w:val="22"/>
        </w:rPr>
        <w:t xml:space="preserve">El texto citado: </w:t>
      </w:r>
      <w:r>
        <w:rPr>
          <w:sz w:val="22"/>
        </w:rPr>
        <w:t>todo lo que va entre comillas está pensado para leerse en voz alta; ajústalo a tu forma de hablar mientras conserves la cifra y el nombre de la técnica.</w:t>
      </w:r>
    </w:p>
    <w:p>
      <w:pPr>
        <w:pStyle w:val="ListBullet"/>
        <w:spacing w:after="120"/>
      </w:pPr>
      <w:r>
        <w:rPr>
          <w:b/>
          <w:sz w:val="22"/>
        </w:rPr>
        <w:t xml:space="preserve">Las etiquetas ⟶ criterio: </w:t>
      </w:r>
      <w:r>
        <w:rPr>
          <w:sz w:val="22"/>
        </w:rPr>
        <w:t>cada bloque de la demo lleva una etiqueta verde con el criterio del jurado al que responde, para que sepas qué no puedes recortar sin perder puntos en ese criterio.</w:t>
      </w:r>
    </w:p>
    <w:p>
      <w:pPr>
        <w:pStyle w:val="ListBullet"/>
        <w:spacing w:after="120"/>
      </w:pPr>
      <w:r>
        <w:rPr>
          <w:b/>
          <w:sz w:val="22"/>
        </w:rPr>
        <w:t xml:space="preserve">Si necesitas menos tiempo: </w:t>
      </w:r>
      <w:r>
        <w:rPr>
          <w:sz w:val="22"/>
        </w:rPr>
        <w:t>si necesitas bajar de 5:00 a 4:00, los bloques marcados «(recortable)» son los primeros candidatos; nunca recortes el bloque de metodología (2:35–3:25), es el criterio con más peso.</w:t>
      </w:r>
    </w:p>
    <w:p>
      <w:pPr>
        <w:pStyle w:val="ListBullet"/>
        <w:spacing w:after="120"/>
      </w:pPr>
      <w:r>
        <w:rPr>
          <w:b/>
          <w:sz w:val="22"/>
        </w:rPr>
        <w:t xml:space="preserve">Antes de grabar: </w:t>
      </w:r>
      <w:r>
        <w:rPr>
          <w:sz w:val="22"/>
        </w:rPr>
        <w:t>practica la demo entera al menos una vez antes de grabar, con la consulta del Planificador ya precargada (ver aviso al final).</w:t>
      </w:r>
    </w:p>
    <w:p>
      <w:r>
        <w:br w:type="page"/>
      </w:r>
    </w:p>
    <w:p>
      <w:pPr>
        <w:pStyle w:val="Heading1"/>
      </w:pPr>
      <w:r>
        <w:t>Guión cronometrado (≈5:00 min)</w:t>
      </w:r>
    </w:p>
    <w:p>
      <w:pPr>
        <w:spacing w:before="280" w:after="80"/>
      </w:pPr>
      <w:r>
        <w:rPr>
          <w:b/>
          <w:color w:val="2E75B6"/>
          <w:sz w:val="24"/>
        </w:rPr>
        <w:t xml:space="preserve">[0:00–0:12] </w:t>
      </w:r>
      <w:r>
        <w:rPr>
          <w:b/>
          <w:color w:val="1F3864"/>
          <w:sz w:val="24"/>
        </w:rPr>
        <w:t>GANCHO — sin diapositiva, solo tú o un plano del mapa</w:t>
      </w:r>
    </w:p>
    <w:p>
      <w:pPr>
        <w:spacing w:after="280" w:line="312" w:lineRule="auto"/>
        <w:ind w:left="283"/>
        <w:shd w:val="clear" w:fill="EEF3FA"/>
      </w:pPr>
      <w:r>
        <w:rPr>
          <w:i/>
          <w:color w:val="1F3864"/>
          <w:sz w:val="24"/>
        </w:rPr>
        <w:t>“267 alojamientos turísticos en Mallorca están a más de 1.200 metros a pie de la parada de autobús más cercana. Casi 1 de cada 5. Este proyecto identifica exactamente cuáles, y con qué evidencia.”</w:t>
      </w:r>
    </w:p>
    <w:p>
      <w:pPr>
        <w:spacing w:before="280" w:after="80"/>
      </w:pPr>
      <w:r>
        <w:rPr>
          <w:b/>
          <w:color w:val="2E75B6"/>
          <w:sz w:val="24"/>
        </w:rPr>
        <w:t xml:space="preserve">[0:12–0:35] </w:t>
      </w:r>
      <w:r>
        <w:rPr>
          <w:b/>
          <w:color w:val="1F3864"/>
          <w:sz w:val="24"/>
        </w:rPr>
        <w:t>Diapositiva 1 — El problema</w:t>
      </w:r>
    </w:p>
    <w:p>
      <w:pPr>
        <w:spacing w:after="280" w:line="312" w:lineRule="auto"/>
        <w:ind w:left="283"/>
        <w:shd w:val="clear" w:fill="EEF3FA"/>
      </w:pPr>
      <w:r>
        <w:rPr>
          <w:i/>
          <w:color w:val="1F3864"/>
          <w:sz w:val="24"/>
        </w:rPr>
        <w:t>“Mallorca recibe cada año muchos más visitantes de los que su transporte público puede absorber sin tensionarse. Eso empuja al turista al coche de alquiler, y satura carreteras que también usan los residentes. Faltaba una forma sistemática de medir esa desconexión, alojamiento por alojamiento, con datos verificables.”</w:t>
      </w:r>
    </w:p>
    <w:p>
      <w:pPr>
        <w:spacing w:before="280" w:after="80"/>
      </w:pPr>
      <w:r>
        <w:rPr>
          <w:b/>
          <w:color w:val="2E75B6"/>
          <w:sz w:val="24"/>
        </w:rPr>
        <w:t xml:space="preserve">[0:35–1:05] </w:t>
      </w:r>
      <w:r>
        <w:rPr>
          <w:b/>
          <w:color w:val="1F3864"/>
          <w:sz w:val="24"/>
        </w:rPr>
        <w:t>Diapositiva 2 — La solución, en una frase</w:t>
      </w:r>
      <w:r>
        <w:rPr>
          <w:b/>
          <w:color w:val="22A06B"/>
          <w:sz w:val="18"/>
        </w:rPr>
        <w:t xml:space="preserve">   ⟶ criterio: Metodología (avance)</w:t>
      </w:r>
    </w:p>
    <w:p>
      <w:pPr>
        <w:spacing w:after="280" w:line="312" w:lineRule="auto"/>
        <w:ind w:left="283"/>
        <w:shd w:val="clear" w:fill="EEF3FA"/>
      </w:pPr>
      <w:r>
        <w:rPr>
          <w:i/>
          <w:color w:val="1F3864"/>
          <w:sz w:val="24"/>
        </w:rPr>
        <w:t>“Construí TSMAI: un índice de accesibilidad sostenible por alojamiento, calculado con rutas reales de un motor de rutas real —OpenTripPlanner—, no con líneas rectas sobre un mapa. Integra transporte público oficial, red ciclista y peatonal de OpenStreetMap, y el registro de 1.461 alojamientos turísticos de la isla.”</w:t>
      </w:r>
    </w:p>
    <w:p>
      <w:pPr>
        <w:spacing w:after="320" w:before="0" w:line="288" w:lineRule="auto"/>
      </w:pPr>
      <w:r>
        <w:rPr>
          <w:b w:val="0"/>
          <w:i/>
          <w:color w:val="2E75B6"/>
          <w:sz w:val="20"/>
        </w:rPr>
        <w:t>→ Aquí cambias a pantalla compartida: la aplicación, ya abierta en el navegador.</w:t>
      </w:r>
    </w:p>
    <w:p>
      <w:pPr>
        <w:pStyle w:val="Heading2"/>
      </w:pPr>
      <w:r>
        <w:t>1:05–2:35 — DEMO EN VIVO (1:30 min)</w:t>
      </w:r>
    </w:p>
    <w:p>
      <w:pPr>
        <w:spacing w:after="160" w:before="160" w:line="288" w:lineRule="auto"/>
      </w:pPr>
      <w:r>
        <w:rPr>
          <w:b/>
          <w:i w:val="0"/>
          <w:color w:val="1F3864"/>
          <w:sz w:val="22"/>
        </w:rPr>
        <w:t>Pantalla 1 · Resumen de decisión (≈20 s)</w:t>
      </w:r>
    </w:p>
    <w:p>
      <w:pPr>
        <w:spacing w:after="280" w:line="312" w:lineRule="auto"/>
        <w:ind w:left="283"/>
        <w:shd w:val="clear" w:fill="EEF3FA"/>
      </w:pPr>
      <w:r>
        <w:rPr>
          <w:i/>
          <w:color w:val="1F3864"/>
          <w:sz w:val="24"/>
        </w:rPr>
        <w:t>“Esto es lo que ve un gestor de destino al entrar: de 1.461 alojamientos, 172 están en «prioridad de mejora» — y 139 de esos lo siguen estando aunque cambiemos por completo los pesos del índice. Eso es un análisis de sensibilidad: no me quedo con un resultado, compruebo si aguanta el cambio de criterio.”</w:t>
      </w:r>
    </w:p>
    <w:p>
      <w:pPr>
        <w:spacing w:after="200" w:before="0" w:line="288" w:lineRule="auto"/>
      </w:pPr>
      <w:r>
        <w:rPr>
          <w:b w:val="0"/>
          <w:i/>
          <w:color w:val="22A06B"/>
          <w:sz w:val="18"/>
        </w:rPr>
        <w:t>⟶ criterio: Metodología (análisis de sensibilidad) + Resultados</w:t>
      </w:r>
    </w:p>
    <w:p>
      <w:pPr>
        <w:spacing w:after="160" w:before="80" w:line="288" w:lineRule="auto"/>
      </w:pPr>
      <w:r>
        <w:rPr>
          <w:b/>
          <w:i w:val="0"/>
          <w:color w:val="1F3864"/>
          <w:sz w:val="22"/>
        </w:rPr>
        <w:t>Pantalla 2 · Zonas de interés (≈25 s)</w:t>
      </w:r>
    </w:p>
    <w:p>
      <w:pPr>
        <w:spacing w:after="280" w:line="312" w:lineRule="auto"/>
        <w:ind w:left="283"/>
        <w:shd w:val="clear" w:fill="EEF3FA"/>
      </w:pPr>
      <w:r>
        <w:rPr>
          <w:i/>
          <w:color w:val="1F3864"/>
          <w:sz w:val="24"/>
        </w:rPr>
        <w:t>“Los 4.487 destinos turísticos de OpenStreetMap los agrupé con DBSCAN, un algoritmo de clustering no supervisado, en 317 zonas de interés — sin tocar ni un solo registro de la fuente original. Así un gestor ve el patrón sin perder el detalle.”</w:t>
      </w:r>
    </w:p>
    <w:p>
      <w:pPr>
        <w:spacing w:after="200" w:before="0" w:line="288" w:lineRule="auto"/>
      </w:pPr>
      <w:r>
        <w:rPr>
          <w:b w:val="0"/>
          <w:i/>
          <w:color w:val="22A06B"/>
          <w:sz w:val="18"/>
        </w:rPr>
        <w:t>⟶ criterio: Metodología (aprendizaje no supervisado) + Innovación</w:t>
      </w:r>
    </w:p>
    <w:p>
      <w:pPr>
        <w:spacing w:after="160" w:before="80" w:line="288" w:lineRule="auto"/>
      </w:pPr>
      <w:r>
        <w:rPr>
          <w:b/>
          <w:i w:val="0"/>
          <w:color w:val="1F3864"/>
          <w:sz w:val="22"/>
        </w:rPr>
        <w:t>Pantalla 3 · Planificador (≈35 s — la más importante de la demo)</w:t>
      </w:r>
    </w:p>
    <w:p>
      <w:pPr>
        <w:spacing w:after="280" w:line="312" w:lineRule="auto"/>
        <w:ind w:left="283"/>
        <w:shd w:val="clear" w:fill="EEF3FA"/>
      </w:pPr>
      <w:r>
        <w:rPr>
          <w:i/>
          <w:color w:val="1F3864"/>
          <w:sz w:val="24"/>
        </w:rPr>
        <w:t>“Y esto es lo que vería un turista o un gestor comparando opciones: hotel AC Ciutat de Palma, destino el Palau de l'Almudaina. El sistema consulta el motor de rutas en vivo y compara a pie, bicicleta y coche. El coche es más rápido, pero recomienda la bicicleta, porque el perfil equilibrado también pesa las emisiones — no solo el reloj.”</w:t>
      </w:r>
    </w:p>
    <w:p>
      <w:pPr>
        <w:spacing w:after="200" w:before="0" w:line="288" w:lineRule="auto"/>
      </w:pPr>
      <w:r>
        <w:rPr>
          <w:b w:val="0"/>
          <w:i/>
          <w:color w:val="22A06B"/>
          <w:sz w:val="18"/>
        </w:rPr>
        <w:t>⟶ criterio: Resultados (dato en vivo, verificable) + Innovación</w:t>
      </w:r>
    </w:p>
    <w:p>
      <w:pPr>
        <w:spacing w:before="280" w:after="80"/>
      </w:pPr>
      <w:r>
        <w:rPr>
          <w:b/>
          <w:color w:val="2E75B6"/>
          <w:sz w:val="24"/>
        </w:rPr>
        <w:t xml:space="preserve">[2:35–3:25] </w:t>
      </w:r>
      <w:r>
        <w:rPr>
          <w:b/>
          <w:color w:val="1F3864"/>
          <w:sz w:val="24"/>
        </w:rPr>
        <w:t>Diapositiva 3 — Metodología del máster aplicada</w:t>
      </w:r>
      <w:r>
        <w:rPr>
          <w:b/>
          <w:color w:val="22A06B"/>
          <w:sz w:val="18"/>
        </w:rPr>
        <w:t xml:space="preserve">   ⟶ criterio: Metodología (el criterio más importante)</w:t>
      </w:r>
    </w:p>
    <w:p>
      <w:pPr>
        <w:spacing w:after="280" w:line="312" w:lineRule="auto"/>
        <w:ind w:left="283"/>
        <w:shd w:val="clear" w:fill="EEF3FA"/>
      </w:pPr>
      <w:r>
        <w:rPr>
          <w:i/>
          <w:color w:val="1F3864"/>
          <w:sz w:val="24"/>
        </w:rPr>
        <w:t>“Detrás de esas pantallas hay técnicas concretas del máster. Ingeniería de datos: un pipeline reproducible con 49 tareas verificables y trazabilidad por huella SHA-256. Modelado explicable: TSMAI no es una caja negra, es una suma ponderada de siete componentes con nueve versiones documentadas, de V1 a V9. Aprendizaje no supervisado: DBSCAN para las zonas turísticas y K-Means para los perfiles municipales. Procesamiento de lenguaje natural: un modelo BERT multilingüe clasifica el sentimiento de reseñas reales sobre movilidad. Y validación estadística: cinco escenarios de pesos distintos para comprobar que ningún resultado depende de una elección arbitraria.”</w:t>
      </w:r>
    </w:p>
    <w:p>
      <w:pPr>
        <w:spacing w:after="160" w:before="0" w:line="288" w:lineRule="auto"/>
      </w:pPr>
      <w:r>
        <w:rPr>
          <w:b w:val="0"/>
          <w:i/>
          <w:color w:val="595959"/>
          <w:sz w:val="20"/>
        </w:rPr>
        <w:t>Consejo de grabación: dilo con una diapositiva de apoyo con los cinco nombres en pantalla (Pipeline de datos · Índice explicable · Clustering · NLP/BERT · Análisis de sensibilidad), para que el jurado lo lea mientras habla tu voz — así no se siente una lista leída.</w:t>
      </w:r>
    </w:p>
    <w:p>
      <w:pPr>
        <w:spacing w:before="280" w:after="80"/>
      </w:pPr>
      <w:r>
        <w:rPr>
          <w:b/>
          <w:color w:val="2E75B6"/>
          <w:sz w:val="24"/>
        </w:rPr>
        <w:t xml:space="preserve">[3:25–3:55] </w:t>
      </w:r>
      <w:r>
        <w:rPr>
          <w:b/>
          <w:color w:val="1F3864"/>
          <w:sz w:val="24"/>
        </w:rPr>
        <w:t>Diapositiva 4 — Resultados obtenidos</w:t>
      </w:r>
      <w:r>
        <w:rPr>
          <w:b/>
          <w:color w:val="22A06B"/>
          <w:sz w:val="18"/>
        </w:rPr>
        <w:t xml:space="preserve">   ⟶ criterio: Resultados</w:t>
      </w:r>
    </w:p>
    <w:p>
      <w:pPr>
        <w:spacing w:after="280" w:line="312" w:lineRule="auto"/>
        <w:ind w:left="283"/>
        <w:shd w:val="clear" w:fill="EEF3FA"/>
      </w:pPr>
      <w:r>
        <w:rPr>
          <w:i/>
          <w:color w:val="1F3864"/>
          <w:sz w:val="24"/>
        </w:rPr>
        <w:t>“El motor de rutas resuelve correctamente el 98,5% de los casos reales. Y hay un hallazgo que no se sabía antes de este proyecto: probando los mismos horarios de autobús en verano y en invierno, la conexión baja del 51% al 1,5% — una brecha estacional real que afecta a más de 790 alojamientos, medida, no supuesta.”</w:t>
      </w:r>
    </w:p>
    <w:p>
      <w:pPr>
        <w:spacing w:before="280" w:after="80"/>
      </w:pPr>
      <w:r>
        <w:rPr>
          <w:b/>
          <w:color w:val="2E75B6"/>
          <w:sz w:val="24"/>
        </w:rPr>
        <w:t xml:space="preserve">[3:55–4:20] </w:t>
      </w:r>
      <w:r>
        <w:rPr>
          <w:b/>
          <w:color w:val="1F3864"/>
          <w:sz w:val="24"/>
        </w:rPr>
        <w:t>Diapositiva 5 — Innovación</w:t>
      </w:r>
      <w:r>
        <w:rPr>
          <w:b/>
          <w:color w:val="22A06B"/>
          <w:sz w:val="18"/>
        </w:rPr>
        <w:t xml:space="preserve">   ⟶ criterio: Innovación</w:t>
      </w:r>
    </w:p>
    <w:p>
      <w:pPr>
        <w:spacing w:after="40"/>
      </w:pPr>
      <w:r>
        <w:rPr>
          <w:rFonts w:ascii="Calibri" w:hAnsi="Calibri"/>
          <w:b/>
          <w:i/>
          <w:color w:val="595959"/>
          <w:sz w:val="18"/>
        </w:rPr>
        <w:t>Versión anterior (sustituida, se conserva tachada):</w:t>
      </w:r>
    </w:p>
    <w:p>
      <w:pPr>
        <w:spacing w:after="280" w:line="312" w:lineRule="auto"/>
        <w:ind w:left="283"/>
        <w:shd w:val="clear" w:fill="EEF3FA"/>
      </w:pPr>
      <w:r>
        <w:rPr>
          <w:i/>
          <w:strike/>
          <w:color w:val="1F3864"/>
          <w:sz w:val="24"/>
        </w:rPr>
        <w:t>“La diferencia con un mapa de calor típico es que aquí cada cifra se puede recalcular y verificar: 19 pruebas automatizadas comprueban que el sistema sigue midiendo lo que dice medir. Y cuando un dato no era suficiente para publicar un resultado —como el sentimiento de usuarios con la muestra actual— el sistema lo dice, en vez de inventar una media poco fiable.”</w:t>
      </w:r>
    </w:p>
    <w:p>
      <w:pPr>
        <w:spacing w:before="80" w:after="80"/>
      </w:pPr>
      <w:r>
        <w:rPr>
          <w:rFonts w:ascii="Calibri" w:hAnsi="Calibri"/>
          <w:b/>
          <w:color w:val="1F3864"/>
          <w:sz w:val="22"/>
        </w:rPr>
        <w:t>Innovación (añadido) — de diagnóstico a simulación, y de dashboard a plataforma:</w:t>
      </w:r>
    </w:p>
    <w:p>
      <w:pPr>
        <w:spacing w:after="40"/>
      </w:pPr>
      <w:r>
        <w:rPr>
          <w:rFonts w:ascii="Calibri" w:hAnsi="Calibri"/>
          <w:b/>
          <w:i/>
          <w:color w:val="595959"/>
          <w:sz w:val="18"/>
        </w:rPr>
        <w:t>Versión anterior (dato ya calculado; sustituida por una función construida):</w:t>
      </w:r>
    </w:p>
    <w:p>
      <w:pPr>
        <w:spacing w:after="280" w:before="200" w:line="312" w:lineRule="auto"/>
        <w:ind w:left="283"/>
        <w:shd w:val="clear" w:fill="EEF3FA"/>
      </w:pPr>
      <w:r>
        <w:rPr>
          <w:rFonts w:ascii="Calibri" w:hAnsi="Calibri"/>
          <w:i/>
          <w:strike/>
          <w:color w:val="1F3864"/>
          <w:sz w:val="24"/>
        </w:rPr>
        <w:t>“El propio dashboard ya calcula qué pasaría si se resolviera esa brecha: en Campos, la cobertura a 800 metros es del 4%, y una intervención de primera y última milla la llevaría, en el límite superior, al 100%. En Palma, esa misma intervención movería la cobertura del 48% al 56,5% sobre 223 alojamientos. No es solo diagnóstico: es un simulador de qué pasaría si se interviene.”</w:t>
      </w:r>
    </w:p>
    <w:p>
      <w:pPr>
        <w:spacing w:before="80" w:after="80"/>
      </w:pPr>
      <w:r>
        <w:rPr>
          <w:rFonts w:ascii="Calibri" w:hAnsi="Calibri"/>
          <w:b/>
          <w:color w:val="1F3864"/>
          <w:sz w:val="22"/>
        </w:rPr>
        <w:t>Innovación (añadido, 2) — de dato calculado a función de decisión:</w:t>
      </w:r>
    </w:p>
    <w:p>
      <w:pPr>
        <w:spacing w:after="280" w:before="200" w:line="312" w:lineRule="auto"/>
        <w:ind w:left="283"/>
        <w:shd w:val="clear" w:fill="EEF3FA"/>
      </w:pPr>
      <w:r>
        <w:rPr>
          <w:rFonts w:ascii="Calibri" w:hAnsi="Calibri"/>
          <w:i/>
          <w:color w:val="1F3864"/>
          <w:sz w:val="24"/>
        </w:rPr>
        <w:t>“Y esto ya no es solo un dato: lo convertí en una función real del dashboard. Con un control deslizante, decides con cuántos municipios empezar, y el sistema calcula el orden óptimo con una heurística voraz de coste-beneficio. Con los datos actuales: financiando solo Calvià y Palma, 2 de los 15 municipios candidatos, ya se resuelven 20 de 42 alojamientos —el 60% del valor ponderado por demanda turística—. Es la diferencia entre un dashboard que diagnostica y uno que recomienda por dónde empezar.”</w:t>
      </w:r>
    </w:p>
    <w:p>
      <w:pPr>
        <w:spacing w:after="200"/>
      </w:pPr>
      <w:r>
        <w:rPr>
          <w:rFonts w:ascii="Calibri" w:hAnsi="Calibri"/>
          <w:i/>
          <w:color w:val="595959"/>
          <w:sz w:val="20"/>
        </w:rPr>
        <w:t>Fuente de las cifras: data/curated/municipality_access_intervention_priority.parquet (tarea prioritize_access_interventions; suite completa 21/21 tests tras añadir los 2 propios de esta función; verificado en vivo moviendo el control en el dashboard).</w:t>
      </w:r>
    </w:p>
    <w:p>
      <w:pPr>
        <w:spacing w:after="200"/>
      </w:pPr>
      <w:r>
        <w:rPr>
          <w:rFonts w:ascii="Calibri" w:hAnsi="Calibri"/>
          <w:i/>
          <w:color w:val="595959"/>
          <w:sz w:val="20"/>
        </w:rPr>
        <w:t>Pantalla de apoyo sugerida: el propio dashboard, moviendo en vivo el control deslizante de esta nueva sección. Sustituye a la captura de Swagger si solo puedes mostrar una pantalla más.</w:t>
      </w:r>
    </w:p>
    <w:p>
      <w:pPr>
        <w:spacing w:after="200"/>
      </w:pPr>
      <w:r>
        <w:rPr>
          <w:rFonts w:ascii="Calibri" w:hAnsi="Calibri"/>
          <w:i/>
          <w:strike/>
          <w:color w:val="595959"/>
          <w:sz w:val="20"/>
        </w:rPr>
        <w:t>Fuente de las cifras: data/curated/municipality_access_intervention_scenarios.parquet — ya calculado, no es una proyección nueva.</w:t>
      </w:r>
    </w:p>
    <w:p>
      <w:pPr>
        <w:spacing w:after="280" w:before="200" w:line="312" w:lineRule="auto"/>
        <w:ind w:left="283"/>
        <w:shd w:val="clear" w:fill="EEF3FA"/>
      </w:pPr>
      <w:r>
        <w:rPr>
          <w:rFonts w:ascii="Calibri" w:hAnsi="Calibri"/>
          <w:i/>
          <w:color w:val="1F3864"/>
          <w:sz w:val="24"/>
        </w:rPr>
        <w:t>“Y todo esto no se queda en una pantalla: publiqué una API REST con doce endpoints —incluida una comparación de rutas en vivo— para que otro sistema, como un buscador de rutas turístico o una plataforma de reservas, pueda consumir el TSMAI directamente. Deja de ser un dashboard para convertirse en una pieza de infraestructura reutilizable.”</w:t>
      </w:r>
    </w:p>
    <w:p>
      <w:pPr>
        <w:spacing w:after="200"/>
      </w:pPr>
      <w:r>
        <w:rPr>
          <w:rFonts w:ascii="Calibri" w:hAnsi="Calibri"/>
          <w:i/>
          <w:color w:val="595959"/>
          <w:sz w:val="20"/>
        </w:rPr>
        <w:t>Pantalla de apoyo sugerida: captura de /docs (Swagger) de la API, ya probada en local con uvicorn.</w:t>
      </w:r>
    </w:p>
    <w:p>
      <w:pPr>
        <w:spacing w:before="280" w:after="80"/>
      </w:pPr>
      <w:r>
        <w:rPr>
          <w:b/>
          <w:color w:val="2E75B6"/>
          <w:sz w:val="24"/>
        </w:rPr>
        <w:t xml:space="preserve">[4:20–4:40] </w:t>
      </w:r>
      <w:r>
        <w:rPr>
          <w:b/>
          <w:color w:val="1F3864"/>
          <w:sz w:val="24"/>
        </w:rPr>
        <w:t>Diapositiva 6 — Limitaciones (recortable a una frase)</w:t>
      </w:r>
    </w:p>
    <w:p>
      <w:pPr>
        <w:spacing w:after="280" w:line="312" w:lineRule="auto"/>
        <w:ind w:left="283"/>
        <w:shd w:val="clear" w:fill="EEF3FA"/>
      </w:pPr>
      <w:r>
        <w:rPr>
          <w:i/>
          <w:color w:val="1F3864"/>
          <w:sz w:val="24"/>
        </w:rPr>
        <w:t>“Soy honesta con lo que falta: no certifica seguridad ni accesibilidad universal, y el análisis de sentimiento necesita ampliar la muestra antes de publicar resultados por municipio. Es evidencia para revisar, no una sentencia final.”</w:t>
      </w:r>
    </w:p>
    <w:p>
      <w:pPr>
        <w:spacing w:before="280" w:after="80"/>
      </w:pPr>
      <w:r>
        <w:rPr>
          <w:b/>
          <w:color w:val="2E75B6"/>
          <w:sz w:val="24"/>
        </w:rPr>
        <w:t xml:space="preserve">[4:40–5:00] </w:t>
      </w:r>
      <w:r>
        <w:rPr>
          <w:b/>
          <w:color w:val="1F3864"/>
          <w:sz w:val="24"/>
        </w:rPr>
        <w:t>Cierre</w:t>
      </w:r>
    </w:p>
    <w:p>
      <w:pPr>
        <w:spacing w:after="280" w:line="312" w:lineRule="auto"/>
        <w:ind w:left="283"/>
        <w:shd w:val="clear" w:fill="EEF3FA"/>
      </w:pPr>
      <w:r>
        <w:rPr>
          <w:i/>
          <w:color w:val="1F3864"/>
          <w:sz w:val="24"/>
        </w:rPr>
        <w:t>“Datos reales, rutas reales, metodología explicable y verificable. Esto es TSMAI. Gracias.”</w:t>
      </w:r>
    </w:p>
    <w:p>
      <w:r>
        <w:br w:type="page"/>
      </w:r>
    </w:p>
    <w:p>
      <w:pPr>
        <w:pStyle w:val="Heading1"/>
      </w:pPr>
      <w:r>
        <w:t>La ruta elegida para el Planificador</w:t>
      </w:r>
    </w:p>
    <w:p>
      <w:pPr>
        <w:spacing w:after="160" w:before="0" w:line="288" w:lineRule="auto"/>
      </w:pPr>
      <w:r>
        <w:rPr>
          <w:b w:val="0"/>
          <w:i w:val="0"/>
          <w:sz w:val="22"/>
        </w:rPr>
        <w:t>Se probó en vivo contra la aplicación antes de escribir este guión, para no improvisar sobre un resultado desconocido durante la grabación.</w:t>
      </w:r>
    </w:p>
    <w:p>
      <w:pPr>
        <w:spacing w:after="160" w:before="0" w:line="288" w:lineRule="auto"/>
      </w:pPr>
      <w:r>
        <w:rPr>
          <w:b/>
          <w:i w:val="0"/>
          <w:color w:val="1F3864"/>
          <w:sz w:val="22"/>
        </w:rPr>
        <w:t>Origen: AC Hotel Ciutat de Palma by Marriott (Palma) · Destino: Palau de l'Almudaina · Fecha: 2026-09-15, 12:00 · Perfil: Equilibrada</w:t>
      </w:r>
    </w:p>
    <w:tbl>
      <w:tblPr>
        <w:tblStyle w:val="TableGrid"/>
        <w:tblW w:type="auto" w:w="0"/>
        <w:tblLayout w:type="fixed"/>
        <w:tblLook w:firstColumn="1" w:firstRow="1" w:lastColumn="0" w:lastRow="0" w:noHBand="0" w:noVBand="1" w:val="04A0"/>
      </w:tblPr>
      <w:tblGrid>
        <w:gridCol w:w="2353"/>
        <w:gridCol w:w="2353"/>
        <w:gridCol w:w="2353"/>
        <w:gridCol w:w="2353"/>
      </w:tblGrid>
      <w:tr>
        <w:tc>
          <w:tcPr>
            <w:tcW w:type="dxa" w:w="2835"/>
            <w:vAlign w:val="center"/>
            <w:shd w:val="clear" w:fill="1F3864"/>
          </w:tcPr>
          <w:p>
            <w:pPr>
              <w:jc w:val="center"/>
            </w:pPr>
            <w:r>
              <w:rPr>
                <w:b/>
                <w:color w:val="FFFFFF"/>
                <w:sz w:val="20"/>
              </w:rPr>
              <w:t>Modo</w:t>
            </w:r>
          </w:p>
        </w:tc>
        <w:tc>
          <w:tcPr>
            <w:tcW w:type="dxa" w:w="1984"/>
            <w:vAlign w:val="center"/>
            <w:shd w:val="clear" w:fill="1F3864"/>
          </w:tcPr>
          <w:p>
            <w:pPr>
              <w:jc w:val="center"/>
            </w:pPr>
            <w:r>
              <w:rPr>
                <w:b/>
                <w:color w:val="FFFFFF"/>
                <w:sz w:val="20"/>
              </w:rPr>
              <w:t>Duración</w:t>
            </w:r>
          </w:p>
        </w:tc>
        <w:tc>
          <w:tcPr>
            <w:tcW w:type="dxa" w:w="1984"/>
            <w:vAlign w:val="center"/>
            <w:shd w:val="clear" w:fill="1F3864"/>
          </w:tcPr>
          <w:p>
            <w:pPr>
              <w:jc w:val="center"/>
            </w:pPr>
            <w:r>
              <w:rPr>
                <w:b/>
                <w:color w:val="FFFFFF"/>
                <w:sz w:val="20"/>
              </w:rPr>
              <w:t>Distancia</w:t>
            </w:r>
          </w:p>
        </w:tc>
        <w:tc>
          <w:tcPr>
            <w:tcW w:type="dxa" w:w="1984"/>
            <w:vAlign w:val="center"/>
            <w:shd w:val="clear" w:fill="1F3864"/>
          </w:tcPr>
          <w:p>
            <w:pPr>
              <w:jc w:val="center"/>
            </w:pPr>
            <w:r>
              <w:rPr>
                <w:b/>
                <w:color w:val="FFFFFF"/>
                <w:sz w:val="20"/>
              </w:rPr>
              <w:t>Caminata</w:t>
            </w:r>
          </w:p>
        </w:tc>
      </w:tr>
      <w:tr>
        <w:tc>
          <w:tcPr>
            <w:tcW w:type="dxa" w:w="2835"/>
            <w:vAlign w:val="center"/>
            <w:shd w:val="clear" w:fill="E2F0E5"/>
          </w:tcPr>
          <w:p>
            <w:r>
              <w:rPr>
                <w:b/>
                <w:color w:val="22A06B"/>
                <w:sz w:val="20"/>
              </w:rPr>
              <w:t>Bicicleta  (recomendada)</w:t>
            </w:r>
          </w:p>
        </w:tc>
        <w:tc>
          <w:tcPr>
            <w:tcW w:type="dxa" w:w="1984"/>
            <w:vAlign w:val="center"/>
            <w:shd w:val="clear" w:fill="E2F0E5"/>
          </w:tcPr>
          <w:p>
            <w:r>
              <w:rPr>
                <w:b/>
                <w:color w:val="22A06B"/>
                <w:sz w:val="20"/>
              </w:rPr>
              <w:t>10,6 min</w:t>
            </w:r>
          </w:p>
        </w:tc>
        <w:tc>
          <w:tcPr>
            <w:tcW w:type="dxa" w:w="1984"/>
            <w:vAlign w:val="center"/>
            <w:shd w:val="clear" w:fill="E2F0E5"/>
          </w:tcPr>
          <w:p>
            <w:r>
              <w:rPr>
                <w:b/>
                <w:color w:val="22A06B"/>
                <w:sz w:val="20"/>
              </w:rPr>
              <w:t>2.342 m</w:t>
            </w:r>
          </w:p>
        </w:tc>
        <w:tc>
          <w:tcPr>
            <w:tcW w:type="dxa" w:w="1984"/>
            <w:vAlign w:val="center"/>
            <w:shd w:val="clear" w:fill="E2F0E5"/>
          </w:tcPr>
          <w:p>
            <w:r>
              <w:rPr>
                <w:b/>
                <w:color w:val="22A06B"/>
                <w:sz w:val="20"/>
              </w:rPr>
              <w:t>0 m</w:t>
            </w:r>
          </w:p>
        </w:tc>
      </w:tr>
      <w:tr>
        <w:tc>
          <w:tcPr>
            <w:tcW w:type="dxa" w:w="2835"/>
            <w:vAlign w:val="center"/>
          </w:tcPr>
          <w:p>
            <w:r>
              <w:rPr>
                <w:sz w:val="20"/>
              </w:rPr>
              <w:t>Coche</w:t>
            </w:r>
          </w:p>
        </w:tc>
        <w:tc>
          <w:tcPr>
            <w:tcW w:type="dxa" w:w="1984"/>
            <w:vAlign w:val="center"/>
          </w:tcPr>
          <w:p>
            <w:r>
              <w:rPr>
                <w:sz w:val="20"/>
              </w:rPr>
              <w:t>7,6 min</w:t>
            </w:r>
          </w:p>
        </w:tc>
        <w:tc>
          <w:tcPr>
            <w:tcW w:type="dxa" w:w="1984"/>
            <w:vAlign w:val="center"/>
          </w:tcPr>
          <w:p>
            <w:r>
              <w:rPr>
                <w:sz w:val="20"/>
              </w:rPr>
              <w:t>2.181 m</w:t>
            </w:r>
          </w:p>
        </w:tc>
        <w:tc>
          <w:tcPr>
            <w:tcW w:type="dxa" w:w="1984"/>
            <w:vAlign w:val="center"/>
          </w:tcPr>
          <w:p>
            <w:r>
              <w:rPr>
                <w:sz w:val="20"/>
              </w:rPr>
              <w:t>—</w:t>
            </w:r>
          </w:p>
        </w:tc>
      </w:tr>
      <w:tr>
        <w:tc>
          <w:tcPr>
            <w:tcW w:type="dxa" w:w="2835"/>
            <w:vAlign w:val="center"/>
            <w:shd w:val="clear" w:fill="F2F2F2"/>
          </w:tcPr>
          <w:p>
            <w:r>
              <w:rPr>
                <w:sz w:val="20"/>
              </w:rPr>
              <w:t>A pie</w:t>
            </w:r>
          </w:p>
        </w:tc>
        <w:tc>
          <w:tcPr>
            <w:tcW w:type="dxa" w:w="1984"/>
            <w:vAlign w:val="center"/>
            <w:shd w:val="clear" w:fill="F2F2F2"/>
          </w:tcPr>
          <w:p>
            <w:r>
              <w:rPr>
                <w:sz w:val="20"/>
              </w:rPr>
              <w:t>22,0 min</w:t>
            </w:r>
          </w:p>
        </w:tc>
        <w:tc>
          <w:tcPr>
            <w:tcW w:type="dxa" w:w="1984"/>
            <w:vAlign w:val="center"/>
            <w:shd w:val="clear" w:fill="F2F2F2"/>
          </w:tcPr>
          <w:p>
            <w:r>
              <w:rPr>
                <w:sz w:val="20"/>
              </w:rPr>
              <w:t>1.639 m</w:t>
            </w:r>
          </w:p>
        </w:tc>
        <w:tc>
          <w:tcPr>
            <w:tcW w:type="dxa" w:w="1984"/>
            <w:vAlign w:val="center"/>
            <w:shd w:val="clear" w:fill="F2F2F2"/>
          </w:tcPr>
          <w:p>
            <w:r>
              <w:rPr>
                <w:sz w:val="20"/>
              </w:rPr>
              <w:t>1.639 m</w:t>
            </w:r>
          </w:p>
        </w:tc>
      </w:tr>
    </w:tbl>
    <w:p>
      <w:pPr>
        <w:spacing w:after="80"/>
      </w:pPr>
    </w:p>
    <w:p>
      <w:pPr>
        <w:spacing w:after="160" w:before="0" w:line="288" w:lineRule="auto"/>
      </w:pPr>
      <w:r>
        <w:rPr>
          <w:b w:val="0"/>
          <w:i w:val="0"/>
          <w:sz w:val="22"/>
        </w:rPr>
        <w:t>Por qué esta ruta: el coche es más rápido, pero el sistema recomienda la bicicleta porque el perfil «Equilibrada» pondera también las emisiones, no solo el tiempo — es un resultado real y verificable en directo, no preparado de antemano.</w:t>
      </w:r>
    </w:p>
    <w:p>
      <w:pPr>
        <w:spacing w:after="160" w:before="0" w:line="288" w:lineRule="auto"/>
      </w:pPr>
      <w:r>
        <w:rPr>
          <w:b w:val="0"/>
          <w:i/>
          <w:color w:val="595959"/>
          <w:sz w:val="20"/>
        </w:rPr>
        <w:t>Aviso honesto: para esta fecha y hora, el transporte público no devolvió resultado («Resultados no disponibles para esta fecha/hora»). En el vídeo se comparan 3 modos, no 4; no lo menciones si no te preguntan, no resta valor al argumento.</w:t>
      </w:r>
    </w:p>
    <w:p>
      <w:r>
        <w:br w:type="page"/>
      </w:r>
    </w:p>
    <w:p>
      <w:pPr>
        <w:pStyle w:val="Heading1"/>
      </w:pPr>
      <w:r>
        <w:t>Aviso importante antes de grabar</w:t>
      </w:r>
    </w:p>
    <w:p>
      <w:pPr>
        <w:spacing w:after="160" w:before="0" w:line="288" w:lineRule="auto"/>
      </w:pPr>
      <w:r>
        <w:rPr>
          <w:b w:val="0"/>
          <w:i w:val="0"/>
          <w:sz w:val="22"/>
        </w:rPr>
        <w:t>El Planificador consulta OpenTripPlanner en vivo, y esa consulta puede tardar hasta 25 segundos. Si se hace en directo sin preparación, ese silencio queda grabado en el vídeo.</w:t>
      </w:r>
    </w:p>
    <w:p>
      <w:pPr>
        <w:spacing w:after="160" w:before="0" w:line="288" w:lineRule="auto"/>
      </w:pPr>
      <w:r>
        <w:rPr>
          <w:b/>
          <w:i w:val="0"/>
          <w:sz w:val="22"/>
        </w:rPr>
        <w:t>Solución: unos minutos antes de grabar, ejecuta tú misma esa misma consulta (mismo alojamiento, mismo destino, misma fecha, hora y perfil) una vez. El resultado queda en caché 5 minutos, así que al repetirla durante la grabación aparece al instante.</w:t>
      </w:r>
    </w:p>
    <w:p>
      <w:r>
        <w:br w:type="page"/>
      </w:r>
    </w:p>
    <w:p>
      <w:pPr>
        <w:pStyle w:val="Heading1"/>
      </w:pPr>
      <w:r>
        <w:t>Consejos para el criterio «Exposición»</w:t>
      </w:r>
    </w:p>
    <w:p>
      <w:pPr>
        <w:spacing w:after="160" w:before="0" w:line="288" w:lineRule="auto"/>
      </w:pPr>
      <w:r>
        <w:rPr>
          <w:b w:val="0"/>
          <w:i w:val="0"/>
          <w:sz w:val="22"/>
        </w:rPr>
        <w:t>Este criterio no depende de qué dices, sino de cómo lo dices. El jurado son profesionales del sector, no un tribunal académico: valoran claridad y seguridad, no un tono solemne.</w:t>
      </w:r>
    </w:p>
    <w:p>
      <w:pPr>
        <w:pStyle w:val="ListBullet"/>
        <w:spacing w:after="120"/>
      </w:pPr>
      <w:r>
        <w:rPr>
          <w:b/>
          <w:sz w:val="22"/>
        </w:rPr>
        <w:t xml:space="preserve">Contacto visual: </w:t>
      </w:r>
      <w:r>
        <w:rPr>
          <w:sz w:val="22"/>
        </w:rPr>
        <w:t>mira a cámara al hablar tú, no a la pantalla; solo aparta la vista cuando estés narrando la demo en pantalla compartida.</w:t>
      </w:r>
    </w:p>
    <w:p>
      <w:pPr>
        <w:pStyle w:val="ListBullet"/>
        <w:spacing w:after="120"/>
      </w:pPr>
      <w:r>
        <w:rPr>
          <w:b/>
          <w:sz w:val="22"/>
        </w:rPr>
        <w:t xml:space="preserve">Ritmo: </w:t>
      </w:r>
      <w:r>
        <w:rPr>
          <w:sz w:val="22"/>
        </w:rPr>
        <w:t>las frases entre comillas de este guión son cortas a propósito; si una te sale larga al grabar, córtala en dos antes que decirla de corrido sin respirar.</w:t>
      </w:r>
    </w:p>
    <w:p>
      <w:pPr>
        <w:pStyle w:val="ListBullet"/>
        <w:spacing w:after="120"/>
      </w:pPr>
      <w:r>
        <w:rPr>
          <w:b/>
          <w:sz w:val="22"/>
        </w:rPr>
        <w:t xml:space="preserve">Si te vas de tiempo: </w:t>
      </w:r>
      <w:r>
        <w:rPr>
          <w:sz w:val="22"/>
        </w:rPr>
        <w:t>cada bloque tiene un margen de ±5 segundos; si te retrasas, quita una frase del bloque de limitaciones antes que hablar más rápido para recuperar el tiempo.</w:t>
      </w:r>
    </w:p>
    <w:p>
      <w:pPr>
        <w:pStyle w:val="ListBullet"/>
        <w:spacing w:after="120"/>
      </w:pPr>
      <w:r>
        <w:rPr>
          <w:b/>
          <w:sz w:val="22"/>
        </w:rPr>
        <w:t xml:space="preserve">Naturalidad: </w:t>
      </w:r>
      <w:r>
        <w:rPr>
          <w:sz w:val="22"/>
        </w:rPr>
        <w:t>practica en voz alta al menos dos veces completas antes de la grabación definitiva; se nota mucho la diferencia entre leer y explicar.</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Guión · Competición de becas · Movilidad Sostenible en Mallorca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