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Relationship Id="rIdCustom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body>
    <w:p>
      <w:pPr>
        <w:pStyle w:val="Title"/>
        <ck:id v="dtat-tech-challenge-fase-3"/>
      </w:pPr>
      <w:bookmarkStart w:id="0" w:name="dtat_tech_challenge_fase_3"/>
      <w:r>
        <w:t>[DTAT] — Tech Challenge - Fase 3</w:t>
      </w:r>
      <w:bookmarkEnd w:id="0"/>
    </w:p>
    <w:p>
      <w:pPr>
        <w:pStyle w:val="Heading3"/>
        <ck:id v="como-est-estruturado-o-mercado-brasileiro-de-dados"/>
      </w:pPr>
      <w:bookmarkStart w:id="1" w:name="como_est_estruturado_o_mercado_brasileir"/>
      <w:r>
        <w:t>Análise do mercado brasileiro de Dados — State of Data Survey Brasil (2023–2025)</w:t>
      </w:r>
      <w:bookmarkEnd w:id="1"/>
    </w:p>
    <w:p>
      <w:r>
        <w:rPr>
          <w:b/>
        </w:rPr>
        <w:t>Analistas de Dados:</w:t>
      </w:r>
      <w:r>
        <w:t xml:space="preserve"> Tiago Antônio dos Santos, Isabele Cristina Felix Santos e Thais Marcondes Narbonne</w:t>
      </w:r>
    </w:p>
    <w:p>
      <w:r>
        <w:rPr>
          <w:b/>
        </w:rPr>
        <w:t>Fonte:</w:t>
      </w:r>
      <w:r>
        <w:t xml:space="preserve"> State of Data Survey Brasil — edições 2023, 2024 e 2025 (camadas bronze, silver e gold do projeto)</w:t>
      </w:r>
    </w:p>
    <w:p>
      <w:r>
        <w:rPr>
          <w:b/>
        </w:rPr>
        <w:t>Base analisada:</w:t>
      </w:r>
      <w:r>
        <w:t xml:space="preserve"> 14.002 respondentes (5.293 em 2023, 5.215 em 2024, 3.494 em 2025)</w:t>
      </w:r>
    </w:p>
    <w:p>
      <w:pPr>
        <w:pBdr>
          <w:bottom w:val="single" w:sz="16" w:space="1" w:color="1A1A1A"/>
        </w:pBdr>
      </w:pPr>
    </w:p>
    <w:p>
      <w:pPr>
        <w:pStyle w:val="Heading2"/>
        <ck:id v="resumo-executivo"/>
      </w:pPr>
      <w:bookmarkStart w:id="2" w:name="resumo_executivo"/>
      <w:r>
        <w:t>Resumo Executivo</w:t>
      </w:r>
      <w:bookmarkEnd w:id="2"/>
    </w:p>
    <w:p>
      <w:r>
        <w:t xml:space="preserve">O mercado brasileiro de Dados, retratado pelas três últimas edições do State of Data Survey, é um mercado majoritariamente técnico-operacional (Analistas de Dados e Cientistas de Dados somam ~42% dos respondentes que informaram um cargo atual), concentrado em grandes empresas (44,6% com mais de 3.000 funcionários) dos setores de Finanças/Bancos (19,9%) e Tecnologia (18,4%), geograficamente centralizado no Sudeste (62,3% dos respondentes) e ainda com uma desigualdade de gênero estrutural: apenas 23,5% dos respondentes são mulheres, uma fatia que vem </w:t>
      </w:r>
      <w:r>
        <w:rPr>
          <w:i/>
        </w:rPr>
        <w:t>encolhendo</w:t>
      </w:r>
      <w:r>
        <w:t xml:space="preserve"> ano a ano (24,4% em 2023 para 21,9% em 2025), e mulheres reportam salário médio 18,6% menor que o de homens.</w:t>
      </w:r>
    </w:p>
    <w:p>
      <w:r>
        <w:t xml:space="preserve">Em tecnologia, o par SQL + Python é praticamente unânime (89,5% e 85,3% de uso, respectivamente), a nuvem é dominada por AWS (45,9% de preferência entre quem usa cloud), e a adoção de IA generativa deu um salto: a fração de profissionais que declara </w:t>
      </w:r>
      <w:r>
        <w:rPr>
          <w:b/>
        </w:rPr>
        <w:t>não usar IA</w:t>
      </w:r>
      <w:r>
        <w:t xml:space="preserve"> para produtividade pessoal caiu de 19,7% (2023) para 6,5% (2024) e 2,1% (2025). Ainda assim, apenas 19,3% das empresas tratam IA como prioridade máxima, e a maior barreira interna é a falta de expertise/recursos (36,8%) e de casos de uso claros (36,0%).</w:t>
      </w:r>
    </w:p>
    <w:p>
      <w:r>
        <w:t>O trabalho remoto perde força relativa (46,3% em 2023 para 39,7% em 2025, com o presencial subindo de 16,6% para 20,8%), mesmo pagando, em média, 59% a mais que o modelo presencial. Regionalmente, o Sudeste paga 33% a mais que o Nordeste. E o principal fator de atração e também de insatisfação no mercado é o mesmo: remuneração (81,9% escolhe emprego pelo salário; 45,1% dos insatisfeitos citam salário abaixo do mercado como motivo).</w:t>
      </w:r>
    </w:p>
    <w:p>
      <w:r>
        <w:t>As sete seções a seguir detalham cada um desses pontos com os números extraídos das tabelas da camada gold do projeto (complementadas, quando indicado, por uma pergunta específica da camada silver ausente da gold).</w:t>
      </w:r>
    </w:p>
    <w:p>
      <w:pPr>
        <w:pBdr>
          <w:bottom w:val="single" w:sz="16" w:space="1" w:color="1A1A1A"/>
        </w:pBdr>
      </w:pPr>
    </w:p>
    <w:p>
      <w:pPr>
        <w:pStyle w:val="Heading2"/>
        <ck:id v="pergunta-1"/>
      </w:pPr>
      <w:bookmarkStart w:id="3" w:name="pergunta_1"/>
      <w:r>
        <w:t>1. Como está estruturado o mercado brasileiro de Dados?</w:t>
      </w:r>
      <w:bookmarkEnd w:id="3"/>
    </w:p>
    <w:p>
      <w:r>
        <w:t>Antes de entrar em cada recorte específico, esta seção traça um retrato geral da composição do mercado: em que tipo de empresa, setor, região e modelo de trabalho os profissionais de Dados estão hoje, e como se distribuem por senioridade e gênero.</w:t>
      </w:r>
    </w:p>
    <w:p>
      <w:pPr>
        <w:pStyle w:val="Heading3"/>
        <ck:id v="11-setor-de-atuao"/>
      </w:pPr>
      <w:bookmarkStart w:id="4" w:name="_11_setor_de_atuao"/>
      <w:r>
        <w:t>1.1 Setor de atuação</w:t>
      </w:r>
      <w:bookmarkEnd w:id="4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Setor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% da base</w:t>
            </w:r>
          </w:p>
        </w:tc>
      </w:tr>
      <w:tr>
        <w:tc>
          <w:tcPr/>
          <w:p>
            <w:r>
              <w:t>Finanças ou Bancos</w:t>
            </w:r>
          </w:p>
        </w:tc>
        <w:tc>
          <w:tcPr/>
          <w:p>
            <w:pPr>
              <w:jc w:val="right"/>
            </w:pPr>
            <w:r>
              <w:t>19,9%</w:t>
            </w:r>
          </w:p>
        </w:tc>
      </w:tr>
      <w:tr>
        <w:tc>
          <w:tcPr/>
          <w:p>
            <w:r>
              <w:t>Tecnologia/Fábrica de Software</w:t>
            </w:r>
          </w:p>
        </w:tc>
        <w:tc>
          <w:tcPr/>
          <w:p>
            <w:pPr>
              <w:jc w:val="right"/>
            </w:pPr>
            <w:r>
              <w:t>18,4%</w:t>
            </w:r>
          </w:p>
        </w:tc>
      </w:tr>
      <w:tr>
        <w:tc>
          <w:tcPr/>
          <w:p>
            <w:r>
              <w:t>Área de Consultoria</w:t>
            </w:r>
          </w:p>
        </w:tc>
        <w:tc>
          <w:tcPr/>
          <w:p>
            <w:pPr>
              <w:jc w:val="right"/>
            </w:pPr>
            <w:r>
              <w:t>8,0%</w:t>
            </w:r>
          </w:p>
        </w:tc>
      </w:tr>
      <w:tr>
        <w:tc>
          <w:tcPr/>
          <w:p>
            <w:r>
              <w:t>Varejo</w:t>
            </w:r>
          </w:p>
        </w:tc>
        <w:tc>
          <w:tcPr/>
          <w:p>
            <w:pPr>
              <w:jc w:val="right"/>
            </w:pPr>
            <w:r>
              <w:t>7,4%</w:t>
            </w:r>
          </w:p>
        </w:tc>
      </w:tr>
      <w:tr>
        <w:tc>
          <w:tcPr/>
          <w:p>
            <w:r>
              <w:t>Indústria</w:t>
            </w:r>
          </w:p>
        </w:tc>
        <w:tc>
          <w:tcPr/>
          <w:p>
            <w:pPr>
              <w:jc w:val="right"/>
            </w:pPr>
            <w:r>
              <w:t>6,9%</w:t>
            </w:r>
          </w:p>
        </w:tc>
      </w:tr>
      <w:tr>
        <w:tc>
          <w:tcPr/>
          <w:p>
            <w:r>
              <w:t>Educação</w:t>
            </w:r>
          </w:p>
        </w:tc>
        <w:tc>
          <w:tcPr/>
          <w:p>
            <w:pPr>
              <w:jc w:val="right"/>
            </w:pPr>
            <w:r>
              <w:t>4,4%</w:t>
            </w:r>
          </w:p>
        </w:tc>
      </w:tr>
      <w:tr>
        <w:tc>
          <w:tcPr/>
          <w:p>
            <w:r>
              <w:t>Outros setores</w:t>
            </w:r>
          </w:p>
        </w:tc>
        <w:tc>
          <w:tcPr/>
          <w:p>
            <w:pPr>
              <w:jc w:val="right"/>
            </w:pPr>
            <w:r>
              <w:t>35,0%</w:t>
            </w:r>
          </w:p>
        </w:tc>
      </w:tr>
    </w:tbl>
    <w:p>
      <w:r>
        <w:rPr>
          <w:i/>
        </w:rPr>
        <w:t>(Base: 12.841 respondentes que informaram o setor; percentuais sobre essa base.)</w:t>
      </w:r>
    </w:p>
    <w:p>
      <w:r>
        <w:t>Finanças/Bancos e Tecnologia somados concentram 38,3% da força de trabalho de Dados — os dois setores historicamente mais intensivos em dados do país.</w:t>
      </w:r>
    </w:p>
    <w:p>
      <w:pPr>
        <w:pStyle w:val="Heading3"/>
        <ck:id v="12-porte-das-empresas-empregadoras"/>
      </w:pPr>
      <w:bookmarkStart w:id="5" w:name="_12_porte_das_empresas_empregadoras"/>
      <w:r>
        <w:t>1.2 Porte das empresas empregadoras</w:t>
      </w:r>
      <w:bookmarkEnd w:id="5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Porte (nº de funcionários)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% da base</w:t>
            </w:r>
          </w:p>
        </w:tc>
      </w:tr>
      <w:tr>
        <w:tc>
          <w:tcPr/>
          <w:p>
            <w:r>
              <w:t>Acima de 3.000</w:t>
            </w:r>
          </w:p>
        </w:tc>
        <w:tc>
          <w:tcPr/>
          <w:p>
            <w:pPr>
              <w:jc w:val="right"/>
            </w:pPr>
            <w:r>
              <w:t>44,6%</w:t>
            </w:r>
          </w:p>
        </w:tc>
      </w:tr>
      <w:tr>
        <w:tc>
          <w:tcPr/>
          <w:p>
            <w:r>
              <w:t>de 1.001 a 3.000</w:t>
            </w:r>
          </w:p>
        </w:tc>
        <w:tc>
          <w:tcPr/>
          <w:p>
            <w:pPr>
              <w:jc w:val="right"/>
            </w:pPr>
            <w:r>
              <w:t>11,3%</w:t>
            </w:r>
          </w:p>
        </w:tc>
      </w:tr>
      <w:tr>
        <w:tc>
          <w:tcPr/>
          <w:p>
            <w:r>
              <w:t>de 501 a 1.000</w:t>
            </w:r>
          </w:p>
        </w:tc>
        <w:tc>
          <w:tcPr/>
          <w:p>
            <w:pPr>
              <w:jc w:val="right"/>
            </w:pPr>
            <w:r>
              <w:t>9,6%</w:t>
            </w:r>
          </w:p>
        </w:tc>
      </w:tr>
      <w:tr>
        <w:tc>
          <w:tcPr/>
          <w:p>
            <w:r>
              <w:t>de 101 a 500</w:t>
            </w:r>
          </w:p>
        </w:tc>
        <w:tc>
          <w:tcPr/>
          <w:p>
            <w:pPr>
              <w:jc w:val="right"/>
            </w:pPr>
            <w:r>
              <w:t>16,5%</w:t>
            </w:r>
          </w:p>
        </w:tc>
      </w:tr>
      <w:tr>
        <w:tc>
          <w:tcPr/>
          <w:p>
            <w:r>
              <w:t>de 51 a 100</w:t>
            </w:r>
          </w:p>
        </w:tc>
        <w:tc>
          <w:tcPr/>
          <w:p>
            <w:pPr>
              <w:jc w:val="right"/>
            </w:pPr>
            <w:r>
              <w:t>7,1%</w:t>
            </w:r>
          </w:p>
        </w:tc>
      </w:tr>
      <w:tr>
        <w:tc>
          <w:tcPr/>
          <w:p>
            <w:r>
              <w:t>de 11 a 50</w:t>
            </w:r>
          </w:p>
        </w:tc>
        <w:tc>
          <w:tcPr/>
          <w:p>
            <w:pPr>
              <w:jc w:val="right"/>
            </w:pPr>
            <w:r>
              <w:t>6,7%</w:t>
            </w:r>
          </w:p>
        </w:tc>
      </w:tr>
      <w:tr>
        <w:tc>
          <w:tcPr/>
          <w:p>
            <w:r>
              <w:t>de 6 a 10</w:t>
            </w:r>
          </w:p>
        </w:tc>
        <w:tc>
          <w:tcPr/>
          <w:p>
            <w:pPr>
              <w:jc w:val="right"/>
            </w:pPr>
            <w:r>
              <w:t>1,6%</w:t>
            </w:r>
          </w:p>
        </w:tc>
      </w:tr>
      <w:tr>
        <w:tc>
          <w:tcPr/>
          <w:p>
            <w:r>
              <w:t>de 1 a 5</w:t>
            </w:r>
          </w:p>
        </w:tc>
        <w:tc>
          <w:tcPr/>
          <w:p>
            <w:pPr>
              <w:jc w:val="right"/>
            </w:pPr>
            <w:r>
              <w:t>2,6%</w:t>
            </w:r>
          </w:p>
        </w:tc>
      </w:tr>
    </w:tbl>
    <w:p>
      <w:r>
        <w:rPr>
          <w:i/>
        </w:rPr>
        <w:t>(Base: 12.839 respondentes.)</w:t>
      </w:r>
    </w:p>
    <w:sdt>
      <w:sdtPr>
        <w:tag w:val="clarkdown:div"/>
        <ck:div v="|panel|tint=accent"/>
      </w:sdtPr>
      <w:sdtContent>
        <w:tbl>
          <w:tblPr>
            <w:tblW w:w="5000" w:type="pct"/>
            <w:tblBorders>
              <w:top w:val="none"/>
              <w:left w:val="none"/>
              <w:bottom w:val="none"/>
              <w:right w:val="none"/>
              <w:insideH w:val="none"/>
              <w:insideV w:val="none"/>
            </w:tblBorders>
            <w:tblCellMar>
              <w:top w:w="320" w:type="dxa"/>
              <w:left w:w="240" w:type="dxa"/>
              <w:bottom w:w="320" w:type="dxa"/>
              <w:right w:w="240" w:type="dxa"/>
            </w:tblCellMar>
          </w:tblPr>
          <w:tblGrid>
            <w:gridCol/>
          </w:tblGrid>
          <w:tr>
            <w:tc>
              <w:tcPr>
                <w:shd w:val="clear" w:fill="E4E4E4"/>
              </w:tcPr>
              <w:p>
                <w:r>
                  <w:t>Quase metade do mercado (44,6%) está em empresas com mais de 3.000 funcionários — o mercado de Dados brasileiro é, estruturalmente, um mercado de grandes corporações, não de startups pequenas.</w:t>
                </w:r>
              </w:p>
            </w:tc>
          </w:tr>
        </w:tbl>
      </w:sdtContent>
    </w:sdt>
    <w:p>
      <w:pPr>
        <w:pStyle w:val="Heading3"/>
        <ck:id v="13-distribuio-regional"/>
      </w:pPr>
      <w:bookmarkStart w:id="6" w:name="_13_distribuio_regional"/>
      <w:r>
        <w:t>1.3 Distribuição regional</w:t>
      </w:r>
      <w:bookmarkEnd w:id="6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Região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% da base</w:t>
            </w:r>
          </w:p>
        </w:tc>
      </w:tr>
      <w:tr>
        <w:tc>
          <w:tcPr/>
          <w:p>
            <w:r>
              <w:t>Sudeste</w:t>
            </w:r>
          </w:p>
        </w:tc>
        <w:tc>
          <w:tcPr/>
          <w:p>
            <w:pPr>
              <w:jc w:val="right"/>
            </w:pPr>
            <w:r>
              <w:t>62,3%</w:t>
            </w:r>
          </w:p>
        </w:tc>
      </w:tr>
      <w:tr>
        <w:tc>
          <w:tcPr/>
          <w:p>
            <w:r>
              <w:t>Sul</w:t>
            </w:r>
          </w:p>
        </w:tc>
        <w:tc>
          <w:tcPr/>
          <w:p>
            <w:pPr>
              <w:jc w:val="right"/>
            </w:pPr>
            <w:r>
              <w:t>18,6%</w:t>
            </w:r>
          </w:p>
        </w:tc>
      </w:tr>
      <w:tr>
        <w:tc>
          <w:tcPr/>
          <w:p>
            <w:r>
              <w:t>Nordeste</w:t>
            </w:r>
          </w:p>
        </w:tc>
        <w:tc>
          <w:tcPr/>
          <w:p>
            <w:pPr>
              <w:jc w:val="right"/>
            </w:pPr>
            <w:r>
              <w:t>11,0%</w:t>
            </w:r>
          </w:p>
        </w:tc>
      </w:tr>
      <w:tr>
        <w:tc>
          <w:tcPr/>
          <w:p>
            <w:r>
              <w:t>Centro-Oeste</w:t>
            </w:r>
          </w:p>
        </w:tc>
        <w:tc>
          <w:tcPr/>
          <w:p>
            <w:pPr>
              <w:jc w:val="right"/>
            </w:pPr>
            <w:r>
              <w:t>6,7%</w:t>
            </w:r>
          </w:p>
        </w:tc>
      </w:tr>
      <w:tr>
        <w:tc>
          <w:tcPr/>
          <w:p>
            <w:r>
              <w:t>Norte</w:t>
            </w:r>
          </w:p>
        </w:tc>
        <w:tc>
          <w:tcPr/>
          <w:p>
            <w:pPr>
              <w:jc w:val="right"/>
            </w:pPr>
            <w:r>
              <w:t>1,4%</w:t>
            </w:r>
          </w:p>
        </w:tc>
      </w:tr>
    </w:tbl>
    <w:p>
      <w:pPr>
        <w:pStyle w:val="Heading3"/>
        <ck:id v="14-distribuio-por-senioridade"/>
      </w:pPr>
      <w:bookmarkStart w:id="7" w:name="_14_distribuio_por_senioridade"/>
      <w:r>
        <w:t>1.4 Distribuição por senioridade</w:t>
      </w:r>
      <w:bookmarkEnd w:id="7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Senioridade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% da base</w:t>
            </w:r>
          </w:p>
        </w:tc>
      </w:tr>
      <w:tr>
        <w:tc>
          <w:tcPr/>
          <w:p>
            <w:r>
              <w:t>Sênior</w:t>
            </w:r>
          </w:p>
        </w:tc>
        <w:tc>
          <w:tcPr/>
          <w:p>
            <w:pPr>
              <w:jc w:val="right"/>
            </w:pPr>
            <w:r>
              <w:t>37,9%</w:t>
            </w:r>
          </w:p>
        </w:tc>
      </w:tr>
      <w:tr>
        <w:tc>
          <w:tcPr/>
          <w:p>
            <w:r>
              <w:t>Pleno</w:t>
            </w:r>
          </w:p>
        </w:tc>
        <w:tc>
          <w:tcPr/>
          <w:p>
            <w:pPr>
              <w:jc w:val="right"/>
            </w:pPr>
            <w:r>
              <w:t>34,8%</w:t>
            </w:r>
          </w:p>
        </w:tc>
      </w:tr>
      <w:tr>
        <w:tc>
          <w:tcPr/>
          <w:p>
            <w:r>
              <w:t>Júnior</w:t>
            </w:r>
          </w:p>
        </w:tc>
        <w:tc>
          <w:tcPr/>
          <w:p>
            <w:pPr>
              <w:jc w:val="right"/>
            </w:pPr>
            <w:r>
              <w:t>23,9%</w:t>
            </w:r>
          </w:p>
        </w:tc>
      </w:tr>
      <w:tr>
        <w:tc>
          <w:tcPr/>
          <w:p>
            <w:r>
              <w:t>Especialista/Staff+</w:t>
            </w:r>
          </w:p>
        </w:tc>
        <w:tc>
          <w:tcPr/>
          <w:p>
            <w:pPr>
              <w:jc w:val="right"/>
            </w:pPr>
            <w:r>
              <w:t>3,4%</w:t>
            </w:r>
          </w:p>
        </w:tc>
      </w:tr>
    </w:tbl>
    <w:p>
      <w:pPr>
        <w:pStyle w:val="Heading3"/>
        <ck:id v="15-distribuio-por-gnero"/>
      </w:pPr>
      <w:bookmarkStart w:id="8" w:name="_15_distribuio_por_gnero"/>
      <w:r>
        <w:t>1.5 Distribuição por gênero</w:t>
      </w:r>
      <w:bookmarkEnd w:id="8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Gênero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% da base</w:t>
            </w:r>
          </w:p>
        </w:tc>
      </w:tr>
      <w:tr>
        <w:tc>
          <w:tcPr/>
          <w:p>
            <w:r>
              <w:t>Masculino</w:t>
            </w:r>
          </w:p>
        </w:tc>
        <w:tc>
          <w:tcPr/>
          <w:p>
            <w:pPr>
              <w:jc w:val="right"/>
            </w:pPr>
            <w:r>
              <w:t>76,0%</w:t>
            </w:r>
          </w:p>
        </w:tc>
      </w:tr>
      <w:tr>
        <w:tc>
          <w:tcPr/>
          <w:p>
            <w:r>
              <w:t>Feminino</w:t>
            </w:r>
          </w:p>
        </w:tc>
        <w:tc>
          <w:tcPr/>
          <w:p>
            <w:pPr>
              <w:jc w:val="right"/>
            </w:pPr>
            <w:r>
              <w:t>23,5%</w:t>
            </w:r>
          </w:p>
        </w:tc>
      </w:tr>
      <w:tr>
        <w:tc>
          <w:tcPr/>
          <w:p>
            <w:r>
              <w:t>Prefiro não informar</w:t>
            </w:r>
          </w:p>
        </w:tc>
        <w:tc>
          <w:tcPr/>
          <w:p>
            <w:pPr>
              <w:jc w:val="right"/>
            </w:pPr>
            <w:r>
              <w:t>0,3%</w:t>
            </w:r>
          </w:p>
        </w:tc>
      </w:tr>
      <w:tr>
        <w:tc>
          <w:tcPr/>
          <w:p>
            <w:r>
              <w:t>Outro</w:t>
            </w:r>
          </w:p>
        </w:tc>
        <w:tc>
          <w:tcPr/>
          <w:p>
            <w:pPr>
              <w:jc w:val="right"/>
            </w:pPr>
            <w:r>
              <w:t>0,2%</w:t>
            </w:r>
          </w:p>
        </w:tc>
      </w:tr>
    </w:tbl>
    <w:p>
      <w:pPr>
        <w:pStyle w:val="Heading3"/>
        <ck:id v="16-modelo-de-trabalho"/>
      </w:pPr>
      <w:bookmarkStart w:id="9" w:name="_16_modelo_de_trabalho"/>
      <w:r>
        <w:t>1.6 Modelo de trabalho</w:t>
      </w:r>
      <w:bookmarkEnd w:id="9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Modelo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% da base</w:t>
            </w:r>
          </w:p>
        </w:tc>
      </w:tr>
      <w:tr>
        <w:tc>
          <w:tcPr/>
          <w:p>
            <w:r>
              <w:t>Remoto</w:t>
            </w:r>
          </w:p>
        </w:tc>
        <w:tc>
          <w:tcPr/>
          <w:p>
            <w:pPr>
              <w:jc w:val="right"/>
            </w:pPr>
            <w:r>
              <w:t>44,4%</w:t>
            </w:r>
          </w:p>
        </w:tc>
      </w:tr>
      <w:tr>
        <w:tc>
          <w:tcPr/>
          <w:p>
            <w:r>
              <w:t>Híbrido (flexível + dias fixos)</w:t>
            </w:r>
          </w:p>
        </w:tc>
        <w:tc>
          <w:tcPr/>
          <w:p>
            <w:pPr>
              <w:jc w:val="right"/>
            </w:pPr>
            <w:r>
              <w:t>38,1%</w:t>
            </w:r>
          </w:p>
        </w:tc>
      </w:tr>
      <w:tr>
        <w:tc>
          <w:tcPr/>
          <w:p>
            <w:r>
              <w:t>Presencial</w:t>
            </w:r>
          </w:p>
        </w:tc>
        <w:tc>
          <w:tcPr/>
          <w:p>
            <w:pPr>
              <w:jc w:val="right"/>
            </w:pPr>
            <w:r>
              <w:t>17,5%</w:t>
            </w:r>
          </w:p>
        </w:tc>
      </w:tr>
    </w:tbl>
    <w:sdt>
      <w:sdtPr>
        <w:tag w:val="clarkdown:div"/>
        <ck:div v="|panel|tint=neutral"/>
      </w:sdtPr>
      <w:sdtContent>
        <w:tbl>
          <w:tblPr>
            <w:tblW w:w="5000" w:type="pct"/>
            <w:tblBorders>
              <w:top w:val="none"/>
              <w:left w:val="none"/>
              <w:bottom w:val="none"/>
              <w:right w:val="none"/>
              <w:insideH w:val="none"/>
              <w:insideV w:val="none"/>
            </w:tblBorders>
            <w:tblCellMar>
              <w:top w:w="320" w:type="dxa"/>
              <w:left w:w="240" w:type="dxa"/>
              <w:bottom w:w="320" w:type="dxa"/>
              <w:right w:w="240" w:type="dxa"/>
            </w:tblCellMar>
          </w:tblPr>
          <w:tblGrid>
            <w:gridCol/>
          </w:tblGrid>
          <w:tr>
            <w:tc>
              <w:tcPr>
                <w:shd w:val="clear" w:fill="F7F7F7"/>
              </w:tcPr>
              <w:p>
                <w:r>
                  <w:t>Somando os retratos acima: o profissional de Dados "típico" no Brasil trabalha em uma grande empresa (44,6% em corporações com 3.000+ funcionários) do setor financeiro ou de tecnologia, está no Sudeste (62,3%), tem senioridade Pleno/Sênior (72,7% somados) e atua em regime remoto ou híbrido (82,5% somados). É majoritariamente homem (76,0%) — o que estrutura o cenário de diversidade detalhado na Seção 3.</w:t>
                </w:r>
              </w:p>
            </w:tc>
          </w:tr>
        </w:tbl>
      </w:sdtContent>
    </w:sdt>
    <w:p>
      <w:r>
        <w:t>As seções seguintes aprofundam cada um destes recortes — perfis mais valorizados, diversidade, tecnologia, IA, diferenças regionais/de senioridade/modelo e, por fim, oportunidades e desafios para quem investe em Dados e IA.</w:t>
      </w:r>
    </w:p>
    <w:p>
      <w:pPr>
        <w:pBdr>
          <w:bottom w:val="single" w:sz="16" w:space="1" w:color="1A1A1A"/>
        </w:pBdr>
      </w:pPr>
    </w:p>
    <w:p>
      <w:pPr>
        <w:pStyle w:val="Heading2"/>
        <ck:id v="pergunta-2"/>
      </w:pPr>
      <w:bookmarkStart w:id="10" w:name="pergunta_2"/>
      <w:r>
        <w:t>2. Quais perfis profissionais são mais valorizados pelo mercado?</w:t>
      </w:r>
      <w:bookmarkEnd w:id="10"/>
    </w:p>
    <w:p>
      <w:r>
        <w:t>A pergunta é analisada a partir de duas dimensões observáveis no survey: representatividade dos profissionais por cargo e remuneração média estimada por cargo e senioridade.</w:t>
      </w:r>
    </w:p>
    <w:p>
      <w:pPr>
        <w:pStyle w:val="Heading3"/>
        <ck:id v="21-cargos-com-maior-volume-no-mercado"/>
      </w:pPr>
      <w:bookmarkStart w:id="11" w:name="_21_cargos_com_maior_volume_no_mercado"/>
      <w:r>
        <w:t>2.1 Cargos com maior volume no mercado</w:t>
      </w:r>
      <w:bookmarkEnd w:id="11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Cargo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Respondentes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% da base</w:t>
            </w:r>
          </w:p>
        </w:tc>
      </w:tr>
      <w:tr>
        <w:tc>
          <w:tcPr/>
          <w:p>
            <w:r>
              <w:t>Analista de Dados/Data Analyst</w:t>
            </w:r>
          </w:p>
        </w:tc>
        <w:tc>
          <w:tcPr/>
          <w:p>
            <w:pPr>
              <w:jc w:val="right"/>
            </w:pPr>
            <w:r>
              <w:t>2.463</w:t>
            </w:r>
          </w:p>
        </w:tc>
        <w:tc>
          <w:tcPr/>
          <w:p>
            <w:pPr>
              <w:jc w:val="right"/>
            </w:pPr>
            <w:r>
              <w:t>24,2%</w:t>
            </w:r>
          </w:p>
        </w:tc>
      </w:tr>
      <w:tr>
        <w:tc>
          <w:tcPr/>
          <w:p>
            <w:r>
              <w:t>Cientista de Dados/Data Scientist</w:t>
            </w:r>
          </w:p>
        </w:tc>
        <w:tc>
          <w:tcPr/>
          <w:p>
            <w:pPr>
              <w:jc w:val="right"/>
            </w:pPr>
            <w:r>
              <w:t>1.797</w:t>
            </w:r>
          </w:p>
        </w:tc>
        <w:tc>
          <w:tcPr/>
          <w:p>
            <w:pPr>
              <w:jc w:val="right"/>
            </w:pPr>
            <w:r>
              <w:t>17,7%</w:t>
            </w:r>
          </w:p>
        </w:tc>
      </w:tr>
      <w:tr>
        <w:tc>
          <w:tcPr/>
          <w:p>
            <w:r>
              <w:t>Analista de BI/BI Analyst</w:t>
            </w:r>
          </w:p>
        </w:tc>
        <w:tc>
          <w:tcPr/>
          <w:p>
            <w:pPr>
              <w:jc w:val="right"/>
            </w:pPr>
            <w:r>
              <w:t>1.117</w:t>
            </w:r>
          </w:p>
        </w:tc>
        <w:tc>
          <w:tcPr/>
          <w:p>
            <w:pPr>
              <w:jc w:val="right"/>
            </w:pPr>
            <w:r>
              <w:t>11,0%</w:t>
            </w:r>
          </w:p>
        </w:tc>
      </w:tr>
      <w:tr>
        <w:tc>
          <w:tcPr/>
          <w:p>
            <w:r>
              <w:t>Engenheiro de Dados/Data Engineer/Data Architect</w:t>
            </w:r>
          </w:p>
        </w:tc>
        <w:tc>
          <w:tcPr/>
          <w:p>
            <w:pPr>
              <w:jc w:val="right"/>
            </w:pPr>
            <w:r>
              <w:t>1.014</w:t>
            </w:r>
          </w:p>
        </w:tc>
        <w:tc>
          <w:tcPr/>
          <w:p>
            <w:pPr>
              <w:jc w:val="right"/>
            </w:pPr>
            <w:r>
              <w:t>10,0%</w:t>
            </w:r>
          </w:p>
        </w:tc>
      </w:tr>
      <w:tr>
        <w:tc>
          <w:tcPr/>
          <w:p>
            <w:r>
              <w:t>Engenheiro de Dados/Arquiteto de Dados (variação de nomenclatura)</w:t>
            </w:r>
          </w:p>
        </w:tc>
        <w:tc>
          <w:tcPr/>
          <w:p>
            <w:pPr>
              <w:jc w:val="right"/>
            </w:pPr>
            <w:r>
              <w:t>684</w:t>
            </w:r>
          </w:p>
        </w:tc>
        <w:tc>
          <w:tcPr/>
          <w:p>
            <w:pPr>
              <w:jc w:val="right"/>
            </w:pPr>
            <w:r>
              <w:t>6,7%</w:t>
            </w:r>
          </w:p>
        </w:tc>
      </w:tr>
      <w:tr>
        <w:tc>
          <w:tcPr/>
          <w:p>
            <w:r>
              <w:t>Analista de Negócios/Business Analyst</w:t>
            </w:r>
          </w:p>
        </w:tc>
        <w:tc>
          <w:tcPr/>
          <w:p>
            <w:pPr>
              <w:jc w:val="right"/>
            </w:pPr>
            <w:r>
              <w:t>520</w:t>
            </w:r>
          </w:p>
        </w:tc>
        <w:tc>
          <w:tcPr/>
          <w:p>
            <w:pPr>
              <w:jc w:val="right"/>
            </w:pPr>
            <w:r>
              <w:t>5,1%</w:t>
            </w:r>
          </w:p>
        </w:tc>
      </w:tr>
      <w:tr>
        <w:tc>
          <w:tcPr/>
          <w:p>
            <w:r>
              <w:t>Analytics Engineer</w:t>
            </w:r>
          </w:p>
        </w:tc>
        <w:tc>
          <w:tcPr/>
          <w:p>
            <w:pPr>
              <w:jc w:val="right"/>
            </w:pPr>
            <w:r>
              <w:t>502</w:t>
            </w:r>
          </w:p>
        </w:tc>
        <w:tc>
          <w:tcPr/>
          <w:p>
            <w:pPr>
              <w:jc w:val="right"/>
            </w:pPr>
            <w:r>
              <w:t>4,9%</w:t>
            </w:r>
          </w:p>
        </w:tc>
      </w:tr>
      <w:tr>
        <w:tc>
          <w:tcPr/>
          <w:p>
            <w:r>
              <w:t>Desenvolvedor/Engenheiro de Software</w:t>
            </w:r>
          </w:p>
        </w:tc>
        <w:tc>
          <w:tcPr/>
          <w:p>
            <w:pPr>
              <w:jc w:val="right"/>
            </w:pPr>
            <w:r>
              <w:t>333</w:t>
            </w:r>
          </w:p>
        </w:tc>
        <w:tc>
          <w:tcPr/>
          <w:p>
            <w:pPr>
              <w:jc w:val="right"/>
            </w:pPr>
            <w:r>
              <w:t>3,3%</w:t>
            </w:r>
          </w:p>
        </w:tc>
      </w:tr>
      <w:tr>
        <w:tc>
          <w:tcPr/>
          <w:p>
            <w:r>
              <w:t>Engenheiro de ML/AI Engineer</w:t>
            </w:r>
          </w:p>
        </w:tc>
        <w:tc>
          <w:tcPr/>
          <w:p>
            <w:pPr>
              <w:jc w:val="right"/>
            </w:pPr>
            <w:r>
              <w:t>284</w:t>
            </w:r>
          </w:p>
        </w:tc>
        <w:tc>
          <w:tcPr/>
          <w:p>
            <w:pPr>
              <w:jc w:val="right"/>
            </w:pPr>
            <w:r>
              <w:t>2,8%</w:t>
            </w:r>
          </w:p>
        </w:tc>
      </w:tr>
      <w:tr>
        <w:tc>
          <w:tcPr/>
          <w:p>
            <w:r>
              <w:t>Data Product Manager</w:t>
            </w:r>
          </w:p>
        </w:tc>
        <w:tc>
          <w:tcPr/>
          <w:p>
            <w:pPr>
              <w:jc w:val="right"/>
            </w:pPr>
            <w:r>
              <w:t>194</w:t>
            </w:r>
          </w:p>
        </w:tc>
        <w:tc>
          <w:tcPr/>
          <w:p>
            <w:pPr>
              <w:jc w:val="right"/>
            </w:pPr>
            <w:r>
              <w:t>1,9%</w:t>
            </w:r>
          </w:p>
        </w:tc>
      </w:tr>
    </w:tbl>
    <w:p>
      <w:r>
        <w:t>Base: 10.173 respondentes que informaram o cargo atual (dos 14.002 respondentes totais, 3.829 não responderam a esse campo e foram excluídos deste percentual). Analistas de Dados e Cientistas de Dados somados respondem por 41,9% desses respondentes — as duas portas de entrada e permanência mais comuns na carreira. Nota de nomenclatura: "Engenheiro de Dados" aparece em duas linhas porque o rótulo do cargo mudou entre as edições (2023: "Engenheiro de Dados/Arquiteto de Dados/Data Engineer/Data Architect"; 2024–2025: "Engenheiro de Dados/Data Engineer/Data Architect"). As categorias foram mantidas separadas, como na fonte, para preservar a rastreabilidade.</w:t>
      </w:r>
    </w:p>
    <w:p>
      <w:pPr>
        <w:pStyle w:val="Heading3"/>
        <ck:id v="22-cargos-mais-bem-remunerados-salrio-mdio-mensal-cargos-com-30-respondentes"/>
      </w:pPr>
      <w:bookmarkStart w:id="12" w:name="_22_cargos_mais_bem_remunerados_salrio_m"/>
      <w:r>
        <w:t>2.2 Cargos mais bem remunerados (salário médio mensal, cargos com 30+ respondentes)</w:t>
      </w:r>
      <w:bookmarkEnd w:id="12"/>
    </w:p>
    <w:sdt>
      <w:sdtPr>
        <w:tag w:val="clarkdown:div"/>
        <ck:div v="|panel|tint=accent"/>
      </w:sdtPr>
      <w:sdtContent>
        <w:tbl>
          <w:tblPr>
            <w:tblW w:w="5000" w:type="pct"/>
            <w:tblBorders>
              <w:top w:val="none"/>
              <w:left w:val="none"/>
              <w:bottom w:val="none"/>
              <w:right w:val="none"/>
              <w:insideH w:val="none"/>
              <w:insideV w:val="none"/>
            </w:tblBorders>
            <w:tblCellMar>
              <w:top w:w="320" w:type="dxa"/>
              <w:left w:w="240" w:type="dxa"/>
              <w:bottom w:w="320" w:type="dxa"/>
              <w:right w:w="240" w:type="dxa"/>
            </w:tblCellMar>
          </w:tblPr>
          <w:tblGrid>
            <w:gridCol/>
          </w:tblGrid>
          <w:tr>
            <w:tc>
              <w:tcPr>
                <w:shd w:val="clear" w:fill="E4E4E4"/>
              </w:tcPr>
              <w:p>
                <w:r>
                  <w:t>Arquitetos de Dados lideram a remuneração média (R$ 16.553), seguidos por Engenheiros de ML/AI Engineer (R$ 15.886) — as duas funções mais "raras" e mais especializadas do mercado.</w:t>
                </w:r>
              </w:p>
            </w:tc>
          </w:tr>
        </w:tbl>
      </w:sdtContent>
    </w:sdt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Cargo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Salário médio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n</w:t>
            </w:r>
          </w:p>
        </w:tc>
      </w:tr>
      <w:tr>
        <w:tc>
          <w:tcPr/>
          <w:p>
            <w:r>
              <w:t>Arquiteto de Dados/Data Architect</w:t>
            </w:r>
          </w:p>
        </w:tc>
        <w:tc>
          <w:tcPr/>
          <w:p>
            <w:pPr>
              <w:jc w:val="right"/>
            </w:pPr>
            <w:r>
              <w:t>R$ 16.553</w:t>
            </w:r>
          </w:p>
        </w:tc>
        <w:tc>
          <w:tcPr/>
          <w:p>
            <w:pPr>
              <w:jc w:val="right"/>
            </w:pPr>
            <w:r>
              <w:t>76</w:t>
            </w:r>
          </w:p>
        </w:tc>
      </w:tr>
      <w:tr>
        <w:tc>
          <w:tcPr/>
          <w:p>
            <w:r>
              <w:t>Engenheiro de ML/AI Engineer</w:t>
            </w:r>
          </w:p>
        </w:tc>
        <w:tc>
          <w:tcPr/>
          <w:p>
            <w:pPr>
              <w:jc w:val="right"/>
            </w:pPr>
            <w:r>
              <w:t>R$ 15.886</w:t>
            </w:r>
          </w:p>
        </w:tc>
        <w:tc>
          <w:tcPr/>
          <w:p>
            <w:pPr>
              <w:jc w:val="right"/>
            </w:pPr>
            <w:r>
              <w:t>284</w:t>
            </w:r>
          </w:p>
        </w:tc>
      </w:tr>
      <w:tr>
        <w:tc>
          <w:tcPr/>
          <w:p>
            <w:r>
              <w:t>Engenheiro de Dados/Data Engineer/Data Architect</w:t>
            </w:r>
          </w:p>
        </w:tc>
        <w:tc>
          <w:tcPr/>
          <w:p>
            <w:pPr>
              <w:jc w:val="right"/>
            </w:pPr>
            <w:r>
              <w:t>R$ 13.264</w:t>
            </w:r>
          </w:p>
        </w:tc>
        <w:tc>
          <w:tcPr/>
          <w:p>
            <w:pPr>
              <w:jc w:val="right"/>
            </w:pPr>
            <w:r>
              <w:t>1.014</w:t>
            </w:r>
          </w:p>
        </w:tc>
      </w:tr>
      <w:tr>
        <w:tc>
          <w:tcPr/>
          <w:p>
            <w:r>
              <w:t>Data Product Manager</w:t>
            </w:r>
          </w:p>
        </w:tc>
        <w:tc>
          <w:tcPr/>
          <w:p>
            <w:pPr>
              <w:jc w:val="right"/>
            </w:pPr>
            <w:r>
              <w:t>R$ 12.665</w:t>
            </w:r>
          </w:p>
        </w:tc>
        <w:tc>
          <w:tcPr/>
          <w:p>
            <w:pPr>
              <w:jc w:val="right"/>
            </w:pPr>
            <w:r>
              <w:t>194</w:t>
            </w:r>
          </w:p>
        </w:tc>
      </w:tr>
      <w:tr>
        <w:tc>
          <w:tcPr/>
          <w:p>
            <w:r>
              <w:t>Analytics Engineer</w:t>
            </w:r>
          </w:p>
        </w:tc>
        <w:tc>
          <w:tcPr/>
          <w:p>
            <w:pPr>
              <w:jc w:val="right"/>
            </w:pPr>
            <w:r>
              <w:t>R$ 11.575</w:t>
            </w:r>
          </w:p>
        </w:tc>
        <w:tc>
          <w:tcPr/>
          <w:p>
            <w:pPr>
              <w:jc w:val="right"/>
            </w:pPr>
            <w:r>
              <w:t>502</w:t>
            </w:r>
          </w:p>
        </w:tc>
      </w:tr>
      <w:tr>
        <w:tc>
          <w:tcPr/>
          <w:p>
            <w:r>
              <w:t>Cientista de Dados/Data Scientist</w:t>
            </w:r>
          </w:p>
        </w:tc>
        <w:tc>
          <w:tcPr/>
          <w:p>
            <w:pPr>
              <w:jc w:val="right"/>
            </w:pPr>
            <w:r>
              <w:t>R$ 11.572</w:t>
            </w:r>
          </w:p>
        </w:tc>
        <w:tc>
          <w:tcPr/>
          <w:p>
            <w:pPr>
              <w:jc w:val="right"/>
            </w:pPr>
            <w:r>
              <w:t>1.797</w:t>
            </w:r>
          </w:p>
        </w:tc>
      </w:tr>
      <w:tr>
        <w:tc>
          <w:tcPr/>
          <w:p>
            <w:r>
              <w:t>Analista de Negócios/Business Analyst</w:t>
            </w:r>
          </w:p>
        </w:tc>
        <w:tc>
          <w:tcPr/>
          <w:p>
            <w:pPr>
              <w:jc w:val="right"/>
            </w:pPr>
            <w:r>
              <w:t>R$ 8.250</w:t>
            </w:r>
          </w:p>
        </w:tc>
        <w:tc>
          <w:tcPr/>
          <w:p>
            <w:pPr>
              <w:jc w:val="right"/>
            </w:pPr>
            <w:r>
              <w:t>520</w:t>
            </w:r>
          </w:p>
        </w:tc>
      </w:tr>
      <w:tr>
        <w:tc>
          <w:tcPr/>
          <w:p>
            <w:r>
              <w:t>Analista de Dados/Data Analyst</w:t>
            </w:r>
          </w:p>
        </w:tc>
        <w:tc>
          <w:tcPr/>
          <w:p>
            <w:pPr>
              <w:jc w:val="right"/>
            </w:pPr>
            <w:r>
              <w:t>R$ 7.866</w:t>
            </w:r>
          </w:p>
        </w:tc>
        <w:tc>
          <w:tcPr/>
          <w:p>
            <w:pPr>
              <w:jc w:val="right"/>
            </w:pPr>
            <w:r>
              <w:t>2.463</w:t>
            </w:r>
          </w:p>
        </w:tc>
      </w:tr>
      <w:tr>
        <w:tc>
          <w:tcPr/>
          <w:p>
            <w:r>
              <w:t>Analista de BI/BI Analyst</w:t>
            </w:r>
          </w:p>
        </w:tc>
        <w:tc>
          <w:tcPr/>
          <w:p>
            <w:pPr>
              <w:jc w:val="right"/>
            </w:pPr>
            <w:r>
              <w:t>R$ 6.588</w:t>
            </w:r>
          </w:p>
        </w:tc>
        <w:tc>
          <w:tcPr/>
          <w:p>
            <w:pPr>
              <w:jc w:val="right"/>
            </w:pPr>
            <w:r>
              <w:t>1.117</w:t>
            </w:r>
          </w:p>
        </w:tc>
      </w:tr>
    </w:tbl>
    <w:p>
      <w:r>
        <w:t>Os cargos de engenharia e arquitetura de dados apresentam remunerações médias estimadas superiores às de análise na base observada. Esse resultado descreve diferenças de composição e remuneração no survey; não representa, por si só, demanda por vagas abertas ou escassez de profissionais.</w:t>
      </w:r>
    </w:p>
    <w:p>
      <w:pPr>
        <w:pStyle w:val="Heading3"/>
        <ck:id v="23-senioridade-distribuio-e-remunerao"/>
      </w:pPr>
      <w:bookmarkStart w:id="13" w:name="_23_senioridade_distribuio_e_remunerao"/>
      <w:r>
        <w:t>2.3 Senioridade: distribuição e remuneração</w:t>
      </w:r>
      <w:bookmarkEnd w:id="13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Senioridade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% da base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Salário médio</w:t>
            </w:r>
          </w:p>
        </w:tc>
      </w:tr>
      <w:tr>
        <w:tc>
          <w:tcPr/>
          <w:p>
            <w:r>
              <w:t>Especialista/Staff+</w:t>
            </w:r>
          </w:p>
        </w:tc>
        <w:tc>
          <w:tcPr/>
          <w:p>
            <w:pPr>
              <w:jc w:val="right"/>
            </w:pPr>
            <w:r>
              <w:t>3,4%</w:t>
            </w:r>
          </w:p>
        </w:tc>
        <w:tc>
          <w:tcPr/>
          <w:p>
            <w:pPr>
              <w:jc w:val="right"/>
            </w:pPr>
            <w:r>
              <w:t>R$ 19.685</w:t>
            </w:r>
          </w:p>
        </w:tc>
      </w:tr>
      <w:tr>
        <w:tc>
          <w:tcPr/>
          <w:p>
            <w:r>
              <w:t>Sênior</w:t>
            </w:r>
          </w:p>
        </w:tc>
        <w:tc>
          <w:tcPr/>
          <w:p>
            <w:pPr>
              <w:jc w:val="right"/>
            </w:pPr>
            <w:r>
              <w:t>37,9%</w:t>
            </w:r>
          </w:p>
        </w:tc>
        <w:tc>
          <w:tcPr/>
          <w:p>
            <w:pPr>
              <w:jc w:val="right"/>
            </w:pPr>
            <w:r>
              <w:t>R$ 14.117</w:t>
            </w:r>
          </w:p>
        </w:tc>
      </w:tr>
      <w:tr>
        <w:tc>
          <w:tcPr/>
          <w:p>
            <w:r>
              <w:t>Pleno</w:t>
            </w:r>
          </w:p>
        </w:tc>
        <w:tc>
          <w:tcPr/>
          <w:p>
            <w:pPr>
              <w:jc w:val="right"/>
            </w:pPr>
            <w:r>
              <w:t>34,8%</w:t>
            </w:r>
          </w:p>
        </w:tc>
        <w:tc>
          <w:tcPr/>
          <w:p>
            <w:pPr>
              <w:jc w:val="right"/>
            </w:pPr>
            <w:r>
              <w:t>R$ 7.898</w:t>
            </w:r>
          </w:p>
        </w:tc>
      </w:tr>
      <w:tr>
        <w:tc>
          <w:tcPr/>
          <w:p>
            <w:r>
              <w:t>Júnior</w:t>
            </w:r>
          </w:p>
        </w:tc>
        <w:tc>
          <w:tcPr/>
          <w:p>
            <w:pPr>
              <w:jc w:val="right"/>
            </w:pPr>
            <w:r>
              <w:t>23,9%</w:t>
            </w:r>
          </w:p>
        </w:tc>
        <w:tc>
          <w:tcPr/>
          <w:p>
            <w:pPr>
              <w:jc w:val="right"/>
            </w:pPr>
            <w:r>
              <w:t>R$ 4.048</w:t>
            </w:r>
          </w:p>
        </w:tc>
      </w:tr>
    </w:tbl>
    <w:p>
      <w:r>
        <w:t xml:space="preserve">O salto salarial entre níveis é acentuado: de Júnior para Pleno o salário praticamente dobra (+95%), e de Pleno para Sênior sobe mais 79%. Isso reforça que, além do cargo, a </w:t>
      </w:r>
      <w:r>
        <w:rPr>
          <w:b/>
        </w:rPr>
        <w:t>senioridade é a variável isolada mais associada a remuneração</w:t>
      </w:r>
      <w:r>
        <w:t xml:space="preserve"> neste dataset.</w:t>
      </w:r>
    </w:p>
    <w:p>
      <w:pPr>
        <w:pStyle w:val="Quote"/>
        <w:ind w:left="720"/>
      </w:pPr>
      <w:r>
        <w:t>Dado não disponível: o dataset não contém número de vagas abertas por cargo, taxa de contratação ou turnover. Portanto, “valorização” é tratada como uma proxy baseada em presença na base e remuneração estimada, e não como medida direta de demanda do mercado.</w:t>
      </w:r>
    </w:p>
    <w:p>
      <w:pPr>
        <w:pBdr>
          <w:bottom w:val="single" w:sz="16" w:space="1" w:color="1A1A1A"/>
        </w:pBdr>
      </w:pPr>
    </w:p>
    <w:p>
      <w:pPr>
        <w:pStyle w:val="Heading2"/>
        <ck:id v="pergunta-3"/>
      </w:pPr>
      <w:bookmarkStart w:id="14" w:name="pergunta_3"/>
      <w:r>
        <w:t>3. Qual é o cenário de diversidade de gênero nas carreiras de dados?</w:t>
      </w:r>
      <w:bookmarkEnd w:id="14"/>
    </w:p>
    <w:p>
      <w:pPr>
        <w:pStyle w:val="Heading3"/>
        <ck:id v="31-composio-geral-e-evoluo"/>
      </w:pPr>
      <w:bookmarkStart w:id="15" w:name="_31_composio_geral_e_evoluo"/>
      <w:r>
        <w:t>3.1 Composição geral e evolução</w:t>
      </w:r>
      <w:bookmarkEnd w:id="15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Gênero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% da base (2023-2025)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2023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2024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2025</w:t>
            </w:r>
          </w:p>
        </w:tc>
      </w:tr>
      <w:tr>
        <w:tc>
          <w:tcPr/>
          <w:p>
            <w:r>
              <w:t>Masculino</w:t>
            </w:r>
          </w:p>
        </w:tc>
        <w:tc>
          <w:tcPr/>
          <w:p>
            <w:pPr>
              <w:jc w:val="right"/>
            </w:pPr>
            <w:r>
              <w:t>76,0%</w:t>
            </w:r>
          </w:p>
        </w:tc>
        <w:tc>
          <w:tcPr/>
          <w:p>
            <w:pPr>
              <w:jc w:val="right"/>
            </w:pPr>
            <w:r>
              <w:t>75,1%</w:t>
            </w:r>
          </w:p>
        </w:tc>
        <w:tc>
          <w:tcPr/>
          <w:p>
            <w:pPr>
              <w:jc w:val="right"/>
            </w:pPr>
            <w:r>
              <w:t>76,1%</w:t>
            </w:r>
          </w:p>
        </w:tc>
        <w:tc>
          <w:tcPr/>
          <w:p>
            <w:pPr>
              <w:jc w:val="right"/>
            </w:pPr>
            <w:r>
              <w:t>77,5%</w:t>
            </w:r>
          </w:p>
        </w:tc>
      </w:tr>
      <w:tr>
        <w:tc>
          <w:tcPr/>
          <w:p>
            <w:r>
              <w:t>Feminino</w:t>
            </w:r>
          </w:p>
        </w:tc>
        <w:tc>
          <w:tcPr/>
          <w:p>
            <w:pPr>
              <w:jc w:val="right"/>
            </w:pPr>
            <w:r>
              <w:t>23,5%</w:t>
            </w:r>
          </w:p>
        </w:tc>
        <w:tc>
          <w:tcPr/>
          <w:p>
            <w:pPr>
              <w:jc w:val="right"/>
            </w:pPr>
            <w:r>
              <w:t>24,4%</w:t>
            </w:r>
          </w:p>
        </w:tc>
        <w:tc>
          <w:tcPr/>
          <w:p>
            <w:pPr>
              <w:jc w:val="right"/>
            </w:pPr>
            <w:r>
              <w:t>23,5%</w:t>
            </w:r>
          </w:p>
        </w:tc>
        <w:tc>
          <w:tcPr/>
          <w:p>
            <w:pPr>
              <w:jc w:val="right"/>
            </w:pPr>
            <w:r>
              <w:t>21,9%</w:t>
            </w:r>
          </w:p>
        </w:tc>
      </w:tr>
      <w:tr>
        <w:tc>
          <w:tcPr/>
          <w:p>
            <w:r>
              <w:t>Prefiro não informar</w:t>
            </w:r>
          </w:p>
        </w:tc>
        <w:tc>
          <w:tcPr/>
          <w:p>
            <w:pPr>
              <w:jc w:val="right"/>
            </w:pPr>
            <w:r>
              <w:t>0,3%</w:t>
            </w:r>
          </w:p>
        </w:tc>
        <w:tc>
          <w:tcPr/>
          <w:p>
            <w:pPr>
              <w:jc w:val="right"/>
            </w:pPr>
            <w:r>
              <w:t>0,3%</w:t>
            </w:r>
          </w:p>
        </w:tc>
        <w:tc>
          <w:tcPr/>
          <w:p>
            <w:pPr>
              <w:jc w:val="right"/>
            </w:pPr>
            <w:r>
              <w:t>0,3%</w:t>
            </w:r>
          </w:p>
        </w:tc>
        <w:tc>
          <w:tcPr/>
          <w:p>
            <w:pPr>
              <w:jc w:val="right"/>
            </w:pPr>
            <w:r>
              <w:t>0,4%</w:t>
            </w:r>
          </w:p>
        </w:tc>
      </w:tr>
      <w:tr>
        <w:tc>
          <w:tcPr/>
          <w:p>
            <w:r>
              <w:t>Outro</w:t>
            </w:r>
          </w:p>
        </w:tc>
        <w:tc>
          <w:tcPr/>
          <w:p>
            <w:pPr>
              <w:jc w:val="right"/>
            </w:pPr>
            <w:r>
              <w:t>0,2%</w:t>
            </w:r>
          </w:p>
        </w:tc>
        <w:tc>
          <w:tcPr/>
          <w:p>
            <w:pPr>
              <w:jc w:val="right"/>
            </w:pPr>
            <w:r>
              <w:t>0,2%</w:t>
            </w:r>
          </w:p>
        </w:tc>
        <w:tc>
          <w:tcPr/>
          <w:p>
            <w:pPr>
              <w:jc w:val="right"/>
            </w:pPr>
            <w:r>
              <w:t>0,1%</w:t>
            </w:r>
          </w:p>
        </w:tc>
        <w:tc>
          <w:tcPr/>
          <w:p>
            <w:pPr>
              <w:jc w:val="right"/>
            </w:pPr>
            <w:r>
              <w:t>0,2%</w:t>
            </w:r>
          </w:p>
        </w:tc>
      </w:tr>
    </w:tbl>
    <w:sdt>
      <w:sdtPr>
        <w:tag w:val="clarkdown:div"/>
        <ck:div v="|panel|tint=neutral"/>
      </w:sdtPr>
      <w:sdtContent>
        <w:tbl>
          <w:tblPr>
            <w:tblW w:w="5000" w:type="pct"/>
            <w:tblBorders>
              <w:top w:val="none"/>
              <w:left w:val="none"/>
              <w:bottom w:val="none"/>
              <w:right w:val="none"/>
              <w:insideH w:val="none"/>
              <w:insideV w:val="none"/>
            </w:tblBorders>
            <w:tblCellMar>
              <w:top w:w="320" w:type="dxa"/>
              <w:left w:w="240" w:type="dxa"/>
              <w:bottom w:w="320" w:type="dxa"/>
              <w:right w:w="240" w:type="dxa"/>
            </w:tblCellMar>
          </w:tblPr>
          <w:tblGrid>
            <w:gridCol/>
          </w:tblGrid>
          <w:tr>
            <w:tc>
              <w:tcPr>
                <w:shd w:val="clear" w:fill="F7F7F7"/>
              </w:tcPr>
              <w:p>
                <w:r>
                  <w:t xml:space="preserve">A participação feminina </w:t>
                </w:r>
                <w:r>
                  <w:rPr>
                    <w:b/>
                  </w:rPr>
                  <w:t>caiu</w:t>
                </w:r>
                <w:r>
                  <w:t xml:space="preserve"> em cada edição do survey: de 24,4% (2023) para 21,9% (2025) — uma redução de 2,5 pontos percentuais em dois anos, na direção oposta à equidade.</w:t>
                </w:r>
              </w:p>
            </w:tc>
          </w:tr>
        </w:tbl>
      </w:sdtContent>
    </w:sdt>
    <w:p>
      <w:r>
        <w:t>Quanto a raça/cor: 65,5% se declaram brancos, 23,6% pardos, 6,8% pretos, 3,0% amarelos, 0,7% preferem não informar, 0,2% se declaram de outra raça/cor e 0,2% indígenas (soma 100%). Pessoas com deficiência (PCD) são 2,8% da base.</w:t>
      </w:r>
    </w:p>
    <w:p>
      <w:pPr>
        <w:pStyle w:val="Heading3"/>
        <ck:id v="32-gnero-senioridade-e-remunerao"/>
      </w:pPr>
      <w:bookmarkStart w:id="16" w:name="_32_gnero_senioridade_e_remunerao"/>
      <w:r>
        <w:t>3.2 Gênero, senioridade e remuneração</w:t>
      </w:r>
      <w:bookmarkEnd w:id="16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Senioridade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% Masculino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% Feminino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% Prefiro não informar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% Outro</w:t>
            </w:r>
          </w:p>
        </w:tc>
      </w:tr>
      <w:tr>
        <w:tc>
          <w:tcPr/>
          <w:p>
            <w:r>
              <w:t>Especialista/Staff+</w:t>
            </w:r>
          </w:p>
        </w:tc>
        <w:tc>
          <w:tcPr/>
          <w:p>
            <w:pPr>
              <w:jc w:val="right"/>
            </w:pPr>
            <w:r>
              <w:t>79,1%</w:t>
            </w:r>
          </w:p>
        </w:tc>
        <w:tc>
          <w:tcPr/>
          <w:p>
            <w:pPr>
              <w:jc w:val="right"/>
            </w:pPr>
            <w:r>
              <w:t>20,0%</w:t>
            </w:r>
          </w:p>
        </w:tc>
        <w:tc>
          <w:tcPr/>
          <w:p>
            <w:pPr>
              <w:jc w:val="right"/>
            </w:pPr>
            <w:r>
              <w:t>0,6%</w:t>
            </w:r>
          </w:p>
        </w:tc>
        <w:tc>
          <w:tcPr/>
          <w:p>
            <w:pPr>
              <w:jc w:val="right"/>
            </w:pPr>
            <w:r>
              <w:t>0,3%</w:t>
            </w:r>
          </w:p>
        </w:tc>
      </w:tr>
      <w:tr>
        <w:tc>
          <w:tcPr/>
          <w:p>
            <w:r>
              <w:t>Sênior</w:t>
            </w:r>
          </w:p>
        </w:tc>
        <w:tc>
          <w:tcPr/>
          <w:p>
            <w:pPr>
              <w:jc w:val="right"/>
            </w:pPr>
            <w:r>
              <w:t>78,2%</w:t>
            </w:r>
          </w:p>
        </w:tc>
        <w:tc>
          <w:tcPr/>
          <w:p>
            <w:pPr>
              <w:jc w:val="right"/>
            </w:pPr>
            <w:r>
              <w:t>21,3%</w:t>
            </w:r>
          </w:p>
        </w:tc>
        <w:tc>
          <w:tcPr/>
          <w:p>
            <w:pPr>
              <w:jc w:val="right"/>
            </w:pPr>
            <w:r>
              <w:t>0,3%</w:t>
            </w:r>
          </w:p>
        </w:tc>
        <w:tc>
          <w:tcPr/>
          <w:p>
            <w:pPr>
              <w:jc w:val="right"/>
            </w:pPr>
            <w:r>
              <w:t>0,2%</w:t>
            </w:r>
          </w:p>
        </w:tc>
      </w:tr>
      <w:tr>
        <w:tc>
          <w:tcPr/>
          <w:p>
            <w:r>
              <w:t>Pleno</w:t>
            </w:r>
          </w:p>
        </w:tc>
        <w:tc>
          <w:tcPr/>
          <w:p>
            <w:pPr>
              <w:jc w:val="right"/>
            </w:pPr>
            <w:r>
              <w:t>74,8%</w:t>
            </w:r>
          </w:p>
        </w:tc>
        <w:tc>
          <w:tcPr/>
          <w:p>
            <w:pPr>
              <w:jc w:val="right"/>
            </w:pPr>
            <w:r>
              <w:t>24,7%</w:t>
            </w:r>
          </w:p>
        </w:tc>
        <w:tc>
          <w:tcPr/>
          <w:p>
            <w:pPr>
              <w:jc w:val="right"/>
            </w:pPr>
            <w:r>
              <w:t>0,3%</w:t>
            </w:r>
          </w:p>
        </w:tc>
        <w:tc>
          <w:tcPr/>
          <w:p>
            <w:pPr>
              <w:jc w:val="right"/>
            </w:pPr>
            <w:r>
              <w:t>0,2%</w:t>
            </w:r>
          </w:p>
        </w:tc>
      </w:tr>
      <w:tr>
        <w:tc>
          <w:tcPr/>
          <w:p>
            <w:r>
              <w:t>Júnior</w:t>
            </w:r>
          </w:p>
        </w:tc>
        <w:tc>
          <w:tcPr/>
          <w:p>
            <w:pPr>
              <w:jc w:val="right"/>
            </w:pPr>
            <w:r>
              <w:t>71,3%</w:t>
            </w:r>
          </w:p>
        </w:tc>
        <w:tc>
          <w:tcPr/>
          <w:p>
            <w:pPr>
              <w:jc w:val="right"/>
            </w:pPr>
            <w:r>
              <w:t>28,2%</w:t>
            </w:r>
          </w:p>
        </w:tc>
        <w:tc>
          <w:tcPr/>
          <w:p>
            <w:pPr>
              <w:jc w:val="right"/>
            </w:pPr>
            <w:r>
              <w:t>0,4%</w:t>
            </w:r>
          </w:p>
        </w:tc>
        <w:tc>
          <w:tcPr/>
          <w:p>
            <w:pPr>
              <w:jc w:val="right"/>
            </w:pPr>
            <w:r>
              <w:t>0,1%</w:t>
            </w:r>
          </w:p>
        </w:tc>
      </w:tr>
    </w:tbl>
    <w:p>
      <w:r>
        <w:t>A proporção de mulheres é menor nos níveis de senioridade mais altos observados na base, passando de 28,2% entre Júnior para 20,0% entre Especialista/Staff+. O dado descreve a composição da amostra por senioridade; causas de saída ou não-promoção não podem ser determinadas apenas pelo survey.</w:t>
      </w:r>
    </w:p>
    <w:p>
      <w:r>
        <w:t>Na base consolidada, mulheres apresentam salário médio estimado de R$ 9.908, contra R$ 12.165 para homens, diferença de 18,6%. Essa comparação é agregada e não controla simultaneamente por cargo, senioridade, região ou outras características.</w:t>
      </w:r>
    </w:p>
    <w:p>
      <w:pPr>
        <w:pStyle w:val="Heading3"/>
        <ck:id v="33-percepo-de-carreira-prejudicada-por-gnero-e-raa"/>
      </w:pPr>
      <w:bookmarkStart w:id="17" w:name="_33_percepo_de_carreira_prejudicada_por_"/>
      <w:r>
        <w:t>3.3 Percepção de carreira prejudicada por gênero e raça</w:t>
      </w:r>
      <w:bookmarkEnd w:id="17"/>
    </w:p>
    <w:p>
      <w:r>
        <w:t xml:space="preserve">Esta pergunta específica (multiescolha: "quais aspectos da sua carreira você sente que foram prejudicados por...") existe na camada </w:t>
      </w:r>
      <w:r>
        <w:rPr>
          <w:b/>
        </w:rPr>
        <w:t>silver</w:t>
      </w:r>
      <w:r>
        <w:t xml:space="preserve"> de cada ano, mas não foi propagada como coluna própria para a camada gold — por isso é citada aqui separadamente, com a fonte explícita.</w:t>
      </w:r>
    </w:p>
    <w:p>
      <w:r>
        <w:t>Entre os 7.140 respondentes que responderam a este bloco (2023-2025 combinados):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30,3%</w:t>
      </w:r>
      <w:r>
        <w:t xml:space="preserve"> apontaram </w:t>
      </w:r>
      <w:r>
        <w:rPr>
          <w:b/>
        </w:rPr>
        <w:t>gênero</w:t>
      </w:r>
      <w:r>
        <w:t xml:space="preserve"> como um dos motivos de prejuízo na carreira;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21,4%</w:t>
      </w:r>
      <w:r>
        <w:t xml:space="preserve"> apontaram </w:t>
      </w:r>
      <w:r>
        <w:rPr>
          <w:b/>
        </w:rPr>
        <w:t>etnia/raça</w:t>
      </w:r>
      <w:r>
        <w:t>;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3,2%</w:t>
      </w:r>
      <w:r>
        <w:t xml:space="preserve"> apontaram </w:t>
      </w:r>
      <w:r>
        <w:rPr>
          <w:b/>
        </w:rPr>
        <w:t>PCD</w:t>
      </w:r>
      <w:r>
        <w:t>.</w:t>
      </w:r>
    </w:p>
    <w:sdt>
      <w:sdtPr>
        <w:tag w:val="clarkdown:div"/>
        <ck:div v="|panel|tint=accent"/>
      </w:sdtPr>
      <w:sdtContent>
        <w:tbl>
          <w:tblPr>
            <w:tblW w:w="5000" w:type="pct"/>
            <w:tblBorders>
              <w:top w:val="none"/>
              <w:left w:val="none"/>
              <w:bottom w:val="none"/>
              <w:right w:val="none"/>
              <w:insideH w:val="none"/>
              <w:insideV w:val="none"/>
            </w:tblBorders>
            <w:tblCellMar>
              <w:top w:w="320" w:type="dxa"/>
              <w:left w:w="240" w:type="dxa"/>
              <w:bottom w:w="320" w:type="dxa"/>
              <w:right w:w="240" w:type="dxa"/>
            </w:tblCellMar>
          </w:tblPr>
          <w:tblGrid>
            <w:gridCol/>
          </w:tblGrid>
          <w:tr>
            <w:tc>
              <w:tcPr>
                <w:shd w:val="clear" w:fill="E4E4E4"/>
              </w:tcPr>
              <w:p>
                <w:r>
                  <w:t xml:space="preserve">A disparidade por gênero do respondente é extrema: </w:t>
                </w:r>
                <w:r>
                  <w:rPr>
                    <w:b/>
                  </w:rPr>
                  <w:t>60,9%</w:t>
                </w:r>
                <w:r>
                  <w:t xml:space="preserve"> das mulheres que responderam a essa pergunta relataram prejuízo na carreira por causa do próprio gênero, contra apenas </w:t>
                </w:r>
                <w:r>
                  <w:rPr>
                    <w:b/>
                  </w:rPr>
                  <w:t>3,8%</w:t>
                </w:r>
                <w:r>
                  <w:t xml:space="preserve"> dos homens.</w:t>
                </w:r>
              </w:p>
            </w:tc>
          </w:tr>
        </w:tbl>
      </w:sdtContent>
    </w:sdt>
    <w:p>
      <w:r>
        <w:t>Isso é consistente com o funil de senioridade e o hiato salarial descritos acima: a desigualdade de gênero no setor de Dados não é apenas estatística de composição — é também uma experiência amplamente relatada por quem a vive.</w:t>
      </w:r>
    </w:p>
    <w:p>
      <w:pPr>
        <w:pBdr>
          <w:bottom w:val="single" w:sz="16" w:space="1" w:color="1A1A1A"/>
        </w:pBdr>
      </w:pPr>
    </w:p>
    <w:p>
      <w:pPr>
        <w:pStyle w:val="Heading2"/>
        <ck:id v="pergunta-4"/>
      </w:pPr>
      <w:bookmarkStart w:id="18" w:name="pergunta_4"/>
      <w:r>
        <w:t>4. Quais tecnologias apresentam maior adoção entre os profissionais?</w:t>
      </w:r>
      <w:bookmarkEnd w:id="18"/>
    </w:p>
    <w:p>
      <w:pPr>
        <w:pStyle w:val="Heading3"/>
        <ck:id v="41-linguagens-de-programao"/>
      </w:pPr>
      <w:bookmarkStart w:id="19" w:name="_41_linguagens_de_programao"/>
      <w:r>
        <w:t>4.1 Linguagens de programação</w:t>
      </w:r>
      <w:bookmarkEnd w:id="19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Linguagem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% de adoção</w:t>
            </w:r>
          </w:p>
        </w:tc>
      </w:tr>
      <w:tr>
        <w:tc>
          <w:tcPr/>
          <w:p>
            <w:r>
              <w:t>SQL</w:t>
            </w:r>
          </w:p>
        </w:tc>
        <w:tc>
          <w:tcPr/>
          <w:p>
            <w:pPr>
              <w:jc w:val="right"/>
            </w:pPr>
            <w:r>
              <w:t>89,5%</w:t>
            </w:r>
          </w:p>
        </w:tc>
      </w:tr>
      <w:tr>
        <w:tc>
          <w:tcPr/>
          <w:p>
            <w:r>
              <w:t>Python</w:t>
            </w:r>
          </w:p>
        </w:tc>
        <w:tc>
          <w:tcPr/>
          <w:p>
            <w:pPr>
              <w:jc w:val="right"/>
            </w:pPr>
            <w:r>
              <w:t>85,3%</w:t>
            </w:r>
          </w:p>
        </w:tc>
      </w:tr>
      <w:tr>
        <w:tc>
          <w:tcPr/>
          <w:p>
            <w:r>
              <w:t>R</w:t>
            </w:r>
          </w:p>
        </w:tc>
        <w:tc>
          <w:tcPr/>
          <w:p>
            <w:pPr>
              <w:jc w:val="right"/>
            </w:pPr>
            <w:r>
              <w:t>12,1%</w:t>
            </w:r>
          </w:p>
        </w:tc>
      </w:tr>
      <w:tr>
        <w:tc>
          <w:tcPr/>
          <w:p>
            <w:r>
              <w:t>Java</w:t>
            </w:r>
          </w:p>
        </w:tc>
        <w:tc>
          <w:tcPr/>
          <w:p>
            <w:pPr>
              <w:jc w:val="right"/>
            </w:pPr>
            <w:r>
              <w:t>7,2%</w:t>
            </w:r>
          </w:p>
        </w:tc>
      </w:tr>
      <w:tr>
        <w:tc>
          <w:tcPr/>
          <w:p>
            <w:r>
              <w:t>JavaScript</w:t>
            </w:r>
          </w:p>
        </w:tc>
        <w:tc>
          <w:tcPr/>
          <w:p>
            <w:pPr>
              <w:jc w:val="right"/>
            </w:pPr>
            <w:r>
              <w:t>5,6%</w:t>
            </w:r>
          </w:p>
        </w:tc>
      </w:tr>
      <w:tr>
        <w:tc>
          <w:tcPr/>
          <w:p>
            <w:r>
              <w:t>Visual Basic/VBA</w:t>
            </w:r>
          </w:p>
        </w:tc>
        <w:tc>
          <w:tcPr/>
          <w:p>
            <w:pPr>
              <w:jc w:val="right"/>
            </w:pPr>
            <w:r>
              <w:t>5,6%</w:t>
            </w:r>
          </w:p>
        </w:tc>
      </w:tr>
    </w:tbl>
    <w:p>
      <w:r>
        <w:t>SQL e Python formam a base quase universal do mercado — juntas, cobrem a esmagadora maioria dos profissionais, independentemente da função exercida.</w:t>
      </w:r>
    </w:p>
    <w:p>
      <w:pPr>
        <w:pStyle w:val="Heading3"/>
        <ck:id v="42-bancos-de-dados-e-armazenamento"/>
      </w:pPr>
      <w:bookmarkStart w:id="20" w:name="_42_bancos_de_dados_e_armazenamento"/>
      <w:r>
        <w:t>4.2 Bancos de dados e armazenamento</w:t>
      </w:r>
      <w:bookmarkEnd w:id="20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Tecnologia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% de adoção</w:t>
            </w:r>
          </w:p>
        </w:tc>
      </w:tr>
      <w:tr>
        <w:tc>
          <w:tcPr/>
          <w:p>
            <w:r>
              <w:t>PostgreSQL</w:t>
            </w:r>
          </w:p>
        </w:tc>
        <w:tc>
          <w:tcPr/>
          <w:p>
            <w:pPr>
              <w:jc w:val="right"/>
            </w:pPr>
            <w:r>
              <w:t>31,9%</w:t>
            </w:r>
          </w:p>
        </w:tc>
      </w:tr>
      <w:tr>
        <w:tc>
          <w:tcPr/>
          <w:p>
            <w:r>
              <w:t>SQL Server</w:t>
            </w:r>
          </w:p>
        </w:tc>
        <w:tc>
          <w:tcPr/>
          <w:p>
            <w:pPr>
              <w:jc w:val="right"/>
            </w:pPr>
            <w:r>
              <w:t>31,9%</w:t>
            </w:r>
          </w:p>
        </w:tc>
      </w:tr>
      <w:tr>
        <w:tc>
          <w:tcPr/>
          <w:p>
            <w:r>
              <w:t>Databricks</w:t>
            </w:r>
          </w:p>
        </w:tc>
        <w:tc>
          <w:tcPr/>
          <w:p>
            <w:pPr>
              <w:jc w:val="right"/>
            </w:pPr>
            <w:r>
              <w:t>28,1%</w:t>
            </w:r>
          </w:p>
        </w:tc>
      </w:tr>
      <w:tr>
        <w:tc>
          <w:tcPr/>
          <w:p>
            <w:r>
              <w:t>Google BigQuery</w:t>
            </w:r>
          </w:p>
        </w:tc>
        <w:tc>
          <w:tcPr/>
          <w:p>
            <w:pPr>
              <w:jc w:val="right"/>
            </w:pPr>
            <w:r>
              <w:t>26,8%</w:t>
            </w:r>
          </w:p>
        </w:tc>
      </w:tr>
      <w:tr>
        <w:tc>
          <w:tcPr/>
          <w:p>
            <w:r>
              <w:t>MySQL</w:t>
            </w:r>
          </w:p>
        </w:tc>
        <w:tc>
          <w:tcPr/>
          <w:p>
            <w:pPr>
              <w:jc w:val="right"/>
            </w:pPr>
            <w:r>
              <w:t>25,4%</w:t>
            </w:r>
          </w:p>
        </w:tc>
      </w:tr>
      <w:tr>
        <w:tc>
          <w:tcPr/>
          <w:p>
            <w:r>
              <w:t>Amazon S3</w:t>
            </w:r>
          </w:p>
        </w:tc>
        <w:tc>
          <w:tcPr/>
          <w:p>
            <w:pPr>
              <w:jc w:val="right"/>
            </w:pPr>
            <w:r>
              <w:t>24,1%</w:t>
            </w:r>
          </w:p>
        </w:tc>
      </w:tr>
      <w:tr>
        <w:tc>
          <w:tcPr/>
          <w:p>
            <w:r>
              <w:t>Oracle</w:t>
            </w:r>
          </w:p>
        </w:tc>
        <w:tc>
          <w:tcPr/>
          <w:p>
            <w:pPr>
              <w:jc w:val="right"/>
            </w:pPr>
            <w:r>
              <w:t>18,7%</w:t>
            </w:r>
          </w:p>
        </w:tc>
      </w:tr>
    </w:tbl>
    <w:p>
      <w:pPr>
        <w:pStyle w:val="Heading3"/>
        <ck:id v="43-ferramentas-de-bi"/>
      </w:pPr>
      <w:bookmarkStart w:id="21" w:name="_43_ferramentas_de_bi"/>
      <w:r>
        <w:t>4.3 Ferramentas de BI</w:t>
      </w:r>
      <w:bookmarkEnd w:id="21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Ferramenta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% de adoção</w:t>
            </w:r>
          </w:p>
        </w:tc>
      </w:tr>
      <w:tr>
        <w:tc>
          <w:tcPr/>
          <w:p>
            <w:r>
              <w:t>Microsoft Power BI</w:t>
            </w:r>
          </w:p>
        </w:tc>
        <w:tc>
          <w:tcPr/>
          <w:p>
            <w:pPr>
              <w:jc w:val="right"/>
            </w:pPr>
            <w:r>
              <w:t>65,1%</w:t>
            </w:r>
          </w:p>
        </w:tc>
      </w:tr>
      <w:tr>
        <w:tc>
          <w:tcPr/>
          <w:p>
            <w:r>
              <w:t>Looker</w:t>
            </w:r>
          </w:p>
        </w:tc>
        <w:tc>
          <w:tcPr/>
          <w:p>
            <w:pPr>
              <w:jc w:val="right"/>
            </w:pPr>
            <w:r>
              <w:t>26,6%</w:t>
            </w:r>
          </w:p>
        </w:tc>
      </w:tr>
      <w:tr>
        <w:tc>
          <w:tcPr/>
          <w:p>
            <w:r>
              <w:t>Tableau</w:t>
            </w:r>
          </w:p>
        </w:tc>
        <w:tc>
          <w:tcPr/>
          <w:p>
            <w:pPr>
              <w:jc w:val="right"/>
            </w:pPr>
            <w:r>
              <w:t>20,4%</w:t>
            </w:r>
          </w:p>
        </w:tc>
      </w:tr>
      <w:tr>
        <w:tc>
          <w:tcPr/>
          <w:p>
            <w:r>
              <w:t>Looker Studio</w:t>
            </w:r>
          </w:p>
        </w:tc>
        <w:tc>
          <w:tcPr/>
          <w:p>
            <w:pPr>
              <w:jc w:val="right"/>
            </w:pPr>
            <w:r>
              <w:t>19,1%</w:t>
            </w:r>
          </w:p>
        </w:tc>
      </w:tr>
      <w:tr>
        <w:tc>
          <w:tcPr/>
          <w:p>
            <w:r>
              <w:t>Excel/Google Sheets</w:t>
            </w:r>
          </w:p>
        </w:tc>
        <w:tc>
          <w:tcPr/>
          <w:p>
            <w:pPr>
              <w:jc w:val="right"/>
            </w:pPr>
            <w:r>
              <w:t>12,0%</w:t>
            </w:r>
          </w:p>
        </w:tc>
      </w:tr>
    </w:tbl>
    <w:p>
      <w:r>
        <w:t>Power BI é, disparado, a ferramenta de BI dominante no mercado brasileiro — mais que o triplo do segundo colocado.</w:t>
      </w:r>
    </w:p>
    <w:p>
      <w:pPr>
        <w:pStyle w:val="Heading3"/>
        <ck:id v="44-cloud-preferida"/>
      </w:pPr>
      <w:bookmarkStart w:id="22" w:name="_44_cloud_preferida"/>
      <w:r>
        <w:t>4.4 Cloud preferida</w:t>
      </w:r>
      <w:bookmarkEnd w:id="22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Provedor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% de preferência</w:t>
            </w:r>
          </w:p>
        </w:tc>
      </w:tr>
      <w:tr>
        <w:tc>
          <w:tcPr/>
          <w:p>
            <w:r>
              <w:t>Amazon Web Services (AWS)</w:t>
            </w:r>
          </w:p>
        </w:tc>
        <w:tc>
          <w:tcPr/>
          <w:p>
            <w:pPr>
              <w:jc w:val="right"/>
            </w:pPr>
            <w:r>
              <w:t>45,9%</w:t>
            </w:r>
          </w:p>
        </w:tc>
      </w:tr>
      <w:tr>
        <w:tc>
          <w:tcPr/>
          <w:p>
            <w:r>
              <w:t>Google Cloud (GCP)</w:t>
            </w:r>
          </w:p>
        </w:tc>
        <w:tc>
          <w:tcPr/>
          <w:p>
            <w:pPr>
              <w:jc w:val="right"/>
            </w:pPr>
            <w:r>
              <w:t>29,0%</w:t>
            </w:r>
          </w:p>
        </w:tc>
      </w:tr>
      <w:tr>
        <w:tc>
          <w:tcPr/>
          <w:p>
            <w:r>
              <w:t>Azure (Microsoft)</w:t>
            </w:r>
          </w:p>
        </w:tc>
        <w:tc>
          <w:tcPr/>
          <w:p>
            <w:pPr>
              <w:jc w:val="right"/>
            </w:pPr>
            <w:r>
              <w:t>25,1%</w:t>
            </w:r>
          </w:p>
        </w:tc>
      </w:tr>
    </w:tbl>
    <w:p>
      <w:r>
        <w:rPr>
          <w:i/>
        </w:rPr>
        <w:t>(Percentual calculado sobre os três provedores com volume relevante de respostas; excluídas respostas de texto livre residuais como "não sei" ou "sem preferência".)</w:t>
      </w:r>
    </w:p>
    <w:p>
      <w:pPr>
        <w:pStyle w:val="Heading3"/>
        <ck:id v="45-tcnicas-e-ferramentas-de-cincia-de-dados"/>
      </w:pPr>
      <w:bookmarkStart w:id="23" w:name="_45_tcnicas_e_ferramentas_de_cincia_de_d"/>
      <w:r>
        <w:t>4.5 Técnicas e ferramentas de Ciência de Dados</w:t>
      </w:r>
      <w:bookmarkEnd w:id="23"/>
    </w:p>
    <w:p>
      <w:r>
        <w:t xml:space="preserve">Entre cientistas de dados, as técnicas mais usadas são modelos de regressão (70,1%), redes neurais/árvore (59,3%) e estatística clássica (54,6%) — e </w:t>
      </w:r>
      <w:r>
        <w:rPr>
          <w:b/>
        </w:rPr>
        <w:t>LLMs para negócio já aparecem em 35,3%</w:t>
      </w:r>
      <w:r>
        <w:t xml:space="preserve"> dos respondentes desse grupo, à frente de NLP tradicional (34,4%).</w:t>
      </w:r>
    </w:p>
    <w:p>
      <w:pPr>
        <w:pStyle w:val="Heading3"/>
        <ck:id v="46-tendncia-de-uso-por-linguagem-contagem-de-respondentes-por-ano"/>
      </w:pPr>
      <w:bookmarkStart w:id="24" w:name="_46_tendncia_de_uso_por_linguagem_contag"/>
      <w:r>
        <w:t>4.6 Tendência de uso por linguagem (contagem de respondentes por ano)</w:t>
      </w:r>
      <w:bookmarkEnd w:id="24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Linguagem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2023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2024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2025</w:t>
            </w:r>
          </w:p>
        </w:tc>
      </w:tr>
      <w:tr>
        <w:tc>
          <w:tcPr/>
          <w:p>
            <w:r>
              <w:t>SQL</w:t>
            </w:r>
          </w:p>
        </w:tc>
        <w:tc>
          <w:tcPr/>
          <w:p>
            <w:pPr>
              <w:jc w:val="right"/>
            </w:pPr>
            <w:r>
              <w:t>3.156</w:t>
            </w:r>
          </w:p>
        </w:tc>
        <w:tc>
          <w:tcPr/>
          <w:p>
            <w:pPr>
              <w:jc w:val="right"/>
            </w:pPr>
            <w:r>
              <w:t>3.145</w:t>
            </w:r>
          </w:p>
        </w:tc>
        <w:tc>
          <w:tcPr/>
          <w:p>
            <w:pPr>
              <w:jc w:val="right"/>
            </w:pPr>
            <w:r>
              <w:t>1.763</w:t>
            </w:r>
          </w:p>
        </w:tc>
      </w:tr>
      <w:tr>
        <w:tc>
          <w:tcPr/>
          <w:p>
            <w:r>
              <w:t>Python</w:t>
            </w:r>
          </w:p>
        </w:tc>
        <w:tc>
          <w:tcPr/>
          <w:p>
            <w:pPr>
              <w:jc w:val="right"/>
            </w:pPr>
            <w:r>
              <w:t>2.825</w:t>
            </w:r>
          </w:p>
        </w:tc>
        <w:tc>
          <w:tcPr/>
          <w:p>
            <w:pPr>
              <w:jc w:val="right"/>
            </w:pPr>
            <w:r>
              <w:t>2.934</w:t>
            </w:r>
          </w:p>
        </w:tc>
        <w:tc>
          <w:tcPr/>
          <w:p>
            <w:pPr>
              <w:jc w:val="right"/>
            </w:pPr>
            <w:r>
              <w:t>1.928</w:t>
            </w:r>
          </w:p>
        </w:tc>
      </w:tr>
      <w:tr>
        <w:tc>
          <w:tcPr/>
          <w:p>
            <w:r>
              <w:t>R</w:t>
            </w:r>
          </w:p>
        </w:tc>
        <w:tc>
          <w:tcPr/>
          <w:p>
            <w:pPr>
              <w:jc w:val="right"/>
            </w:pPr>
            <w:r>
              <w:t>408</w:t>
            </w:r>
          </w:p>
        </w:tc>
        <w:tc>
          <w:tcPr/>
          <w:p>
            <w:pPr>
              <w:jc w:val="right"/>
            </w:pPr>
            <w:r>
              <w:t>352</w:t>
            </w:r>
          </w:p>
        </w:tc>
        <w:tc>
          <w:tcPr/>
          <w:p>
            <w:pPr>
              <w:jc w:val="right"/>
            </w:pPr>
            <w:r>
              <w:t>327</w:t>
            </w:r>
          </w:p>
        </w:tc>
      </w:tr>
    </w:tbl>
    <w:p>
      <w:r>
        <w:t>Em termos absolutos a base de respondentes caiu em 2025; proporcionalmente, Python segue ganhando terreno sobre SQL.</w:t>
      </w:r>
    </w:p>
    <w:p>
      <w:pPr>
        <w:pBdr>
          <w:bottom w:val="single" w:sz="16" w:space="1" w:color="1A1A1A"/>
        </w:pBdr>
      </w:pPr>
    </w:p>
    <w:p>
      <w:pPr>
        <w:pStyle w:val="Heading2"/>
        <ck:id v="pergunta-5"/>
      </w:pPr>
      <w:bookmarkStart w:id="25" w:name="pergunta_5"/>
      <w:r>
        <w:t>5. Qual é o índice de adoção de Inteligência Artificial e seu impacto?</w:t>
      </w:r>
      <w:bookmarkEnd w:id="25"/>
    </w:p>
    <w:p>
      <w:pPr>
        <w:pStyle w:val="Heading3"/>
        <ck:id v="51-adoo-pessoal-de-ia-generativa-evoluo-2023-2025"/>
      </w:pPr>
      <w:bookmarkStart w:id="26" w:name="_51_adoo_pessoal_de_ia_generativa_evoluo"/>
      <w:r>
        <w:t>5.1 Adoção pessoal de IA generativa — evolução 2023-2025</w:t>
      </w:r>
      <w:bookmarkEnd w:id="26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Ano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% que declara "não uso IA para produtividade"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% que usa alguma solução</w:t>
            </w:r>
          </w:p>
        </w:tc>
      </w:tr>
      <w:tr>
        <w:tc>
          <w:tcPr/>
          <w:p>
            <w:r>
              <w:t>2023</w:t>
            </w:r>
          </w:p>
        </w:tc>
        <w:tc>
          <w:tcPr/>
          <w:p>
            <w:pPr>
              <w:jc w:val="right"/>
            </w:pPr>
            <w:r>
              <w:t>19,7%</w:t>
            </w:r>
          </w:p>
        </w:tc>
        <w:tc>
          <w:tcPr/>
          <w:p>
            <w:pPr>
              <w:jc w:val="right"/>
            </w:pPr>
            <w:r>
              <w:t>80,3%</w:t>
            </w:r>
          </w:p>
        </w:tc>
      </w:tr>
      <w:tr>
        <w:tc>
          <w:tcPr/>
          <w:p>
            <w:r>
              <w:t>2024</w:t>
            </w:r>
          </w:p>
        </w:tc>
        <w:tc>
          <w:tcPr/>
          <w:p>
            <w:pPr>
              <w:jc w:val="right"/>
            </w:pPr>
            <w:r>
              <w:t>6,5%</w:t>
            </w:r>
          </w:p>
        </w:tc>
        <w:tc>
          <w:tcPr/>
          <w:p>
            <w:pPr>
              <w:jc w:val="right"/>
            </w:pPr>
            <w:r>
              <w:t>93,5%</w:t>
            </w:r>
          </w:p>
        </w:tc>
      </w:tr>
      <w:tr>
        <w:tc>
          <w:tcPr/>
          <w:p>
            <w:r>
              <w:t>2025</w:t>
            </w:r>
          </w:p>
        </w:tc>
        <w:tc>
          <w:tcPr/>
          <w:p>
            <w:pPr>
              <w:jc w:val="right"/>
            </w:pPr>
            <w:r>
              <w:t>2,1%</w:t>
            </w:r>
          </w:p>
        </w:tc>
        <w:tc>
          <w:tcPr/>
          <w:p>
            <w:pPr>
              <w:jc w:val="right"/>
            </w:pPr>
            <w:r>
              <w:t>97,9%</w:t>
            </w:r>
          </w:p>
        </w:tc>
      </w:tr>
    </w:tbl>
    <w:sdt>
      <w:sdtPr>
        <w:tag w:val="clarkdown:div"/>
        <ck:div v="|panel|tint=accent"/>
      </w:sdtPr>
      <w:sdtContent>
        <w:tbl>
          <w:tblPr>
            <w:tblW w:w="5000" w:type="pct"/>
            <w:tblBorders>
              <w:top w:val="none"/>
              <w:left w:val="none"/>
              <w:bottom w:val="none"/>
              <w:right w:val="none"/>
              <w:insideH w:val="none"/>
              <w:insideV w:val="none"/>
            </w:tblBorders>
            <w:tblCellMar>
              <w:top w:w="320" w:type="dxa"/>
              <w:left w:w="240" w:type="dxa"/>
              <w:bottom w:w="320" w:type="dxa"/>
              <w:right w:w="240" w:type="dxa"/>
            </w:tblCellMar>
          </w:tblPr>
          <w:tblGrid>
            <w:gridCol/>
          </w:tblGrid>
          <w:tr>
            <w:tc>
              <w:tcPr>
                <w:shd w:val="clear" w:fill="E4E4E4"/>
              </w:tcPr>
              <w:p>
                <w:r>
                  <w:t xml:space="preserve">Em dois anos, o percentual de profissionais de Dados que </w:t>
                </w:r>
                <w:r>
                  <w:rPr>
                    <w:b/>
                  </w:rPr>
                  <w:t>não usa nenhuma ferramenta de IA generativa no dia a dia caiu de 19,7% para 2,1%</w:t>
                </w:r>
                <w:r>
                  <w:t xml:space="preserve"> — uma das mudanças mais rápidas registradas no survey.</w:t>
                </w:r>
              </w:p>
            </w:tc>
          </w:tr>
        </w:tbl>
      </w:sdtContent>
    </w:sdt>
    <w:p>
      <w:r>
        <w:t>Entre quem de fato usa IA (8.514 dos 9.494 respondentes do bloco, excluindo quem marcou "não uso"), o padrão de adoção pessoal é: 58,6% usa uma solução gratuita, 22,7% usa algo do tipo Copilot, 21,5% tem a solução paga pela empresa e 16,3% paga do próprio bolso (múltipla escolha, percentuais não somam 100%).</w:t>
      </w:r>
    </w:p>
    <w:p>
      <w:pPr>
        <w:pStyle w:val="Heading3"/>
        <ck:id v="52-uso-de-ia-no-ambiente-de-trabalho-viso-agregada-colaboradores-e-gestores"/>
      </w:pPr>
      <w:bookmarkStart w:id="27" w:name="_52_uso_de_ia_no_ambiente_de_trabalho_vi"/>
      <w:r>
        <w:t>5.2 Uso de IA no ambiente de trabalho (segunda pergunta do bloco de IA generativa)</w:t>
      </w:r>
      <w:bookmarkEnd w:id="27"/>
    </w:p>
    <w:p>
      <w:r>
        <w:t xml:space="preserve">O uso mais comum reportado nesta pergunta é "independente/descentralizado" (47,9%) — ou seja, cada time ou pessoa adota IA por conta própria, sem uma frente corporativa unificada. Direcionamento centralizado aparece em apenas 20,1% dos casos, e 14,1% das respostas indicam que IA </w:t>
      </w:r>
      <w:r>
        <w:rPr>
          <w:b/>
        </w:rPr>
        <w:t>não é prioridade</w:t>
      </w:r>
      <w:r>
        <w:t xml:space="preserve"> na empresa. Base: 9.494 respondentes (múltipla escolha, percentuais não somam 100%). </w:t>
      </w:r>
      <w:r>
        <w:rPr>
          <w:i/>
        </w:rPr>
        <w:t xml:space="preserve">Nota: diferente da Seção 5.3 (cujo campo de origem, </w:t>
      </w:r>
      <w:r>
        <w:rPr>
          <w:rStyle w:val="CkCode"/>
          <w:i/>
        </w:rPr>
        <w:t>ai_prioridade</w:t>
      </w:r>
      <w:r>
        <w:rPr>
          <w:i/>
        </w:rPr>
        <w:t>, é respondido exclusivamente por gestores), este campo da camada gold não está restrito a esse grupo — por isso o resultado é reportado de forma agregada, sem atribuir a visão a um subgrupo específico.</w:t>
      </w:r>
    </w:p>
    <w:p>
      <w:pPr>
        <w:pStyle w:val="Heading3"/>
        <ck:id v="53-prioridade-estratgica-de-ia-nas-empresas"/>
      </w:pPr>
      <w:bookmarkStart w:id="28" w:name="_53_prioridade_estratgica_de_ia_nas_empr"/>
      <w:r>
        <w:t>5.3 Prioridade estratégica de IA nas empresas</w:t>
      </w:r>
      <w:bookmarkEnd w:id="28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Nível de prioridade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% dos respondentes</w:t>
            </w:r>
          </w:p>
        </w:tc>
      </w:tr>
      <w:tr>
        <w:tc>
          <w:tcPr/>
          <w:p>
            <w:r>
              <w:t>Principal prioridade da empresa</w:t>
            </w:r>
          </w:p>
        </w:tc>
        <w:tc>
          <w:tcPr/>
          <w:p>
            <w:pPr>
              <w:jc w:val="right"/>
            </w:pPr>
            <w:r>
              <w:t>19,3%</w:t>
            </w:r>
          </w:p>
        </w:tc>
      </w:tr>
      <w:tr>
        <w:tc>
          <w:tcPr/>
          <w:p>
            <w:r>
              <w:t>Entre as principais prioridades (2-4 anos)</w:t>
            </w:r>
          </w:p>
        </w:tc>
        <w:tc>
          <w:tcPr/>
          <w:p>
            <w:pPr>
              <w:jc w:val="right"/>
            </w:pPr>
            <w:r>
              <w:t>30,0%</w:t>
            </w:r>
          </w:p>
        </w:tc>
      </w:tr>
      <w:tr>
        <w:tc>
          <w:tcPr/>
          <w:p>
            <w:r>
              <w:t>Uma entre várias iniciativas, sem foco</w:t>
            </w:r>
          </w:p>
        </w:tc>
        <w:tc>
          <w:tcPr/>
          <w:p>
            <w:pPr>
              <w:jc w:val="right"/>
            </w:pPr>
            <w:r>
              <w:t>18,1% + 10,6%</w:t>
            </w:r>
          </w:p>
        </w:tc>
      </w:tr>
      <w:tr>
        <w:tc>
          <w:tcPr/>
          <w:p>
            <w:r>
              <w:t>Não é prioridade</w:t>
            </w:r>
          </w:p>
        </w:tc>
        <w:tc>
          <w:tcPr/>
          <w:p>
            <w:pPr>
              <w:jc w:val="right"/>
            </w:pPr>
            <w:r>
              <w:t>18,8%</w:t>
            </w:r>
          </w:p>
        </w:tc>
      </w:tr>
      <w:tr>
        <w:tc>
          <w:tcPr/>
          <w:p>
            <w:r>
              <w:t>Não sabe opinar</w:t>
            </w:r>
          </w:p>
        </w:tc>
        <w:tc>
          <w:tcPr/>
          <w:p>
            <w:pPr>
              <w:jc w:val="right"/>
            </w:pPr>
            <w:r>
              <w:t>3,2%</w:t>
            </w:r>
          </w:p>
        </w:tc>
      </w:tr>
    </w:tbl>
    <w:p>
      <w:r>
        <w:t xml:space="preserve">Ou seja: apenas </w:t>
      </w:r>
      <w:r>
        <w:rPr>
          <w:b/>
        </w:rPr>
        <w:t>49,3%</w:t>
      </w:r>
      <w:r>
        <w:t xml:space="preserve"> das empresas tratam IA como prioridade real (alta ou entre as principais), enquanto quase 1 em cada 5 (18,8%) explicitamente não prioriza o tema.</w:t>
      </w:r>
    </w:p>
    <w:p>
      <w:pPr>
        <w:pStyle w:val="Heading3"/>
        <ck:id v="54-principais-barreiras-adoo-motivos-de-no-uso"/>
      </w:pPr>
      <w:bookmarkStart w:id="29" w:name="_54_principais_barreiras_adoo_motivos_de"/>
      <w:r>
        <w:t>5.4 Principais barreiras à adoção (motivos de não uso)</w:t>
      </w:r>
      <w:bookmarkEnd w:id="29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Motivo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% de quem não usa/relatou barreira</w:t>
            </w:r>
          </w:p>
        </w:tc>
      </w:tr>
      <w:tr>
        <w:tc>
          <w:tcPr/>
          <w:p>
            <w:r>
              <w:t>Falta de expertise/recursos</w:t>
            </w:r>
          </w:p>
        </w:tc>
        <w:tc>
          <w:tcPr/>
          <w:p>
            <w:pPr>
              <w:jc w:val="right"/>
            </w:pPr>
            <w:r>
              <w:t>36,8%</w:t>
            </w:r>
          </w:p>
        </w:tc>
      </w:tr>
      <w:tr>
        <w:tc>
          <w:tcPr/>
          <w:p>
            <w:r>
              <w:t>Falta de casos de uso claros</w:t>
            </w:r>
          </w:p>
        </w:tc>
        <w:tc>
          <w:tcPr/>
          <w:p>
            <w:pPr>
              <w:jc w:val="right"/>
            </w:pPr>
            <w:r>
              <w:t>36,0%</w:t>
            </w:r>
          </w:p>
        </w:tc>
      </w:tr>
      <w:tr>
        <w:tc>
          <w:tcPr/>
          <w:p>
            <w:r>
              <w:t>Dados não prontos para IA</w:t>
            </w:r>
          </w:p>
        </w:tc>
        <w:tc>
          <w:tcPr/>
          <w:p>
            <w:pPr>
              <w:jc w:val="right"/>
            </w:pPr>
            <w:r>
              <w:t>33,1%</w:t>
            </w:r>
          </w:p>
        </w:tc>
      </w:tr>
      <w:tr>
        <w:tc>
          <w:tcPr/>
          <w:p>
            <w:r>
              <w:t>Preocupação com segurança/privacidade</w:t>
            </w:r>
          </w:p>
        </w:tc>
        <w:tc>
          <w:tcPr/>
          <w:p>
            <w:pPr>
              <w:jc w:val="right"/>
            </w:pPr>
            <w:r>
              <w:t>32,3%</w:t>
            </w:r>
          </w:p>
        </w:tc>
      </w:tr>
      <w:tr>
        <w:tc>
          <w:tcPr/>
          <w:p>
            <w:r>
              <w:t>ROI não comprovado</w:t>
            </w:r>
          </w:p>
        </w:tc>
        <w:tc>
          <w:tcPr/>
          <w:p>
            <w:pPr>
              <w:jc w:val="right"/>
            </w:pPr>
            <w:r>
              <w:t>23,7%</w:t>
            </w:r>
          </w:p>
        </w:tc>
      </w:tr>
      <w:tr>
        <w:tc>
          <w:tcPr/>
          <w:p>
            <w:r>
              <w:t>Falta de confiabilidade (alucinação)</w:t>
            </w:r>
          </w:p>
        </w:tc>
        <w:tc>
          <w:tcPr/>
          <w:p>
            <w:pPr>
              <w:jc w:val="right"/>
            </w:pPr>
            <w:r>
              <w:t>17,6%</w:t>
            </w:r>
          </w:p>
        </w:tc>
      </w:tr>
    </w:tbl>
    <w:p>
      <w:r>
        <w:t xml:space="preserve">O padrão é revelador: a barreira não é rejeição à tecnologia, é </w:t>
      </w:r>
      <w:r>
        <w:rPr>
          <w:b/>
        </w:rPr>
        <w:t>maturidade de dados e de capacitação</w:t>
      </w:r>
      <w:r>
        <w:t xml:space="preserve"> — "dados não prontos para IA" (33,1%) reforça que a base de dados da empresa é, na prática, um pré-requisito para IA funcionar bem, algo que reforça a importância do próprio trabalho de engenharia/qualidade de dados.</w:t>
      </w:r>
    </w:p>
    <w:p>
      <w:pPr>
        <w:pBdr>
          <w:bottom w:val="single" w:sz="16" w:space="1" w:color="1A1A1A"/>
        </w:pBdr>
      </w:pPr>
    </w:p>
    <w:p>
      <w:pPr>
        <w:pStyle w:val="Heading2"/>
        <ck:id v="pergunta-6"/>
      </w:pPr>
      <w:bookmarkStart w:id="30" w:name="pergunta_6"/>
      <w:r>
        <w:t>6. Existem diferenças relevantes entre regiões, senioridades ou modelos de trabalho?</w:t>
      </w:r>
      <w:bookmarkEnd w:id="30"/>
    </w:p>
    <w:p>
      <w:pPr>
        <w:pStyle w:val="Heading3"/>
        <ck:id v="61-diferenas-regionais"/>
      </w:pPr>
      <w:bookmarkStart w:id="31" w:name="_61_diferenas_regionais"/>
      <w:r>
        <w:t>6.1 Diferenças regionais</w:t>
      </w:r>
      <w:bookmarkEnd w:id="31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Região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% da base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Salário médio</w:t>
            </w:r>
          </w:p>
        </w:tc>
      </w:tr>
      <w:tr>
        <w:tc>
          <w:tcPr/>
          <w:p>
            <w:r>
              <w:t>Sudeste</w:t>
            </w:r>
          </w:p>
        </w:tc>
        <w:tc>
          <w:tcPr/>
          <w:p>
            <w:pPr>
              <w:jc w:val="right"/>
            </w:pPr>
            <w:r>
              <w:t>62,3%</w:t>
            </w:r>
          </w:p>
        </w:tc>
        <w:tc>
          <w:tcPr/>
          <w:p>
            <w:pPr>
              <w:jc w:val="right"/>
            </w:pPr>
            <w:r>
              <w:t>R$ 12.174</w:t>
            </w:r>
          </w:p>
        </w:tc>
      </w:tr>
      <w:tr>
        <w:tc>
          <w:tcPr/>
          <w:p>
            <w:r>
              <w:t>Centro-Oeste</w:t>
            </w:r>
          </w:p>
        </w:tc>
        <w:tc>
          <w:tcPr/>
          <w:p>
            <w:pPr>
              <w:jc w:val="right"/>
            </w:pPr>
            <w:r>
              <w:t>6,7%</w:t>
            </w:r>
          </w:p>
        </w:tc>
        <w:tc>
          <w:tcPr/>
          <w:p>
            <w:pPr>
              <w:jc w:val="right"/>
            </w:pPr>
            <w:r>
              <w:t>R$ 10.876</w:t>
            </w:r>
          </w:p>
        </w:tc>
      </w:tr>
      <w:tr>
        <w:tc>
          <w:tcPr/>
          <w:p>
            <w:r>
              <w:t>Sul</w:t>
            </w:r>
          </w:p>
        </w:tc>
        <w:tc>
          <w:tcPr/>
          <w:p>
            <w:pPr>
              <w:jc w:val="right"/>
            </w:pPr>
            <w:r>
              <w:t>18,6%</w:t>
            </w:r>
          </w:p>
        </w:tc>
        <w:tc>
          <w:tcPr/>
          <w:p>
            <w:pPr>
              <w:jc w:val="right"/>
            </w:pPr>
            <w:r>
              <w:t>R$ 10.412</w:t>
            </w:r>
          </w:p>
        </w:tc>
      </w:tr>
      <w:tr>
        <w:tc>
          <w:tcPr/>
          <w:p>
            <w:r>
              <w:t>Norte</w:t>
            </w:r>
          </w:p>
        </w:tc>
        <w:tc>
          <w:tcPr/>
          <w:p>
            <w:pPr>
              <w:jc w:val="right"/>
            </w:pPr>
            <w:r>
              <w:t>1,4%</w:t>
            </w:r>
          </w:p>
        </w:tc>
        <w:tc>
          <w:tcPr/>
          <w:p>
            <w:pPr>
              <w:jc w:val="right"/>
            </w:pPr>
            <w:r>
              <w:t>R$ 9.176</w:t>
            </w:r>
          </w:p>
        </w:tc>
      </w:tr>
      <w:tr>
        <w:tc>
          <w:tcPr/>
          <w:p>
            <w:r>
              <w:t>Nordeste</w:t>
            </w:r>
          </w:p>
        </w:tc>
        <w:tc>
          <w:tcPr/>
          <w:p>
            <w:pPr>
              <w:jc w:val="right"/>
            </w:pPr>
            <w:r>
              <w:t>11,0%</w:t>
            </w:r>
          </w:p>
        </w:tc>
        <w:tc>
          <w:tcPr/>
          <w:p>
            <w:pPr>
              <w:jc w:val="right"/>
            </w:pPr>
            <w:r>
              <w:t>R$ 9.159</w:t>
            </w:r>
          </w:p>
        </w:tc>
      </w:tr>
    </w:tbl>
    <w:p>
      <w:r>
        <w:t xml:space="preserve">O Sudeste concentra quase 2 em cada 3 profissionais de Dados do Brasil e paga, em média, </w:t>
      </w:r>
      <w:r>
        <w:rPr>
          <w:b/>
        </w:rPr>
        <w:t>32,9% a mais</w:t>
      </w:r>
      <w:r>
        <w:t xml:space="preserve"> que o Nordeste (a região com menor remuneração média).</w:t>
      </w:r>
    </w:p>
    <w:p>
      <w:pPr>
        <w:pStyle w:val="Heading3"/>
        <ck:id v="62-diferenas-por-senioridade"/>
      </w:pPr>
      <w:bookmarkStart w:id="32" w:name="_62_diferenas_por_senioridade"/>
      <w:r>
        <w:t>6.2 Diferenças por senioridade</w:t>
      </w:r>
      <w:bookmarkEnd w:id="32"/>
    </w:p>
    <w:p>
      <w:r>
        <w:t>(já detalhado na Seção 2.3) — Especialista/Staff+ ganha 4,9x mais que Júnior em média (R$ 19.685 vs. R$ 4.048).</w:t>
      </w:r>
    </w:p>
    <w:p>
      <w:pPr>
        <w:pStyle w:val="Heading3"/>
        <ck:id v="63-diferenas-por-modelo-de-trabalho"/>
      </w:pPr>
      <w:bookmarkStart w:id="33" w:name="_63_diferenas_por_modelo_de_trabalho"/>
      <w:r>
        <w:t>6.3 Diferenças por modelo de trabalho</w:t>
      </w:r>
      <w:bookmarkEnd w:id="33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Modelo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% da base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Salário médio</w:t>
            </w:r>
          </w:p>
        </w:tc>
      </w:tr>
      <w:tr>
        <w:tc>
          <w:tcPr/>
          <w:p>
            <w:r>
              <w:t>Remoto</w:t>
            </w:r>
          </w:p>
        </w:tc>
        <w:tc>
          <w:tcPr/>
          <w:p>
            <w:pPr>
              <w:jc w:val="right"/>
            </w:pPr>
            <w:r>
              <w:t>44,4%</w:t>
            </w:r>
          </w:p>
        </w:tc>
        <w:tc>
          <w:tcPr/>
          <w:p>
            <w:pPr>
              <w:jc w:val="right"/>
            </w:pPr>
            <w:r>
              <w:t>R$ 12.522</w:t>
            </w:r>
          </w:p>
        </w:tc>
      </w:tr>
      <w:tr>
        <w:tc>
          <w:tcPr/>
          <w:p>
            <w:r>
              <w:t>Híbrido (flexível + dias fixos)</w:t>
            </w:r>
          </w:p>
        </w:tc>
        <w:tc>
          <w:tcPr/>
          <w:p>
            <w:pPr>
              <w:jc w:val="right"/>
            </w:pPr>
            <w:r>
              <w:t>38,1%</w:t>
            </w:r>
          </w:p>
        </w:tc>
        <w:tc>
          <w:tcPr/>
          <w:p>
            <w:pPr>
              <w:jc w:val="right"/>
            </w:pPr>
            <w:r>
              <w:t>R$ 12.366</w:t>
            </w:r>
          </w:p>
        </w:tc>
      </w:tr>
      <w:tr>
        <w:tc>
          <w:tcPr/>
          <w:p>
            <w:r>
              <w:t>Presencial</w:t>
            </w:r>
          </w:p>
        </w:tc>
        <w:tc>
          <w:tcPr/>
          <w:p>
            <w:pPr>
              <w:jc w:val="right"/>
            </w:pPr>
            <w:r>
              <w:t>17,5%</w:t>
            </w:r>
          </w:p>
        </w:tc>
        <w:tc>
          <w:tcPr/>
          <w:p>
            <w:pPr>
              <w:jc w:val="right"/>
            </w:pPr>
            <w:r>
              <w:t>R$ 7.874</w:t>
            </w:r>
          </w:p>
        </w:tc>
      </w:tr>
    </w:tbl>
    <w:sdt>
      <w:sdtPr>
        <w:tag w:val="clarkdown:div"/>
        <ck:div v="|panel|tint=neutral"/>
      </w:sdtPr>
      <w:sdtContent>
        <w:tbl>
          <w:tblPr>
            <w:tblW w:w="5000" w:type="pct"/>
            <w:tblBorders>
              <w:top w:val="none"/>
              <w:left w:val="none"/>
              <w:bottom w:val="none"/>
              <w:right w:val="none"/>
              <w:insideH w:val="none"/>
              <w:insideV w:val="none"/>
            </w:tblBorders>
            <w:tblCellMar>
              <w:top w:w="320" w:type="dxa"/>
              <w:left w:w="240" w:type="dxa"/>
              <w:bottom w:w="320" w:type="dxa"/>
              <w:right w:w="240" w:type="dxa"/>
            </w:tblCellMar>
          </w:tblPr>
          <w:tblGrid>
            <w:gridCol/>
          </w:tblGrid>
          <w:tr>
            <w:tc>
              <w:tcPr>
                <w:shd w:val="clear" w:fill="F7F7F7"/>
              </w:tcPr>
              <w:p>
                <w:r>
                  <w:t xml:space="preserve">Trabalho remoto e híbrido pagam, em média, </w:t>
                </w:r>
                <w:r>
                  <w:rPr>
                    <w:b/>
                  </w:rPr>
                  <w:t>~59% a mais</w:t>
                </w:r>
                <w:r>
                  <w:t xml:space="preserve"> que o modelo 100% presencial — mas a fatia de profissionais 100% remotos vem caindo: de 46,3% (2023) para 39,7% (2025), enquanto o presencial sobe de 16,6% para 20,8%.</w:t>
                </w:r>
              </w:p>
            </w:tc>
          </w:tr>
        </w:tbl>
      </w:sdtContent>
    </w:sdt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Ano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% Remoto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% Híbrido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% Presencial</w:t>
            </w:r>
          </w:p>
        </w:tc>
      </w:tr>
      <w:tr>
        <w:tc>
          <w:tcPr/>
          <w:p>
            <w:r>
              <w:t>2023</w:t>
            </w:r>
          </w:p>
        </w:tc>
        <w:tc>
          <w:tcPr/>
          <w:p>
            <w:pPr>
              <w:jc w:val="right"/>
            </w:pPr>
            <w:r>
              <w:t>46,3%</w:t>
            </w:r>
          </w:p>
        </w:tc>
        <w:tc>
          <w:tcPr/>
          <w:p>
            <w:pPr>
              <w:jc w:val="right"/>
            </w:pPr>
            <w:r>
              <w:t>37,1%</w:t>
            </w:r>
          </w:p>
        </w:tc>
        <w:tc>
          <w:tcPr/>
          <w:p>
            <w:pPr>
              <w:jc w:val="right"/>
            </w:pPr>
            <w:r>
              <w:t>16,6%</w:t>
            </w:r>
          </w:p>
        </w:tc>
      </w:tr>
      <w:tr>
        <w:tc>
          <w:tcPr/>
          <w:p>
            <w:r>
              <w:t>2024</w:t>
            </w:r>
          </w:p>
        </w:tc>
        <w:tc>
          <w:tcPr/>
          <w:p>
            <w:pPr>
              <w:jc w:val="right"/>
            </w:pPr>
            <w:r>
              <w:t>45,7%</w:t>
            </w:r>
          </w:p>
        </w:tc>
        <w:tc>
          <w:tcPr/>
          <w:p>
            <w:pPr>
              <w:jc w:val="right"/>
            </w:pPr>
            <w:r>
              <w:t>38,0%</w:t>
            </w:r>
          </w:p>
        </w:tc>
        <w:tc>
          <w:tcPr/>
          <w:p>
            <w:pPr>
              <w:jc w:val="right"/>
            </w:pPr>
            <w:r>
              <w:t>16,3%</w:t>
            </w:r>
          </w:p>
        </w:tc>
      </w:tr>
      <w:tr>
        <w:tc>
          <w:tcPr/>
          <w:p>
            <w:r>
              <w:t>2025</w:t>
            </w:r>
          </w:p>
        </w:tc>
        <w:tc>
          <w:tcPr/>
          <w:p>
            <w:pPr>
              <w:jc w:val="right"/>
            </w:pPr>
            <w:r>
              <w:t>39,7%</w:t>
            </w:r>
          </w:p>
        </w:tc>
        <w:tc>
          <w:tcPr/>
          <w:p>
            <w:pPr>
              <w:jc w:val="right"/>
            </w:pPr>
            <w:r>
              <w:t>39,5%</w:t>
            </w:r>
          </w:p>
        </w:tc>
        <w:tc>
          <w:tcPr/>
          <w:p>
            <w:pPr>
              <w:jc w:val="right"/>
            </w:pPr>
            <w:r>
              <w:t>20,8%</w:t>
            </w:r>
          </w:p>
        </w:tc>
      </w:tr>
    </w:tbl>
    <w:p>
      <w:r>
        <w:t>O movimento de retorno ao escritório (RTO) observado no mercado brasileiro de tecnologia em geral aparece claramente nos dados de Dados: o modelo presencial ganhou 4,2 pontos percentuais em três anos, o maior crescimento relativo entre os três modelos.</w:t>
      </w:r>
    </w:p>
    <w:p>
      <w:pPr>
        <w:pBdr>
          <w:bottom w:val="single" w:sz="16" w:space="1" w:color="1A1A1A"/>
        </w:pBdr>
      </w:pPr>
    </w:p>
    <w:p>
      <w:pPr>
        <w:pStyle w:val="Heading2"/>
        <ck:id v="pergunta-7"/>
      </w:pPr>
      <w:bookmarkStart w:id="34" w:name="pergunta_7"/>
      <w:r>
        <w:t>7. Quais oportunidades e desafios podem ser identificados para empresas que desejam investir em Dados e IA?</w:t>
      </w:r>
      <w:bookmarkEnd w:id="34"/>
    </w:p>
    <w:p>
      <w:pPr>
        <w:pStyle w:val="Heading3"/>
        <ck:id v="71-o-que-atrai-talento-critrio-de-escolha-de-emprego"/>
      </w:pPr>
      <w:bookmarkStart w:id="35" w:name="_71_o_que_atrai_talento_critrio_de_escol"/>
      <w:r>
        <w:t>7.1 O que atrai talento (critério de escolha de emprego)</w:t>
      </w:r>
      <w:bookmarkEnd w:id="35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Critério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% que considera</w:t>
            </w:r>
          </w:p>
        </w:tc>
      </w:tr>
      <w:tr>
        <w:tc>
          <w:tcPr/>
          <w:p>
            <w:r>
              <w:t>Remuneração/Salário</w:t>
            </w:r>
          </w:p>
        </w:tc>
        <w:tc>
          <w:tcPr/>
          <w:p>
            <w:pPr>
              <w:jc w:val="right"/>
            </w:pPr>
            <w:r>
              <w:t>81,9%</w:t>
            </w:r>
          </w:p>
        </w:tc>
      </w:tr>
      <w:tr>
        <w:tc>
          <w:tcPr/>
          <w:p>
            <w:r>
              <w:t>Flexibilidade de trabalho remoto</w:t>
            </w:r>
          </w:p>
        </w:tc>
        <w:tc>
          <w:tcPr/>
          <w:p>
            <w:pPr>
              <w:jc w:val="right"/>
            </w:pPr>
            <w:r>
              <w:t>57,8%</w:t>
            </w:r>
          </w:p>
        </w:tc>
      </w:tr>
      <w:tr>
        <w:tc>
          <w:tcPr/>
          <w:p>
            <w:r>
              <w:t>Plano de carreira</w:t>
            </w:r>
          </w:p>
        </w:tc>
        <w:tc>
          <w:tcPr/>
          <w:p>
            <w:pPr>
              <w:jc w:val="right"/>
            </w:pPr>
            <w:r>
              <w:t>32,6%</w:t>
            </w:r>
          </w:p>
        </w:tc>
      </w:tr>
      <w:tr>
        <w:tc>
          <w:tcPr/>
          <w:p>
            <w:r>
              <w:t>Aprendizado/referências na área</w:t>
            </w:r>
          </w:p>
        </w:tc>
        <w:tc>
          <w:tcPr/>
          <w:p>
            <w:pPr>
              <w:jc w:val="right"/>
            </w:pPr>
            <w:r>
              <w:t>24,3%</w:t>
            </w:r>
          </w:p>
        </w:tc>
      </w:tr>
      <w:tr>
        <w:tc>
          <w:tcPr/>
          <w:p>
            <w:r>
              <w:t>Benefícios</w:t>
            </w:r>
          </w:p>
        </w:tc>
        <w:tc>
          <w:tcPr/>
          <w:p>
            <w:pPr>
              <w:jc w:val="right"/>
            </w:pPr>
            <w:r>
              <w:t>24,2%</w:t>
            </w:r>
          </w:p>
        </w:tc>
      </w:tr>
    </w:tbl>
    <w:p>
      <w:pPr>
        <w:pStyle w:val="Heading3"/>
        <ck:id v="72-o-que-gera-insatisfao-oportunidade-de-reteno"/>
      </w:pPr>
      <w:bookmarkStart w:id="36" w:name="_72_o_que_gera_insatisfao_oportunidade_d"/>
      <w:r>
        <w:t>7.2 O que gera insatisfação (oportunidade de retenção)</w:t>
      </w:r>
      <w:bookmarkEnd w:id="36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Motivo de insatisfação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% de quem relatou</w:t>
            </w:r>
          </w:p>
        </w:tc>
      </w:tr>
      <w:tr>
        <w:tc>
          <w:tcPr/>
          <w:p>
            <w:r>
              <w:t>Salário não corresponde ao mercado</w:t>
            </w:r>
          </w:p>
        </w:tc>
        <w:tc>
          <w:tcPr/>
          <w:p>
            <w:pPr>
              <w:jc w:val="right"/>
            </w:pPr>
            <w:r>
              <w:t>45,1%</w:t>
            </w:r>
          </w:p>
        </w:tc>
      </w:tr>
      <w:tr>
        <w:tc>
          <w:tcPr/>
          <w:p>
            <w:r>
              <w:t>Falta de oportunidade de crescimento</w:t>
            </w:r>
          </w:p>
        </w:tc>
        <w:tc>
          <w:tcPr/>
          <w:p>
            <w:pPr>
              <w:jc w:val="right"/>
            </w:pPr>
            <w:r>
              <w:t>40,4%</w:t>
            </w:r>
          </w:p>
        </w:tc>
      </w:tr>
      <w:tr>
        <w:tc>
          <w:tcPr/>
          <w:p>
            <w:r>
              <w:t>Falta de maturidade analítica da empresa</w:t>
            </w:r>
          </w:p>
        </w:tc>
        <w:tc>
          <w:tcPr/>
          <w:p>
            <w:pPr>
              <w:jc w:val="right"/>
            </w:pPr>
            <w:r>
              <w:t>32,4%</w:t>
            </w:r>
          </w:p>
        </w:tc>
      </w:tr>
      <w:tr>
        <w:tc>
          <w:tcPr/>
          <w:p>
            <w:r>
              <w:t>Falta de aprendizado/referências</w:t>
            </w:r>
          </w:p>
        </w:tc>
        <w:tc>
          <w:tcPr/>
          <w:p>
            <w:pPr>
              <w:jc w:val="right"/>
            </w:pPr>
            <w:r>
              <w:t>21,8%</w:t>
            </w:r>
          </w:p>
        </w:tc>
      </w:tr>
    </w:tbl>
    <w:p>
      <w:r>
        <w:rPr>
          <w:b/>
        </w:rPr>
        <w:t>Oportunidade:</w:t>
      </w:r>
      <w:r>
        <w:t xml:space="preserve"> empresas que oferecem remuneração competitiva, flexibilidade de trabalho remoto/híbrido e plano de carreira claro atacam diretamente os dois principais motivos de atração </w:t>
      </w:r>
      <w:r>
        <w:rPr>
          <w:i/>
        </w:rPr>
        <w:t>e</w:t>
      </w:r>
      <w:r>
        <w:t xml:space="preserve"> de saída de talento neste mercado. "Falta de maturidade analítica" apontada por quase 1 em cada 3 insatisfeitos é, ao mesmo tempo, um risco de retenção e uma oportunidade de investimento em cultura de dados.</w:t>
      </w:r>
    </w:p>
    <w:p>
      <w:pPr>
        <w:pStyle w:val="Heading3"/>
        <ck:id v="73-principais-desafios-de-quem-j-gerencia-dados"/>
      </w:pPr>
      <w:bookmarkStart w:id="37" w:name="_73_principais_desafios_de_quem_j_gerenc"/>
      <w:r>
        <w:t>7.3 Principais desafios de quem já gerencia dados</w:t>
      </w:r>
      <w:bookmarkEnd w:id="37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Desafio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% de gestores que relatam</w:t>
            </w:r>
          </w:p>
        </w:tc>
      </w:tr>
      <w:tr>
        <w:tc>
          <w:tcPr/>
          <w:p>
            <w:r>
              <w:t>Gerenciar expectativa do negócio</w:t>
            </w:r>
          </w:p>
        </w:tc>
        <w:tc>
          <w:tcPr/>
          <w:p>
            <w:pPr>
              <w:jc w:val="right"/>
            </w:pPr>
            <w:r>
              <w:t>35,3%</w:t>
            </w:r>
          </w:p>
        </w:tc>
      </w:tr>
      <w:tr>
        <w:tc>
          <w:tcPr/>
          <w:p>
            <w:r>
              <w:t>Dividir tempo entre técnico e gestão</w:t>
            </w:r>
          </w:p>
        </w:tc>
        <w:tc>
          <w:tcPr/>
          <w:p>
            <w:pPr>
              <w:jc w:val="right"/>
            </w:pPr>
            <w:r>
              <w:t>31,9%</w:t>
            </w:r>
          </w:p>
        </w:tc>
      </w:tr>
      <w:tr>
        <w:tc>
          <w:tcPr/>
          <w:p>
            <w:r>
              <w:t>Gerar valor para o negócio</w:t>
            </w:r>
          </w:p>
        </w:tc>
        <w:tc>
          <w:tcPr/>
          <w:p>
            <w:pPr>
              <w:jc w:val="right"/>
            </w:pPr>
            <w:r>
              <w:t>27,6%</w:t>
            </w:r>
          </w:p>
        </w:tc>
      </w:tr>
      <w:tr>
        <w:tc>
          <w:tcPr/>
          <w:p>
            <w:r>
              <w:t>Qualidade/confiabilidade dos dados</w:t>
            </w:r>
          </w:p>
        </w:tc>
        <w:tc>
          <w:tcPr/>
          <w:p>
            <w:pPr>
              <w:jc w:val="right"/>
            </w:pPr>
            <w:r>
              <w:t>27,2%</w:t>
            </w:r>
          </w:p>
        </w:tc>
      </w:tr>
      <w:tr>
        <w:tc>
          <w:tcPr/>
          <w:p>
            <w:r>
              <w:t>Levar inovação para a empresa</w:t>
            </w:r>
          </w:p>
        </w:tc>
        <w:tc>
          <w:tcPr/>
          <w:p>
            <w:pPr>
              <w:jc w:val="right"/>
            </w:pPr>
            <w:r>
              <w:t>22,5%</w:t>
            </w:r>
          </w:p>
        </w:tc>
      </w:tr>
    </w:tbl>
    <w:p>
      <w:pPr>
        <w:pStyle w:val="Heading3"/>
        <ck:id v="74-barreiras-especficas-adoo-de-ia-detalhado-na-seo-54"/>
      </w:pPr>
      <w:bookmarkStart w:id="38" w:name="_74_barreiras_especficas_adoo_de_ia_deta"/>
      <w:r>
        <w:t>7.4 Barreiras específicas à adoção de IA (detalhado na Seção 5.4)</w:t>
      </w:r>
      <w:bookmarkEnd w:id="38"/>
    </w:p>
    <w:p>
      <w:r>
        <w:t xml:space="preserve">Falta de expertise/recursos (36,8%), falta de casos de uso claros (36,0%) e dados não prontos para IA (33,1%) lideram — reforçando que </w:t>
      </w:r>
      <w:r>
        <w:rPr>
          <w:b/>
        </w:rPr>
        <w:t>investimento em fundamentos de dados (qualidade, governança, capacitação) é pré-condição para IA gerar valor</w:t>
      </w:r>
      <w:r>
        <w:t>, não um "próximo passo" independente.</w:t>
      </w:r>
    </w:p>
    <w:sdt>
      <w:sdtPr>
        <w:tag w:val="clarkdown:div"/>
        <ck:div v="|panel|tint=accent"/>
      </w:sdtPr>
      <w:sdtContent>
        <w:tbl>
          <w:tblPr>
            <w:tblW w:w="5000" w:type="pct"/>
            <w:tblBorders>
              <w:top w:val="none"/>
              <w:left w:val="none"/>
              <w:bottom w:val="none"/>
              <w:right w:val="none"/>
              <w:insideH w:val="none"/>
              <w:insideV w:val="none"/>
            </w:tblBorders>
            <w:tblCellMar>
              <w:top w:w="320" w:type="dxa"/>
              <w:left w:w="240" w:type="dxa"/>
              <w:bottom w:w="320" w:type="dxa"/>
              <w:right w:w="240" w:type="dxa"/>
            </w:tblCellMar>
          </w:tblPr>
          <w:tblGrid>
            <w:gridCol/>
          </w:tblGrid>
          <w:tr>
            <w:tc>
              <w:tcPr>
                <w:shd w:val="clear" w:fill="E4E4E4"/>
              </w:tcPr>
              <w:p>
                <w:r>
                  <w:rPr>
                    <w:b/>
                  </w:rPr>
                  <w:t>Síntese de oportunidades:</w:t>
                </w:r>
                <w:r>
                  <w:t xml:space="preserve"> (1) competir por talento via remuneração + flexibilidade + carreira; (2) investir em maturidade analítica antes/junto com IA; (3) capacitar times internos para reduzir a barreira de "falta de expertise" em IA; (4) atenção a equidade de gênero como vantagem competitiva de employer branding, dado o hiato salarial e de senioridade identificado.</w:t>
                </w:r>
              </w:p>
              <w:p>
                <w:r>
                  <w:rPr>
                    <w:b/>
                  </w:rPr>
                  <w:t>Síntese de desafios:</w:t>
                </w:r>
                <w:r>
                  <w:t xml:space="preserve"> (1) gestão de expectativas do negócio sobre dados e IA; (2) qualidade/confiabilidade de dados como gargalo recorrente; (3) tendência de RTO pode reduzir atratividade para talento que valoriza flexibilidade; (4) concentração regional no Sudeste limita acesso a talento em outras regiões.</w:t>
                </w:r>
              </w:p>
            </w:tc>
          </w:tr>
        </w:tbl>
      </w:sdtContent>
    </w:sdt>
    <w:p>
      <w:pPr>
        <w:pBdr>
          <w:bottom w:val="single" w:sz="16" w:space="1" w:color="1A1A1A"/>
        </w:pBdr>
      </w:pPr>
    </w:p>
    <w:p>
      <w:pPr>
        <w:pStyle w:val="Heading1"/>
      </w:pPr>
      <w:r>
        <w:t>Execução das análises no ambiente AWS</w:t>
      </w:r>
    </w:p>
    <w:p>
      <w:pPr/>
      <w:r>
        <w:t>A transformação Silver e a modelagem Gold são executadas com AWS Glue + Spark/PySpark. As análises que sustentam os indicadores do material executivo estão disponíveis em duas versões equivalentes na pasta analises/: analises/state_of_data_survey_analysis_glue.ipynb, para execução em AWS Glue Interactive Session, e analises/state_of_data_survey_analysis_csv.ipynb, para execução local a partir dos snapshots CSV das camadas Silver e Gold versionados no repositório. Na versão Glue, as tabelas Gold são lidas diretamente pelo AWS Glue Data Catalog (gold_db) e, quando necessário, a camada Silver é consultada pelo catálogo silver_db. Os DataFrames Spark são convertidos para Pandas apenas na etapa de exploração tabular e apoio às visualizações. As duas versões aplicam a mesma lógica analítica e produzem os mesmos indicadores.</w:t>
      </w:r>
    </w:p>
    <w:p>
      <w:pPr/>
      <w:r>
        <w:t>Interpretação de perfis: como o survey não contém número de vagas abertas, taxa de contratação ou turnover, “valorização” é tratada como proxy baseada na representatividade na base e na remuneração estimada. Variações de nomenclatura entre cargos próximos podem ser mantidas separadas para preservar a rastreabilidade à fonte.</w:t>
      </w:r>
    </w:p>
    <w:p>
      <w:pPr>
        <w:pStyle w:val="Heading2"/>
        <ck:id v="nota-metodologica"/>
      </w:pPr>
      <w:bookmarkStart w:id="39" w:name="nota_metodologica"/>
      <w:r>
        <w:t>Nota metodológica e limitações</w:t>
      </w:r>
      <w:bookmarkEnd w:id="39"/>
    </w:p>
    <w:p>
      <w:pPr>
        <w:pStyle w:val="ListParagraph"/>
        <w:numPr>
          <w:ilvl w:val="0"/>
          <w:numId w:val="2"/>
        </w:numPr>
      </w:pPr>
      <w:r>
        <w:t xml:space="preserve">Todos os números citados vêm das tabelas da camada </w:t>
      </w:r>
      <w:r>
        <w:rPr>
          <w:b/>
        </w:rPr>
        <w:t>gold</w:t>
      </w:r>
      <w:r>
        <w:t xml:space="preserve"> do projeto (</w:t>
      </w:r>
      <w:r>
        <w:rPr>
          <w:rStyle w:val="CkCode"/>
        </w:rPr>
        <w:t>tbl_fato_perfil_profissional</w:t>
      </w:r>
      <w:r>
        <w:t xml:space="preserve">, </w:t>
      </w:r>
      <w:r>
        <w:rPr>
          <w:rStyle w:val="CkCode"/>
        </w:rPr>
        <w:t>tbl_fato_tecnologias</w:t>
      </w:r>
      <w:r>
        <w:t xml:space="preserve">, </w:t>
      </w:r>
      <w:r>
        <w:rPr>
          <w:rStyle w:val="CkCode"/>
        </w:rPr>
        <w:t>tbl_fato_ia_generativa</w:t>
      </w:r>
      <w:r>
        <w:t xml:space="preserve">, </w:t>
      </w:r>
      <w:r>
        <w:rPr>
          <w:rStyle w:val="CkCode"/>
        </w:rPr>
        <w:t>tbl_fato_gestao</w:t>
      </w:r>
      <w:r>
        <w:t xml:space="preserve">, </w:t>
      </w:r>
      <w:r>
        <w:rPr>
          <w:rStyle w:val="CkCode"/>
        </w:rPr>
        <w:t>tbl_fato_satisfacao</w:t>
      </w:r>
      <w:r>
        <w:t xml:space="preserve">, </w:t>
      </w:r>
      <w:r>
        <w:rPr>
          <w:rStyle w:val="CkCode"/>
        </w:rPr>
        <w:t>tbl_fato_experiencia</w:t>
      </w:r>
      <w:r>
        <w:t xml:space="preserve">, </w:t>
      </w:r>
      <w:r>
        <w:rPr>
          <w:rStyle w:val="CkCode"/>
        </w:rPr>
        <w:t>tbl_dimensao_faixa_salarial</w:t>
      </w:r>
      <w:r>
        <w:t xml:space="preserve">), exceto o dado de "carreira prejudicada por gênero/raça" (Seção 3.3), extraído da camada </w:t>
      </w:r>
      <w:r>
        <w:rPr>
          <w:b/>
        </w:rPr>
        <w:t>silver</w:t>
      </w:r>
      <w:r>
        <w:t xml:space="preserve"> porque essa granularidade não foi materializada na gold — isso é sinalizado explicitamente no texto.</w:t>
      </w:r>
    </w:p>
    <w:p>
      <w:pPr>
        <w:pStyle w:val="ListParagraph"/>
        <w:numPr>
          <w:ilvl w:val="0"/>
          <w:numId w:val="2"/>
        </w:numPr>
      </w:pPr>
      <w:r>
        <w:t xml:space="preserve">Salário médio é estimado usando o ponto médio de cada faixa salarial declarada (dimensão </w:t>
      </w:r>
      <w:r>
        <w:rPr>
          <w:rStyle w:val="CkCode"/>
        </w:rPr>
        <w:t>tbl_dimensao_faixa_salarial</w:t>
      </w:r>
      <w:r>
        <w:t>), não o salário exato de cada respondente — é uma aproximação padrão para dados de faixa.</w:t>
      </w:r>
    </w:p>
    <w:p>
      <w:pPr>
        <w:pStyle w:val="ListParagraph"/>
        <w:numPr>
          <w:ilvl w:val="0"/>
          <w:numId w:val="2"/>
        </w:numPr>
      </w:pPr>
      <w:r>
        <w:t xml:space="preserve">Perguntas sobre tecnologias, uso de IA, critérios de satisfação, responsabilidades e desafios de gestão são de </w:t>
      </w:r>
      <w:r>
        <w:rPr>
          <w:b/>
        </w:rPr>
        <w:t>múltipla escolha</w:t>
      </w:r>
      <w:r>
        <w:t>: os percentuais são calculados sobre o número de respondentes únicos que responderam àquele bloco específico da pesquisa (não sobre o total geral de 14.002), e essa base (n) é informada em cada tabela/seção.</w:t>
      </w:r>
    </w:p>
    <w:p>
      <w:pPr>
        <w:pStyle w:val="ListParagraph"/>
        <w:numPr>
          <w:ilvl w:val="0"/>
          <w:numId w:val="2"/>
        </w:numPr>
      </w:pPr>
      <w:r>
        <w:t>Comparações entre anos devem ser lidas com cautela: o número de respondentes por bloco de pergunta varia ano a ano (nem toda pergunta foi feita a toda a base em todas as edições), o que pode amplificar ou atenuar variações percentuais.</w:t>
      </w:r>
    </w:p>
    <w:p>
      <w:pPr>
        <w:pStyle w:val="ListParagraph"/>
        <w:numPr>
          <w:ilvl w:val="0"/>
          <w:numId w:val="2"/>
        </w:numPr>
      </w:pPr>
      <w:r>
        <w:t xml:space="preserve">Dados sobre número de vagas em aberto, taxa de rotatividade (turnover) e crescimento de contratações por cargo </w:t>
      </w:r>
      <w:r>
        <w:rPr>
          <w:b/>
        </w:rPr>
        <w:t>não estão disponíveis</w:t>
      </w:r>
      <w:r>
        <w:t xml:space="preserve"> no dataset — qualquer inferência sobre "demanda futura" deveria vir de fonte complementar.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Arial">
    <w:family w:val="swiss"/>
  </w:font>
  <w:font w:name="Consolas">
    <w:family w:val="modern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☐"/>
      <w:lvlJc w:val="left"/>
      <w:pPr>
        <w:ind w:left="720" w:hanging="360"/>
      </w:pPr>
    </w:lvl>
    <w:lvl w:ilvl="1">
      <w:start w:val="1"/>
      <w:numFmt w:val="bullet"/>
      <w:lvlText w:val="☐"/>
      <w:lvlJc w:val="left"/>
      <w:pPr>
        <w:ind w:left="1440" w:hanging="360"/>
      </w:pPr>
    </w:lvl>
    <w:lvl w:ilvl="2">
      <w:start w:val="1"/>
      <w:numFmt w:val="bullet"/>
      <w:lvlText w:val="☐"/>
      <w:lvlJc w:val="left"/>
      <w:pPr>
        <w:ind w:left="2160" w:hanging="360"/>
      </w:pPr>
    </w:lvl>
    <w:lvl w:ilvl="3">
      <w:start w:val="1"/>
      <w:numFmt w:val="bullet"/>
      <w:lvlText w:val="☐"/>
      <w:lvlJc w:val="left"/>
      <w:pPr>
        <w:ind w:left="2880" w:hanging="360"/>
      </w:pPr>
    </w:lvl>
    <w:lvl w:ilvl="4">
      <w:start w:val="1"/>
      <w:numFmt w:val="bullet"/>
      <w:lvlText w:val="☐"/>
      <w:lvlJc w:val="left"/>
      <w:pPr>
        <w:ind w:left="3600" w:hanging="360"/>
      </w:pPr>
    </w:lvl>
    <w:lvl w:ilvl="5">
      <w:start w:val="1"/>
      <w:numFmt w:val="bullet"/>
      <w:lvlText w:val="☐"/>
      <w:lvlJc w:val="left"/>
      <w:pPr>
        <w:ind w:left="4320" w:hanging="360"/>
      </w:pPr>
    </w:lvl>
    <w:lvl w:ilvl="6">
      <w:start w:val="1"/>
      <w:numFmt w:val="bullet"/>
      <w:lvlText w:val="☐"/>
      <w:lvlJc w:val="left"/>
      <w:pPr>
        <w:ind w:left="5040" w:hanging="360"/>
      </w:pPr>
    </w:lvl>
    <w:lvl w:ilvl="7">
      <w:start w:val="1"/>
      <w:numFmt w:val="bullet"/>
      <w:lvlText w:val="☐"/>
      <w:lvlJc w:val="left"/>
      <w:pPr>
        <w:ind w:left="5760" w:hanging="360"/>
      </w:pPr>
    </w:lvl>
    <w:lvl w:ilvl="8">
      <w:start w:val="1"/>
      <w:numFmt w:val="bullet"/>
      <w:lvlText w:val="☐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☑"/>
      <w:lvlJc w:val="left"/>
      <w:pPr>
        <w:ind w:left="720" w:hanging="360"/>
      </w:pPr>
    </w:lvl>
    <w:lvl w:ilvl="1">
      <w:start w:val="1"/>
      <w:numFmt w:val="bullet"/>
      <w:lvlText w:val="☑"/>
      <w:lvlJc w:val="left"/>
      <w:pPr>
        <w:ind w:left="1440" w:hanging="360"/>
      </w:pPr>
    </w:lvl>
    <w:lvl w:ilvl="2">
      <w:start w:val="1"/>
      <w:numFmt w:val="bullet"/>
      <w:lvlText w:val="☑"/>
      <w:lvlJc w:val="left"/>
      <w:pPr>
        <w:ind w:left="2160" w:hanging="360"/>
      </w:pPr>
    </w:lvl>
    <w:lvl w:ilvl="3">
      <w:start w:val="1"/>
      <w:numFmt w:val="bullet"/>
      <w:lvlText w:val="☑"/>
      <w:lvlJc w:val="left"/>
      <w:pPr>
        <w:ind w:left="2880" w:hanging="360"/>
      </w:pPr>
    </w:lvl>
    <w:lvl w:ilvl="4">
      <w:start w:val="1"/>
      <w:numFmt w:val="bullet"/>
      <w:lvlText w:val="☑"/>
      <w:lvlJc w:val="left"/>
      <w:pPr>
        <w:ind w:left="3600" w:hanging="360"/>
      </w:pPr>
    </w:lvl>
    <w:lvl w:ilvl="5">
      <w:start w:val="1"/>
      <w:numFmt w:val="bullet"/>
      <w:lvlText w:val="☑"/>
      <w:lvlJc w:val="left"/>
      <w:pPr>
        <w:ind w:left="4320" w:hanging="360"/>
      </w:pPr>
    </w:lvl>
    <w:lvl w:ilvl="6">
      <w:start w:val="1"/>
      <w:numFmt w:val="bullet"/>
      <w:lvlText w:val="☑"/>
      <w:lvlJc w:val="left"/>
      <w:pPr>
        <w:ind w:left="5040" w:hanging="360"/>
      </w:pPr>
    </w:lvl>
    <w:lvl w:ilvl="7">
      <w:start w:val="1"/>
      <w:numFmt w:val="bullet"/>
      <w:lvlText w:val="☑"/>
      <w:lvlJc w:val="left"/>
      <w:pPr>
        <w:ind w:left="5760" w:hanging="360"/>
      </w:pPr>
    </w:lvl>
    <w:lvl w:ilvl="8">
      <w:start w:val="1"/>
      <w:numFmt w:val="bullet"/>
      <w:lvlText w:val="☑"/>
      <w:lvlJc w:val="left"/>
      <w:pPr>
        <w:ind w:left="6480" w:hanging="360"/>
      </w:pPr>
    </w:lvl>
  </w:abstractNum>
  <w:num w:numId="1">
    <w:abstractNumId w:val="1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  <w:lang w:val="en-US"/>
      </w:rPr>
    </w:rPrDefault>
    <w:pPrDefault>
      <w:pPr>
        <w:spacing w:after="160" w:line="312" w:lineRule="auto"/>
      </w:pPr>
    </w:pPrDefault>
  </w:docDefaults>
  <w:style w:type="paragraph" w:styleId="Normal" w:default="1">
    <w:name w:val="Normal"/>
  </w:style>
  <w:style w:type="paragraph" w:styleId="Heading1" w:default="0">
    <w:name w:val="heading 1"/>
    <w:basedOn w:val="Normal"/>
    <w:next w:val="Normal"/>
    <w:pPr>
      <w:keepNext/>
      <w:keepLines/>
      <w:spacing w:before="480" w:line="264" w:lineRule="auto"/>
      <w:outlineLvl w:val="0"/>
    </w:pPr>
    <w:rPr>
      <w:rFonts w:ascii="Arial" w:hAnsi="Arial"/>
      <w:b/>
      <w:color w:val="1A1A1A"/>
      <w:sz w:val="52"/>
      <w:szCs w:val="52"/>
    </w:rPr>
  </w:style>
  <w:style w:type="paragraph" w:styleId="Heading2" w:default="0">
    <w:name w:val="heading 2"/>
    <w:basedOn w:val="Normal"/>
    <w:next w:val="Normal"/>
    <w:pPr>
      <w:keepNext/>
      <w:keepLines/>
      <w:spacing w:before="320" w:line="264" w:lineRule="auto"/>
      <w:outlineLvl w:val="1"/>
    </w:pPr>
    <w:rPr>
      <w:rFonts w:ascii="Arial" w:hAnsi="Arial"/>
      <w:b/>
      <w:sz w:val="39"/>
      <w:szCs w:val="39"/>
    </w:rPr>
  </w:style>
  <w:style w:type="paragraph" w:styleId="Heading3" w:default="0">
    <w:name w:val="heading 3"/>
    <w:basedOn w:val="Normal"/>
    <w:next w:val="Normal"/>
    <w:pPr>
      <w:keepNext/>
      <w:keepLines/>
      <w:spacing w:before="160" w:line="264" w:lineRule="auto"/>
      <w:outlineLvl w:val="2"/>
    </w:pPr>
    <w:rPr>
      <w:rFonts w:ascii="Arial" w:hAnsi="Arial"/>
      <w:b/>
      <w:sz w:val="29"/>
      <w:szCs w:val="29"/>
    </w:rPr>
  </w:style>
  <w:style w:type="paragraph" w:styleId="Heading4" w:default="0">
    <w:name w:val="heading 4"/>
    <w:basedOn w:val="Normal"/>
    <w:next w:val="Normal"/>
    <w:pPr>
      <w:keepNext/>
      <w:keepLines/>
      <w:spacing w:before="160" w:line="264" w:lineRule="auto"/>
      <w:outlineLvl w:val="3"/>
    </w:pPr>
    <w:rPr>
      <w:rFonts w:ascii="Arial" w:hAnsi="Arial"/>
      <w:b/>
      <w:sz w:val="22"/>
      <w:szCs w:val="22"/>
    </w:rPr>
  </w:style>
  <w:style w:type="paragraph" w:styleId="Heading5" w:default="0">
    <w:name w:val="heading 5"/>
    <w:basedOn w:val="Normal"/>
    <w:next w:val="Normal"/>
    <w:pPr>
      <w:keepNext/>
      <w:keepLines/>
      <w:spacing w:before="160" w:line="264" w:lineRule="auto"/>
      <w:outlineLvl w:val="4"/>
    </w:pPr>
    <w:rPr>
      <w:rFonts w:ascii="Arial" w:hAnsi="Arial"/>
      <w:b/>
      <w:sz w:val="22"/>
      <w:szCs w:val="22"/>
    </w:rPr>
  </w:style>
  <w:style w:type="paragraph" w:styleId="Heading6" w:default="0">
    <w:name w:val="heading 6"/>
    <w:basedOn w:val="Normal"/>
    <w:next w:val="Normal"/>
    <w:pPr>
      <w:keepNext/>
      <w:keepLines/>
      <w:spacing w:before="160" w:line="264" w:lineRule="auto"/>
      <w:outlineLvl w:val="5"/>
    </w:pPr>
    <w:rPr>
      <w:rFonts w:ascii="Arial" w:hAnsi="Arial"/>
      <w:b/>
      <w:sz w:val="22"/>
      <w:szCs w:val="22"/>
    </w:rPr>
  </w:style>
  <w:style w:type="paragraph" w:styleId="Quote" w:default="0">
    <w:name w:val="Quote"/>
    <w:basedOn w:val="Normal"/>
    <w:pPr>
      <w:ind w:left="320"/>
      <w:pBdr>
        <w:left w:val="single" w:sz="24" w:space="12" w:color="BFBFBF"/>
      </w:pBdr>
    </w:pPr>
    <w:rPr>
      <w:i/>
      <w:color w:val="595959"/>
    </w:rPr>
  </w:style>
  <w:style w:type="character" w:styleId="CkHighlight">
    <w:name w:val="Clarkdown Highlight"/>
    <w:rPr>
      <w:shd w:val="clear" w:fill="FFF2A8"/>
    </w:rPr>
  </w:style>
  <w:style w:type="character" w:styleId="CkSmallcaps">
    <w:name w:val="Clarkdown Smallcaps"/>
    <w:rPr>
      <w:smallCaps/>
    </w:rPr>
  </w:style>
  <w:style w:type="character" w:styleId="CkUnderline">
    <w:name w:val="Clarkdown Underline"/>
    <w:rPr>
      <w:u w:val="single"/>
    </w:rPr>
  </w:style>
  <w:style w:type="character" w:styleId="CkMuted">
    <w:name w:val="Clarkdown Muted"/>
    <w:rPr>
      <w:color w:val="595959"/>
    </w:rPr>
  </w:style>
  <w:style w:type="character" w:styleId="CkAccent">
    <w:name w:val="Clarkdown Accent"/>
    <w:rPr>
      <w:color w:val="1A1A1A"/>
    </w:rPr>
  </w:style>
  <w:style w:type="character" w:styleId="CkCaption">
    <w:name w:val="Clarkdown Caption"/>
    <w:rPr>
      <w:i/>
      <w:color w:val="595959"/>
      <w:sz w:val="20"/>
      <w:szCs w:val="20"/>
    </w:rPr>
  </w:style>
  <w:style w:type="paragraph" w:styleId="CkDisplay" w:default="0">
    <w:name w:val="Clarkdown Display"/>
    <w:basedOn w:val="Normal"/>
    <w:next w:val="Normal"/>
    <w:pPr>
      <w:keepNext/>
      <w:keepLines/>
      <w:spacing w:after="240" w:line="264" w:lineRule="auto"/>
    </w:pPr>
    <w:rPr>
      <w:rFonts w:ascii="Arial" w:hAnsi="Arial"/>
      <w:b/>
      <w:color w:val="1A1A1A"/>
      <w:sz w:val="132"/>
      <w:szCs w:val="132"/>
    </w:rPr>
  </w:style>
  <w:style w:type="character" w:styleId="CkKicker">
    <w:name w:val="Clarkdown Kicker"/>
    <w:rPr>
      <w:smallCaps/>
      <w:spacing w:val="18"/>
      <w:color w:val="595959"/>
    </w:rPr>
  </w:style>
  <w:style w:type="paragraph" w:styleId="CkTrackedCaps" w:default="0">
    <w:name w:val="Clarkdown Tracked Caps"/>
    <w:basedOn w:val="Normal"/>
    <w:next w:val="Normal"/>
    <w:rPr>
      <w:smallCaps/>
      <w:spacing w:val="18"/>
    </w:rPr>
  </w:style>
  <w:style w:type="paragraph" w:styleId="Title" w:default="0">
    <w:name w:val="Title"/>
    <w:basedOn w:val="Normal"/>
    <w:next w:val="Normal"/>
    <w:pPr>
      <w:keepNext/>
      <w:keepLines/>
      <w:spacing w:after="240" w:line="264" w:lineRule="auto"/>
    </w:pPr>
    <w:rPr>
      <w:rFonts w:ascii="Arial" w:hAnsi="Arial"/>
      <w:b/>
      <w:sz w:val="69"/>
      <w:szCs w:val="69"/>
    </w:rPr>
  </w:style>
  <w:style w:type="character" w:styleId="Hyperlink">
    <w:name w:val="Hyperlink"/>
    <w:rPr>
      <w:color w:val="1A1A1A"/>
      <w:u w:val="single"/>
    </w:rPr>
  </w:style>
  <w:style w:type="paragraph" w:styleId="CkCodeBlock" w:default="0">
    <w:name w:val="Clarkdown Code Block"/>
    <w:basedOn w:val="Normal"/>
    <w:pPr>
      <w:shd w:val="clear" w:fill="EDEDED"/>
      <w:spacing w:after="0" w:line="240" w:lineRule="auto"/>
    </w:pPr>
    <w:rPr>
      <w:rFonts w:ascii="Consolas" w:hAnsi="Consolas"/>
      <w:noProof/>
      <w:sz w:val="20"/>
    </w:rPr>
  </w:style>
  <w:style w:type="character" w:styleId="CkCode">
    <w:name w:val="Clarkdown Code"/>
    <w:rPr>
      <w:rFonts w:ascii="Consolas" w:hAnsi="Consolas"/>
      <w:shd w:val="clear" w:fill="EDEDED"/>
      <w:sz w:val="20"/>
    </w:rPr>
  </w:style>
  <w:style w:type="paragraph" w:styleId="Caption" w:default="0">
    <w:name w:val="caption"/>
    <w:basedOn w:val="Normal"/>
    <w:rPr>
      <w:i/>
      <w:sz w:val="17"/>
    </w:rPr>
  </w:style>
  <w:style w:type="paragraph" w:styleId="ListParagraph" w:default="0">
    <w:name w:val="List Paragraph"/>
    <w:basedOn w:val="Normal"/>
    <w:pPr>
      <w:ind w:left="320"/>
    </w:pPr>
  </w:style>
  <w:style w:type="paragraph" w:styleId="CkUnknown" w:default="0">
    <w:name w:val="Clarkdown Unknown"/>
    <w:basedOn w:val="Normal"/>
    <w:pPr>
      <w:shd w:val="clear" w:fill="FFEEEE"/>
    </w:pPr>
  </w:style>
  <w:style w:type="paragraph" w:styleId="FootnoteText" w:default="0">
    <w:name w:val="footnote text"/>
    <w:basedOn w:val="Normal"/>
    <w:rPr>
      <w:sz w:val="17"/>
    </w:rPr>
  </w:style>
  <w:style w:type="character" w:styleId="FootnoteReference">
    <w:name w:val="footnote reference"/>
    <w:rPr>
      <w:vertAlign w:val="superscript"/>
    </w:rPr>
  </w:style>
  <w:style w:type="table" w:styleId="CkTable">
    <w:name w:val="Clarkdown Table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styleId="CkLayout">
    <w:name w:val="Clarkdown Layout"/>
    <w:tblPr>
      <w:tblBorders>
        <w:top w:val="none"/>
        <w:left w:val="none"/>
        <w:bottom w:val="none"/>
        <w:right w:val="none"/>
        <w:insideH w:val="none"/>
        <w:insideV w:val="none"/>
      </w:tblBorders>
    </w:tblPr>
  </w:style>
  <w:style w:type="paragraph" w:styleId="CkNote" w:default="0">
    <w:name w:val="Clarkdown Note"/>
    <w:basedOn w:val="Normal"/>
    <w:pPr>
      <w:pBdr>
        <w:left w:val="single" w:sz="24" w:space="8" w:color="2F6FEB"/>
      </w:pBdr>
      <w:ind w:left="240"/>
    </w:pPr>
  </w:style>
  <w:style w:type="paragraph" w:styleId="CkTip" w:default="0">
    <w:name w:val="Clarkdown Tip"/>
    <w:basedOn w:val="Normal"/>
    <w:pPr>
      <w:pBdr>
        <w:left w:val="single" w:sz="24" w:space="8" w:color="1A7F37"/>
      </w:pBdr>
      <w:ind w:left="240"/>
    </w:pPr>
  </w:style>
  <w:style w:type="paragraph" w:styleId="CkWarning" w:default="0">
    <w:name w:val="Clarkdown Warning"/>
    <w:basedOn w:val="Normal"/>
    <w:pPr>
      <w:pBdr>
        <w:left w:val="single" w:sz="24" w:space="8" w:color="9A6700"/>
      </w:pBdr>
      <w:ind w:left="240"/>
    </w:pPr>
  </w:style>
  <w:style w:type="paragraph" w:styleId="CkImportant" w:default="0">
    <w:name w:val="Clarkdown Important"/>
    <w:basedOn w:val="Normal"/>
    <w:pPr>
      <w:pBdr>
        <w:left w:val="single" w:sz="24" w:space="8" w:color="8250DF"/>
      </w:pBdr>
      <w:ind w:left="240"/>
    </w:pPr>
  </w:style>
  <w:style w:type="paragraph" w:styleId="CkCaution" w:default="0">
    <w:name w:val="Clarkdown Caution"/>
    <w:basedOn w:val="Normal"/>
    <w:pPr>
      <w:pBdr>
        <w:left w:val="single" w:sz="24" w:space="8" w:color="CF222E"/>
      </w:pBdr>
      <w:ind w:left="24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nts" Type="http://schemas.openxmlformats.org/officeDocument/2006/relationships/fontTable" Target="fontTable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rkdownFrontMatter">
    <vt:lpwstr>{"kv":{"theme":"swiss"},"v":1}</vt:lpwstr>
  </property>
</Properties>
</file>