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E87E4" w14:textId="77777777" w:rsidR="00AF1A9D" w:rsidRDefault="00AF1A9D">
      <w:pPr>
        <w:spacing w:after="100"/>
        <w:jc w:val="center"/>
        <w:rPr>
          <w:b/>
          <w:bCs/>
          <w:sz w:val="32"/>
          <w:szCs w:val="32"/>
        </w:rPr>
      </w:pPr>
    </w:p>
    <w:p w14:paraId="07EB9232" w14:textId="5702FADB" w:rsidR="007F6D9A" w:rsidRDefault="00AF1A9D">
      <w:pPr>
        <w:spacing w:after="100"/>
        <w:jc w:val="center"/>
        <w:rPr>
          <w:b/>
          <w:bCs/>
          <w:sz w:val="32"/>
          <w:szCs w:val="32"/>
        </w:rPr>
      </w:pPr>
      <w:r>
        <w:rPr>
          <w:b/>
          <w:bCs/>
          <w:sz w:val="32"/>
          <w:szCs w:val="32"/>
        </w:rPr>
        <w:t>Previsão de Produtividade da Soja com Machine Learning: Abordagem Orientada por Variáveis Climáticas e Agrícolas</w:t>
      </w:r>
    </w:p>
    <w:p w14:paraId="615D6545" w14:textId="77777777" w:rsidR="00AF1A9D" w:rsidRDefault="00AF1A9D">
      <w:pPr>
        <w:spacing w:after="100"/>
        <w:jc w:val="center"/>
        <w:rPr>
          <w:b/>
          <w:bCs/>
          <w:sz w:val="24"/>
          <w:szCs w:val="24"/>
        </w:rPr>
      </w:pPr>
    </w:p>
    <w:p w14:paraId="33A2CA99" w14:textId="6EA69694" w:rsidR="00137179" w:rsidRDefault="00000000">
      <w:pPr>
        <w:spacing w:after="100"/>
        <w:jc w:val="center"/>
      </w:pPr>
    </w:p>
    <w:p w14:paraId="07432228" w14:textId="77777777" w:rsidR="00137179" w:rsidRDefault="00000000">
      <w:pPr>
        <w:spacing w:after="200"/>
        <w:jc w:val="center"/>
      </w:pPr>
    </w:p>
    <w:p w14:paraId="1374FD09" w14:textId="77777777" w:rsidR="007F6D9A" w:rsidRDefault="007F6D9A">
      <w:pPr>
        <w:spacing w:after="40"/>
        <w:jc w:val="center"/>
        <w:rPr>
          <w:i/>
          <w:iCs/>
          <w:sz w:val="22"/>
          <w:szCs w:val="22"/>
        </w:rPr>
      </w:pPr>
    </w:p>
    <w:p w14:paraId="6F8F7C75" w14:textId="77777777" w:rsidR="007F6D9A" w:rsidRDefault="007F6D9A">
      <w:pPr>
        <w:spacing w:after="40"/>
        <w:jc w:val="center"/>
        <w:rPr>
          <w:i/>
          <w:iCs/>
          <w:sz w:val="22"/>
          <w:szCs w:val="22"/>
        </w:rPr>
      </w:pPr>
    </w:p>
    <w:p w14:paraId="35821274" w14:textId="0A1C0243" w:rsidR="00137179" w:rsidRDefault="00000000">
      <w:pPr>
        <w:spacing w:after="40"/>
        <w:jc w:val="center"/>
      </w:pPr>
      <w:r>
        <w:rPr>
          <w:i/>
          <w:iCs/>
          <w:sz w:val="22"/>
          <w:szCs w:val="22"/>
        </w:rPr>
        <w:t xml:space="preserve">Faculdade de Computação e Informática (FCI)</w:t>
      </w:r>
    </w:p>
    <w:p w14:paraId="5A0AAF46" w14:textId="77777777" w:rsidR="00137179" w:rsidRDefault="00000000">
      <w:pPr>
        <w:spacing w:after="200"/>
        <w:jc w:val="center"/>
      </w:pPr>
      <w:r>
        <w:rPr>
          <w:i/>
          <w:iCs/>
          <w:sz w:val="22"/>
          <w:szCs w:val="22"/>
        </w:rPr>
        <w:t>Universidade Presbiteriana Mackenzie – São Paulo, SP – Brasil</w:t>
      </w:r>
    </w:p>
    <w:p w14:paraId="3D4A61BA" w14:textId="77777777" w:rsidR="00137179" w:rsidRDefault="00000000">
      <w:pPr>
        <w:spacing w:after="300"/>
        <w:jc w:val="center"/>
      </w:pPr>
      <w:r>
        <w:rPr>
          <w:sz w:val="22"/>
          <w:szCs w:val="22"/>
        </w:rPr>
        <w:t>2026</w:t>
      </w:r>
    </w:p>
    <w:p w14:paraId="753F4951" w14:textId="77777777" w:rsidR="007F6D9A" w:rsidRDefault="007F6D9A">
      <w:pPr>
        <w:spacing w:after="160"/>
        <w:jc w:val="center"/>
        <w:rPr>
          <w:b/>
          <w:bCs/>
          <w:sz w:val="26"/>
          <w:szCs w:val="26"/>
        </w:rPr>
      </w:pPr>
    </w:p>
    <w:p w14:paraId="6B2DEFC1" w14:textId="77777777" w:rsidR="007F6D9A" w:rsidRDefault="007F6D9A">
      <w:pPr>
        <w:spacing w:after="160"/>
        <w:jc w:val="center"/>
        <w:rPr>
          <w:b/>
          <w:bCs/>
          <w:sz w:val="26"/>
          <w:szCs w:val="26"/>
        </w:rPr>
      </w:pPr>
    </w:p>
    <w:p w14:paraId="6993DEF4" w14:textId="17EC9C1E" w:rsidR="00137179" w:rsidRDefault="00000000">
      <w:pPr>
        <w:keepNext/>
        <w:spacing w:after="160"/>
        <w:jc w:val="center"/>
      </w:pPr>
      <w:r>
        <w:rPr>
          <w:b/>
          <w:bCs/>
          <w:sz w:val="26"/>
          <w:szCs w:val="26"/>
        </w:rPr>
        <w:t>Resumo</w:t>
      </w:r>
    </w:p>
    <w:p w14:paraId="68DD344B" w14:textId="77777777" w:rsidR="00137179" w:rsidRDefault="00000000">
      <w:pPr>
        <w:spacing w:after="200" w:line="276" w:lineRule="auto"/>
        <w:jc w:val="both"/>
      </w:pPr>
      <w:r>
        <w:rPr>
          <w:b/>
          <w:bCs/>
          <w:i/>
          <w:iCs/>
          <w:sz w:val="22"/>
          <w:szCs w:val="22"/>
        </w:rPr>
        <w:t xml:space="preserve">Resumo.  </w:t>
      </w:r>
      <w:r>
        <w:rPr>
          <w:i/>
          <w:iCs/>
          <w:sz w:val="22"/>
          <w:szCs w:val="22"/>
        </w:rPr>
        <w:t xml:space="preserve">O Rio Grande do Sul apresenta elevada variabilidade interanual na produtividade da soja, em grande parte causada por secas de verão. Este trabalho, na opção Framework, desenvolve e avalia uma abordagem de aprendizado de máquina para prever a produtividade municipal da soja no estado a partir de dados públicos: a Tabela 1612 do IBGE/SIDRA (municípios do RS, 2000–2025), dados diários das estações do INMET e o Oceanic Niño Index (ONI) da NOAA. O clima foi agregado por subperíodo do ciclo da cultura e complementado por um balanço hídrico diário (evapotranspiração de Hargreaves–Samani e modelo de balde). Cada previsão combina um patamar esperado – a média do município nas cinco safras anteriores – com um desvio explicado pelo clima, usando apenas informações disponíveis ao fim de março. Regressão Linear, Random Forest e Gradient Boosting foram comparados com duas linhas de base históricas, em validação com corte temporal (teste 2021–2025) e deixando uma safra de fora. O melhor modelo, uma regressão linear com déficit hídrico e limiares de seca extrema, reduziu o RMSE em 14% e 22% em relação à média histórica do município (740 e 684 kg/ha; R</w:t>
      </w:r>
      <w:r>
        <w:rPr>
          <w:i/>
          <w:iCs/>
          <w:sz w:val="22"/>
          <w:szCs w:val="22"/>
          <w:vertAlign w:val="superscript"/>
        </w:rPr>
        <w:t xml:space="preserve">2</w:t>
      </w:r>
      <w:r>
        <w:rPr>
          <w:i/>
          <w:iCs/>
          <w:sz w:val="22"/>
          <w:szCs w:val="22"/>
        </w:rPr>
        <w:t xml:space="preserve"> de 0,31 e 0,26) e superou os modelos baseados em árvores. A chuva e a umidade relativa mínima de dezembro a fevereiro e o déficit hídrico foram os fatores dominantes, com perdas que se aceleram acima de um déficit de cerca de 243 mm. O modelo antecipou as secas de 2012 e 2023, mas não a de 2020, que não aparece nos dados das estações. Como aplicação, o rendimento esperado foi combinado com as tabelas da Embrapa/CQFS-RS/SC para gerar recomendações de adubação fosfatada e potássica por classe de teor do solo para a safra 2026.</w:t>
      </w:r>
    </w:p>
    <w:p w14:paraId="092C128B" w14:textId="77777777" w:rsidR="00137179" w:rsidRDefault="00000000">
      <w:pPr>
        <w:spacing w:after="300" w:line="276" w:lineRule="auto"/>
        <w:jc w:val="both"/>
      </w:pPr>
      <w:r>
        <w:rPr>
          <w:b/>
          <w:bCs/>
          <w:sz w:val="22"/>
          <w:szCs w:val="22"/>
        </w:rPr>
        <w:t xml:space="preserve">Palavras-chave: </w:t>
      </w:r>
      <w:r>
        <w:rPr>
          <w:sz w:val="22"/>
          <w:szCs w:val="22"/>
        </w:rPr>
        <w:t xml:space="preserve">soja; previsão de produtividade; aprendizado de máquina; balanço hídrico; adubação.</w:t>
      </w:r>
    </w:p>
    <w:p w14:paraId="1CC4B9A7" w14:textId="77777777" w:rsidR="007F6D9A" w:rsidRDefault="007F6D9A">
      <w:pPr>
        <w:spacing w:after="160"/>
        <w:jc w:val="center"/>
        <w:rPr>
          <w:b/>
          <w:bCs/>
          <w:sz w:val="26"/>
          <w:szCs w:val="26"/>
        </w:rPr>
      </w:pPr>
    </w:p>
    <w:p w14:paraId="5C158857" w14:textId="77777777" w:rsidR="007F6D9A" w:rsidRDefault="007F6D9A" w:rsidP="00AE3C56">
      <w:pPr>
        <w:spacing w:after="160"/>
        <w:rPr>
          <w:b/>
          <w:bCs/>
          <w:sz w:val="26"/>
          <w:szCs w:val="26"/>
        </w:rPr>
      </w:pPr>
    </w:p>
    <w:p w14:paraId="7AD0042F" w14:textId="24368EEB" w:rsidR="00137179" w:rsidRDefault="00000000">
      <w:pPr>
        <w:keepNext/>
        <w:spacing w:after="160"/>
        <w:jc w:val="center"/>
      </w:pPr>
      <w:r>
        <w:rPr>
          <w:b/>
          <w:bCs/>
          <w:sz w:val="26"/>
          <w:szCs w:val="26"/>
        </w:rPr>
        <w:lastRenderedPageBreak/>
        <w:t>Abstract</w:t>
      </w:r>
    </w:p>
    <w:p w14:paraId="193D66ED" w14:textId="77777777" w:rsidR="00137179" w:rsidRDefault="00000000">
      <w:pPr>
        <w:spacing w:after="200" w:line="276" w:lineRule="auto"/>
        <w:jc w:val="both"/>
      </w:pPr>
      <w:r>
        <w:rPr>
          <w:b/>
          <w:bCs/>
          <w:i/>
          <w:iCs/>
          <w:sz w:val="22"/>
          <w:szCs w:val="22"/>
        </w:rPr>
        <w:t xml:space="preserve">Abstract.  </w:t>
      </w:r>
      <w:r>
        <w:rPr>
          <w:i/>
          <w:iCs/>
          <w:sz w:val="22"/>
          <w:szCs w:val="22"/>
        </w:rPr>
        <w:t xml:space="preserve">Rio Grande do Sul shows substantial year-to-year variability in soybean yield, largely driven by summer droughts. This work, under the Framework option, develops and evaluates a machine learning approach to forecast municipal soybean yield in the state from public data: IBGE/SIDRA Table 1612 (RS municipalities, 2000–2025), daily INMET weather station data and NOAA's Oceanic Niño Index (ONI). Climate was aggregated by crop development sub-period and complemented by a daily soil water balance (Hargreaves–Samani evapotranspiration and a bucket model). Each forecast combines an expected yield level – the municipality's mean over the five previous seasons – with a climate-driven deviation, using only information available by the end of March. Linear Regression, Random Forest and Gradient Boosting were compared against two historical baselines under a temporal split (test 2021–2025) and leave-one-season-out validation. The best model, a linear regression with water deficit and extreme-drought thresholds, reduced RMSE by 14% and 22% relative to the municipal historical mean (740 and 684 kg/ha; R</w:t>
      </w:r>
      <w:r>
        <w:rPr>
          <w:i/>
          <w:iCs/>
          <w:sz w:val="22"/>
          <w:szCs w:val="22"/>
          <w:vertAlign w:val="superscript"/>
        </w:rPr>
        <w:t xml:space="preserve">2</w:t>
      </w:r>
      <w:r>
        <w:rPr>
          <w:i/>
          <w:iCs/>
          <w:sz w:val="22"/>
          <w:szCs w:val="22"/>
        </w:rPr>
        <w:t xml:space="preserve"> of 0.31 and 0.26) and outperformed the tree-based models. December–February rainfall, minimum relative humidity and water deficit were the dominant factors, with losses accelerating beyond a deficit of about 243 mm. The model anticipated the 2012 and 2023 droughts but not the 2020 one, which was not visible in station data. As an application, expected yields were combined with Embrapa/CQFS-RS/SC tables to produce phosphate and potassium fertilization recommendations by soil-test class for the 2026 season.</w:t>
      </w:r>
    </w:p>
    <w:p w14:paraId="63A262A5" w14:textId="77777777" w:rsidR="00137179" w:rsidRDefault="00000000">
      <w:pPr>
        <w:spacing w:after="200" w:line="276" w:lineRule="auto"/>
        <w:jc w:val="both"/>
      </w:pPr>
      <w:r>
        <w:rPr>
          <w:b/>
          <w:bCs/>
          <w:sz w:val="22"/>
          <w:szCs w:val="22"/>
        </w:rPr>
        <w:t xml:space="preserve">Keywords: </w:t>
      </w:r>
      <w:r>
        <w:rPr>
          <w:sz w:val="22"/>
          <w:szCs w:val="22"/>
        </w:rPr>
        <w:t xml:space="preserve">soybean; crop yield forecasting; machine learning; water balance; fertilization.</w:t>
      </w:r>
    </w:p>
    <w:p>
      <w:pPr>
        <w:keepNext/>
      </w:pPr>
      <w:r>
        <w:rPr>
          <w:b/>
          <w:bCs/>
          <w:sz w:val="28"/>
          <w:szCs w:val="28"/>
        </w:rPr>
        <w:t>1. Introdução</w:t>
      </w:r>
    </w:p>
    <w:p>
      <w:pPr>
        <w:keepNext/>
        <w:spacing w:before="280" w:after="160"/>
      </w:pPr>
      <w:r>
        <w:rPr>
          <w:b/>
          <w:bCs/>
          <w:sz w:val="24"/>
          <w:szCs w:val="24"/>
        </w:rPr>
        <w:t>1.1 Contextualização</w:t>
      </w:r>
    </w:p>
    <w:p>
      <w:pPr>
        <w:spacing w:after="200" w:line="276" w:lineRule="auto"/>
        <w:ind w:firstLine="720"/>
        <w:jc w:val="both"/>
      </w:pPr>
      <w:r>
        <w:rPr>
          <w:sz w:val="24"/>
          <w:szCs w:val="24"/>
        </w:rPr>
        <w:t xml:space="preserve">A soja é uma das principais commodities do agronegócio brasileiro, e o Rio Grande do Sul é um dos estados mais expressivos nessa cultura. A produtividade varia significativamente entre municípios e safras, condicionada pela interação entre regime de chuvas, temperatura, ocorrência de veranicos, fenômenos climáticos de larga escala (El Niño/La Niña) e práticas de manejo do solo – em especial a adubação fosfatada, relevante para os solos ácidos e historicamente pobres em fósforo do RS. A Pesquisa Agrícola Municipal (PAM) do IBGE, disponibilizada pela Tabela 1612 do SIDRA, oferece uma série histórica municipal de rendimento, área e produção desde 1974, o que permite trabalhar com uma amostra ampla (muitos municípios × muitas safras) mantendo uma única granularidade geográfica – o município – dentro de um único estado.</w:t>
      </w:r>
    </w:p>
    <w:p>
      <w:pPr>
        <w:keepNext/>
        <w:spacing w:before="280" w:after="160"/>
      </w:pPr>
      <w:r>
        <w:rPr>
          <w:b/>
          <w:bCs/>
          <w:sz w:val="24"/>
          <w:szCs w:val="24"/>
        </w:rPr>
        <w:t>1.2 Justificativa</w:t>
      </w:r>
    </w:p>
    <w:p>
      <w:pPr>
        <w:spacing w:after="200" w:line="276" w:lineRule="auto"/>
        <w:ind w:firstLine="720"/>
        <w:jc w:val="both"/>
      </w:pPr>
      <w:r>
        <w:rPr>
          <w:sz w:val="24"/>
          <w:szCs w:val="24"/>
        </w:rPr>
        <w:t xml:space="preserve">Modelos de Machine Learning como Random Forest e Gradient Boosting são candidatos naturais a este problema, porque podem capturar relações não lineares entre clima e produtividade que projeções estatísticas lineares tradicionais não representam – hipótese que este trabalho testa contra uma regressão linear. Complementar o histórico produtivo com o clima observado durante a safra e com o ONI permite testar se informações conhecidas </w:t>
      </w:r>
      <w:r>
        <w:rPr>
          <w:i/>
          <w:iCs/>
          <w:sz w:val="24"/>
          <w:szCs w:val="24"/>
        </w:rPr>
        <w:t xml:space="preserve">antes</w:t>
      </w:r>
      <w:r>
        <w:rPr>
          <w:sz w:val="24"/>
          <w:szCs w:val="24"/>
        </w:rPr>
        <w:t xml:space="preserve"> do fim da safra carregam sinal preditivo útil – e não apenas reproduzir, a posteriori, o que já é sabido pela própria série de rendimento. Estimativas antecipadas e municipais de produtividade podem apoiar o planejamento de cooperativas, produtores e órgãos públicos, sinalizando com maior granularidade geográfica municípios sob risco de rendimento abaixo da referência histórica – sem pretender substituir avaliações agronômicas locais nem prever o resultado de uma propriedade específica; o objetivo é um indicador regional, transparente e reprodutível, construído inteiramente a partir de dados públicos.</w:t>
      </w:r>
    </w:p>
    <w:p>
      <w:pPr>
        <w:keepNext/>
        <w:spacing w:before="280" w:after="160"/>
      </w:pPr>
      <w:r>
        <w:rPr>
          <w:b/>
          <w:bCs/>
          <w:sz w:val="24"/>
          <w:szCs w:val="24"/>
        </w:rPr>
        <w:t>1.3 Objetivo</w:t>
      </w:r>
    </w:p>
    <w:p>
      <w:pPr>
        <w:spacing w:after="200" w:line="276" w:lineRule="auto"/>
        <w:ind w:firstLine="720"/>
        <w:jc w:val="both"/>
      </w:pPr>
      <w:r>
        <w:rPr>
          <w:sz w:val="24"/>
          <w:szCs w:val="24"/>
        </w:rPr>
        <w:t xml:space="preserve">O objetivo geral é desenvolver e avaliar uma abordagem de aprendizado de máquina supervisionado capaz de prever a produtividade da soja (kg/ha) por município do Rio Grande do Sul e por safra, a partir do histórico produtivo do município, de variáveis climáticas observadas e do sinal ENOS (ONI), comparando o desempenho dos modelos contra linhas de base históricas simples, e aplicar a previsão à recomendação de adubação fosfatada e potássica.</w:t>
      </w:r>
    </w:p>
    <w:p>
      <w:pPr>
        <w:spacing w:after="200" w:line="276" w:lineRule="auto"/>
        <w:ind w:firstLine="720"/>
        <w:jc w:val="both"/>
      </w:pPr>
      <w:r>
        <w:rPr>
          <w:sz w:val="24"/>
          <w:szCs w:val="24"/>
        </w:rPr>
        <w:t xml:space="preserve">Como objetivos específicos, pretende-se:</w:t>
      </w:r>
    </w:p>
    <w:p>
      <w:pPr>
        <w:pStyle w:val="PargrafodaLista"/>
        <w:numPr>
          <w:ilvl w:val="0"/>
          <w:numId w:val="2"/>
        </w:numPr>
        <w:spacing w:after="120" w:line="276" w:lineRule="auto"/>
        <w:jc w:val="both"/>
      </w:pPr>
      <w:r>
        <w:rPr>
          <w:sz w:val="24"/>
          <w:szCs w:val="24"/>
        </w:rPr>
        <w:t xml:space="preserve">consolidar uma base analítica integrada em nível município–safra, cobrindo os municípios do RS e as safras disponíveis na Tabela 1612 do IBGE/SIDRA (2000–2025);</w:t>
      </w:r>
    </w:p>
    <w:p>
      <w:pPr>
        <w:pStyle w:val="PargrafodaLista"/>
        <w:numPr>
          <w:ilvl w:val="0"/>
          <w:numId w:val="2"/>
        </w:numPr>
        <w:spacing w:after="120" w:line="276" w:lineRule="auto"/>
        <w:jc w:val="both"/>
      </w:pPr>
      <w:r>
        <w:rPr>
          <w:sz w:val="24"/>
          <w:szCs w:val="24"/>
        </w:rPr>
        <w:t xml:space="preserve">construir atributos climáticos por subperíodo do ciclo da soja e de balanço hídrico a partir dos dados diários do INMET, além do ONI por safra;</w:t>
      </w:r>
    </w:p>
    <w:p>
      <w:pPr>
        <w:pStyle w:val="PargrafodaLista"/>
        <w:numPr>
          <w:ilvl w:val="0"/>
          <w:numId w:val="2"/>
        </w:numPr>
        <w:spacing w:after="120" w:line="276" w:lineRule="auto"/>
        <w:jc w:val="both"/>
      </w:pPr>
      <w:r>
        <w:rPr>
          <w:sz w:val="24"/>
          <w:szCs w:val="24"/>
        </w:rPr>
        <w:t xml:space="preserve">treinar e comparar Regressão Linear, Random Forest e Gradient Boosting contra linhas de base históricas (média histórica do município e rendimento da safra anterior), com validação temporal e deixando uma safra de fora;</w:t>
      </w:r>
    </w:p>
    <w:p>
      <w:pPr>
        <w:pStyle w:val="PargrafodaLista"/>
        <w:numPr>
          <w:ilvl w:val="0"/>
          <w:numId w:val="2"/>
        </w:numPr>
        <w:spacing w:after="120" w:line="276" w:lineRule="auto"/>
        <w:jc w:val="both"/>
      </w:pPr>
      <w:r>
        <w:rPr>
          <w:sz w:val="24"/>
          <w:szCs w:val="24"/>
        </w:rPr>
        <w:t xml:space="preserve">identificar os fatores climáticos mais influentes sobre a produtividade, pelos coeficientes do modelo e pela decomposição das previsões em contribuições por variável (equivalente ao SHAP);</w:t>
      </w:r>
    </w:p>
    <w:p>
      <w:pPr>
        <w:pStyle w:val="PargrafodaLista"/>
        <w:numPr>
          <w:ilvl w:val="0"/>
          <w:numId w:val="2"/>
        </w:numPr>
        <w:spacing w:after="120" w:line="276" w:lineRule="auto"/>
        <w:jc w:val="both"/>
      </w:pPr>
      <w:r>
        <w:rPr>
          <w:sz w:val="24"/>
          <w:szCs w:val="24"/>
        </w:rPr>
        <w:t xml:space="preserve">combinar o rendimento esperado com as recomendações agronômicas da Embrapa/CQFS-RS/SC para gerar a dose de adubação fosfatada e potássica por classe de teor do solo.</w:t>
      </w:r>
    </w:p>
    <w:p>
      <w:pPr>
        <w:keepNext/>
        <w:spacing w:before="280" w:after="160"/>
      </w:pPr>
      <w:r>
        <w:rPr>
          <w:b/>
          <w:bCs/>
          <w:sz w:val="24"/>
          <w:szCs w:val="24"/>
        </w:rPr>
        <w:t>1.4 Opção do projeto</w:t>
      </w:r>
    </w:p>
    <w:p>
      <w:pPr>
        <w:spacing w:after="200" w:line="276" w:lineRule="auto"/>
        <w:ind w:firstLine="720"/>
        <w:jc w:val="both"/>
      </w:pPr>
      <w:r>
        <w:rPr>
          <w:sz w:val="24"/>
          <w:szCs w:val="24"/>
        </w:rPr>
        <w:t xml:space="preserve">A opção escolhida é Framework. A solução foi implementada em Python, utilizando bibliotecas de ciência de dados e aprendizado de máquina, com destaque para pandas e NumPy no tratamento dos dados, Matplotlib na análise exploratória e scikit-learn (Pedregosa et al., 2011) na preparação, treinamento e avaliação dos modelos (Regressão Linear, Random Forest e Gradient Boosting) e SciPy nos testes estatísticos dos coeficientes. A interpretabilidade foi obtida pelos coeficientes do modelo linear e pela decomposição de cada previsão em contribuições por variável, que para modelos lineares coincide com os valores SHAP (Lundberg e Lee, 2017). O problema é tratado como regressão supervisionada, já que a variável-alvo é a produtividade em kg/ha.</w:t>
      </w:r>
    </w:p>
    <w:p>
      <w:pPr>
        <w:keepNext/>
      </w:pPr>
      <w:r>
        <w:rPr>
          <w:b/>
          <w:bCs/>
          <w:sz w:val="28"/>
          <w:szCs w:val="28"/>
        </w:rPr>
        <w:t>2. Descrição do Problema</w:t>
      </w:r>
    </w:p>
    <w:p>
      <w:pPr>
        <w:spacing w:after="200" w:line="276" w:lineRule="auto"/>
        <w:ind w:firstLine="720"/>
        <w:jc w:val="both"/>
      </w:pPr>
      <w:r>
        <w:rPr>
          <w:sz w:val="24"/>
          <w:szCs w:val="24"/>
        </w:rPr>
        <w:t xml:space="preserve">O problema consiste em estimar a produtividade da soja para cada combinação município–safra no Rio Grande do Sul a partir de informações climáticas associadas àquela safra. A variável-alvo é o rendimento médio municipal da soja, expresso em kg/ha; as variáveis explicativas são formadas pelo histórico produtivo do município (patamar esperado), por variáveis climáticas por subperíodo do ciclo e de balanço hídrico (INMET) e pelo estado do ENOS (índice ONI). Os dados nunca são divididos de forma aleatória, para evitar vazamento de informação futura: o patamar de cada safra usa apenas safras anteriores, e os modelos são avaliados com corte temporal (treino com safras mais antigas, teste com as mais recentes) e deixando uma safra de fora. Os hiperparâmetros dos modelos de árvores foram fixados a priori, sem ajuste fino, para que as safras de teste não influenciem a escolha do modelo. Optou-se por tratar o problema como uma regressão em painel (municípios empilhados, com o patamar histórico do município como referência) em vez de um modelo de série temporal clássico por município, porque a série de cada município cobre cerca de 26 safras (2000–2025) – abaixo do mínimo prático para ajustar um ARIMA ou uma rede recorrente de forma confiável, agravado pela criação de novos municípios por desmembramento ao longo do período.</w:t>
      </w:r>
    </w:p>
    <w:p>
      <w:pPr>
        <w:spacing w:after="200" w:line="276" w:lineRule="auto"/>
        <w:ind w:firstLine="720"/>
        <w:jc w:val="both"/>
      </w:pPr>
      <w:r>
        <w:rPr>
          <w:sz w:val="24"/>
          <w:szCs w:val="24"/>
        </w:rPr>
        <w:t xml:space="preserve">O problema é formulado como regressão supervisionada. Foram comparados três modelos: Regressão Linear, interpretável; Random Forest (Breiman, 2001), um ensemble de árvores de decisão por </w:t>
      </w:r>
      <w:r>
        <w:rPr>
          <w:i/>
          <w:iCs/>
          <w:sz w:val="24"/>
          <w:szCs w:val="24"/>
        </w:rPr>
        <w:t xml:space="preserve">bagging</w:t>
      </w:r>
      <w:r>
        <w:rPr>
          <w:sz w:val="24"/>
          <w:szCs w:val="24"/>
        </w:rPr>
        <w:t xml:space="preserve">, adequado para capturar interações não lineares entre variáveis climáticas; e Gradient Boosting (Friedman, 2001), que constrói árvores sequencialmente para corrigir os erros residuais do conjunto anterior, geralmente com bom desempenho em dados tabulares. Para interpretar as previsões foi usado o conceito de SHAP (SHapley Additive exPlanations), técnica de Inteligência Artificial Explicável (XAI) que atribui a cada variável uma contribuição para a previsão individual. Como o melhor modelo é linear, os valores SHAP têm forma exata – coeficiente × (valor da variável − sua média) (Lundberg e Lee, 2017) –, permitindo identificar quais fatores climáticos mais pesam em cada safra.</w:t>
      </w:r>
    </w:p>
    <w:p>
      <w:pPr>
        <w:spacing w:after="200" w:line="276" w:lineRule="auto"/>
        <w:ind w:firstLine="720"/>
        <w:jc w:val="both"/>
      </w:pPr>
      <w:r>
        <w:rPr>
          <w:sz w:val="24"/>
          <w:szCs w:val="24"/>
        </w:rPr>
        <w:t xml:space="preserve">Diversos estudos aplicam aprendizado de máquina à previsão de produtividade agrícola. Jeong et al. (2016) mostraram que Random Forest supera modelos de regressão múltipla na previsão de produtividade de grãos em múltiplas regiões do mundo. Van Klompenburg, Kassahun e Catal (2020), em revisão sistemática, identificam Random Forest e redes neurais como os algoritmos mais utilizados para previsão de safra, destacando a importância de variáveis climáticas e a necessidade de validação temporal para evitar vazamento de dados. Especificamente para a soja no Sul do Brasil, Pilau et al. (2022) e Nóia Júnior et al. (2020) documentam efeito negativo consistente da fase fria do ENOS (La Niña) sobre a produtividade da soja no Rio Grande do Sul, o que justifica a inclusão do ONI como atributo. Von Bloh et al. (2023) comparam modelos de machine learning para previsão de produtividade de soja no Brasil e reforçam a vantagem de modelos baseados em árvores frente a baselines lineares quando há relações não lineares entre clima e rendimento. Este trabalho testa essa vantagem num cenário de dados limitados (cerca de 5 mil pares município–safra), com o patamar de produtividade calculado apenas com safras anteriores, e liga a previsão municipal a uma aplicação prática: a recomendação de adubação fosfatada e potássica.</w:t>
      </w:r>
    </w:p>
    <w:p>
      <w:pPr>
        <w:keepNext/>
      </w:pPr>
      <w:r>
        <w:rPr>
          <w:b/>
          <w:bCs/>
          <w:sz w:val="28"/>
          <w:szCs w:val="28"/>
        </w:rPr>
        <w:t>3. Aspectos Éticos do Uso da IA e Responsabilidade</w:t>
      </w:r>
    </w:p>
    <w:p>
      <w:pPr>
        <w:spacing w:after="200" w:line="276" w:lineRule="auto"/>
        <w:ind w:firstLine="720"/>
        <w:jc w:val="both"/>
      </w:pPr>
      <w:r>
        <w:rPr>
          <w:sz w:val="24"/>
          <w:szCs w:val="24"/>
        </w:rPr>
        <w:t xml:space="preserve">O projeto utiliza exclusivamente dados públicos e agregados em nível municipal, sem dados pessoais ou identificação de indivíduos, o que o mantém aderente à LGPD e dispensa submissão a Comitê de Ética. O principal risco ético está na interpretação do indicador: ele não deve ser tomado como recomendação automática de crédito, seguro ou decisão de plantio, e decisões com impacto econômico devem continuar envolvendo avaliação agronômica humana. Municípios com séries curtas ou estações meteorológicas com falhas podem apresentar desempenho inferior do modelo – essa limitação está documentada, assim como a natureza normativa (e não observacional) dos dados de adubação usados, já que não existe base pública do volume efetivamente aplicado por produtor. Pelo mesmo motivo, a recomendação de adubação gerada pelo modelo é apresentada por classe de teor do solo, para ser confrontada com a análise de solo de cada lavoura, e não como dose automática por município. Código, versões das bases e parâmetros dos modelos estão versionados no GitHub do projeto para permitir auditoria e reprodução.</w:t>
      </w:r>
    </w:p>
    <w:p>
      <w:pPr>
        <w:keepNext/>
      </w:pPr>
      <w:r>
        <w:rPr>
          <w:b/>
          <w:bCs/>
          <w:sz w:val="28"/>
          <w:szCs w:val="28"/>
        </w:rPr>
        <w:t>4. Dataset, Análise Exploratória e Preparação dos Dados</w:t>
      </w:r>
    </w:p>
    <w:p>
      <w:pPr>
        <w:keepNext/>
        <w:spacing w:before="280" w:after="160"/>
      </w:pPr>
      <w:r>
        <w:rPr>
          <w:b/>
          <w:bCs/>
          <w:sz w:val="24"/>
          <w:szCs w:val="24"/>
        </w:rPr>
        <w:t>4.1 Origem e conteúdo das bases</w:t>
      </w:r>
    </w:p>
    <w:p>
      <w:pPr>
        <w:spacing w:after="200" w:line="276" w:lineRule="auto"/>
        <w:ind w:firstLine="720"/>
        <w:jc w:val="both"/>
      </w:pPr>
      <w:r>
        <w:rPr>
          <w:sz w:val="24"/>
          <w:szCs w:val="24"/>
        </w:rPr>
        <w:t xml:space="preserve">Os dados foram capturados pelo grupo em fontes públicas e oficiais. A unidade final da base é município–safra, de modo que cada linha representa um município do Rio Grande do Sul em uma safra. A Tabela 1 apresenta as fontes utilizadas e a função de cada conjunto de dados no projeto.</w:t>
      </w:r>
    </w:p>
    <w:tbl>
      <w:tblPr>
        <w:tblW w:w="850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300"/>
        <w:gridCol w:w="3400"/>
        <w:gridCol w:w="2800"/>
      </w:tblGrid>
      <w:tr>
        <w:trPr>
          <w:tblHeader/>
        </w:trPr>
        <w:tc>
          <w:tcPr>
            <w:tcW w:w="2300" w:type="dxa"/>
            <w:shd w:val="clear" w:color="auto" w:fill="D9D9D9"/>
            <w:tcMar>
              <w:top w:w="80" w:type="dxa"/>
              <w:left w:w="100" w:type="dxa"/>
              <w:bottom w:w="80" w:type="dxa"/>
              <w:right w:w="100" w:type="dxa"/>
            </w:tcMar>
          </w:tcPr>
          <w:p>
            <w:r>
              <w:rPr>
                <w:b/>
                <w:bCs/>
                <w:sz w:val="22"/>
                <w:szCs w:val="22"/>
              </w:rPr>
              <w:t xml:space="preserve">Fonte</w:t>
            </w:r>
          </w:p>
        </w:tc>
        <w:tc>
          <w:tcPr>
            <w:tcW w:w="3400" w:type="dxa"/>
            <w:shd w:val="clear" w:color="auto" w:fill="D9D9D9"/>
            <w:tcMar>
              <w:top w:w="80" w:type="dxa"/>
              <w:left w:w="100" w:type="dxa"/>
              <w:bottom w:w="80" w:type="dxa"/>
              <w:right w:w="100" w:type="dxa"/>
            </w:tcMar>
          </w:tcPr>
          <w:p>
            <w:r>
              <w:rPr>
                <w:b/>
                <w:bCs/>
                <w:sz w:val="22"/>
                <w:szCs w:val="22"/>
              </w:rPr>
              <w:t xml:space="preserve">Conteúdo</w:t>
            </w:r>
          </w:p>
        </w:tc>
        <w:tc>
          <w:tcPr>
            <w:tcW w:w="2800" w:type="dxa"/>
            <w:shd w:val="clear" w:color="auto" w:fill="D9D9D9"/>
            <w:tcMar>
              <w:top w:w="80" w:type="dxa"/>
              <w:left w:w="100" w:type="dxa"/>
              <w:bottom w:w="80" w:type="dxa"/>
              <w:right w:w="100" w:type="dxa"/>
            </w:tcMar>
          </w:tcPr>
          <w:p>
            <w:r>
              <w:rPr>
                <w:b/>
                <w:bCs/>
                <w:sz w:val="22"/>
                <w:szCs w:val="22"/>
              </w:rPr>
              <w:t xml:space="preserve">Uso no projeto</w:t>
            </w:r>
          </w:p>
        </w:tc>
      </w:tr>
      <w:tr>
        <w:tc>
          <w:tcPr>
            <w:tcW w:w="2300" w:type="dxa"/>
            <w:tcMar>
              <w:top w:w="80" w:type="dxa"/>
              <w:left w:w="100" w:type="dxa"/>
              <w:bottom w:w="80" w:type="dxa"/>
              <w:right w:w="100" w:type="dxa"/>
            </w:tcMar>
          </w:tcPr>
          <w:p>
            <w:r>
              <w:rPr>
                <w:sz w:val="22"/>
                <w:szCs w:val="22"/>
              </w:rPr>
              <w:t xml:space="preserve">IBGE/SIDRA – Tabela 1612</w:t>
            </w:r>
          </w:p>
        </w:tc>
        <w:tc>
          <w:tcPr>
            <w:tcW w:w="3400" w:type="dxa"/>
            <w:tcMar>
              <w:top w:w="80" w:type="dxa"/>
              <w:left w:w="100" w:type="dxa"/>
              <w:bottom w:w="80" w:type="dxa"/>
              <w:right w:w="100" w:type="dxa"/>
            </w:tcMar>
          </w:tcPr>
          <w:p>
            <w:r>
              <w:rPr>
                <w:sz w:val="22"/>
                <w:szCs w:val="22"/>
              </w:rPr>
              <w:t xml:space="preserve">Rendimento (kg/ha), área plantada/colhida e produção de soja, por município do RS, 2000–2025.</w:t>
            </w:r>
          </w:p>
        </w:tc>
        <w:tc>
          <w:tcPr>
            <w:tcW w:w="2800" w:type="dxa"/>
            <w:tcMar>
              <w:top w:w="80" w:type="dxa"/>
              <w:left w:w="100" w:type="dxa"/>
              <w:bottom w:w="80" w:type="dxa"/>
              <w:right w:w="100" w:type="dxa"/>
            </w:tcMar>
          </w:tcPr>
          <w:p>
            <w:r>
              <w:rPr>
                <w:sz w:val="22"/>
                <w:szCs w:val="22"/>
              </w:rPr>
              <w:t xml:space="preserve">Variável-alvo e histórico produtivo.</w:t>
            </w:r>
          </w:p>
        </w:tc>
      </w:tr>
      <w:tr>
        <w:tc>
          <w:tcPr>
            <w:tcW w:w="2300" w:type="dxa"/>
            <w:tcMar>
              <w:top w:w="80" w:type="dxa"/>
              <w:left w:w="100" w:type="dxa"/>
              <w:bottom w:w="80" w:type="dxa"/>
              <w:right w:w="100" w:type="dxa"/>
            </w:tcMar>
          </w:tcPr>
          <w:p>
            <w:r>
              <w:rPr>
                <w:sz w:val="22"/>
                <w:szCs w:val="22"/>
              </w:rPr>
              <w:t xml:space="preserve">NOAA/CPC – ONI</w:t>
            </w:r>
          </w:p>
        </w:tc>
        <w:tc>
          <w:tcPr>
            <w:tcW w:w="3400" w:type="dxa"/>
            <w:tcMar>
              <w:top w:w="80" w:type="dxa"/>
              <w:left w:w="100" w:type="dxa"/>
              <w:bottom w:w="80" w:type="dxa"/>
              <w:right w:w="100" w:type="dxa"/>
            </w:tcMar>
          </w:tcPr>
          <w:p>
            <w:r>
              <w:rPr>
                <w:sz w:val="22"/>
                <w:szCs w:val="22"/>
              </w:rPr>
              <w:t xml:space="preserve">Índice trimestral do ENOS (El Niño/La Niña).</w:t>
            </w:r>
          </w:p>
        </w:tc>
        <w:tc>
          <w:tcPr>
            <w:tcW w:w="2800" w:type="dxa"/>
            <w:tcMar>
              <w:top w:w="80" w:type="dxa"/>
              <w:left w:w="100" w:type="dxa"/>
              <w:bottom w:w="80" w:type="dxa"/>
              <w:right w:w="100" w:type="dxa"/>
            </w:tcMar>
          </w:tcPr>
          <w:p>
            <w:r>
              <w:rPr>
                <w:sz w:val="22"/>
                <w:szCs w:val="22"/>
              </w:rPr>
              <w:t xml:space="preserve">Sinal climático de grande escala, disponível antes e durante a safra.</w:t>
            </w:r>
          </w:p>
        </w:tc>
      </w:tr>
      <w:tr>
        <w:tc>
          <w:tcPr>
            <w:tcW w:w="2300" w:type="dxa"/>
            <w:tcMar>
              <w:top w:w="80" w:type="dxa"/>
              <w:left w:w="100" w:type="dxa"/>
              <w:bottom w:w="80" w:type="dxa"/>
              <w:right w:w="100" w:type="dxa"/>
            </w:tcMar>
          </w:tcPr>
          <w:p>
            <w:r>
              <w:rPr>
                <w:sz w:val="22"/>
                <w:szCs w:val="22"/>
              </w:rPr>
              <w:t xml:space="preserve">INMET / BDMEP</w:t>
            </w:r>
          </w:p>
        </w:tc>
        <w:tc>
          <w:tcPr>
            <w:tcW w:w="3400" w:type="dxa"/>
            <w:tcMar>
              <w:top w:w="80" w:type="dxa"/>
              <w:left w:w="100" w:type="dxa"/>
              <w:bottom w:w="80" w:type="dxa"/>
              <w:right w:w="100" w:type="dxa"/>
            </w:tcMar>
          </w:tcPr>
          <w:p>
            <w:r>
              <w:rPr>
                <w:sz w:val="22"/>
                <w:szCs w:val="22"/>
              </w:rPr>
              <w:t xml:space="preserve">Chuva, temperatura máxima e mínima e umidade relativa diárias observadas em 45 estações automáticas do RS.</w:t>
            </w:r>
          </w:p>
        </w:tc>
        <w:tc>
          <w:tcPr>
            <w:tcW w:w="2800" w:type="dxa"/>
            <w:tcMar>
              <w:top w:w="80" w:type="dxa"/>
              <w:left w:w="100" w:type="dxa"/>
              <w:bottom w:w="80" w:type="dxa"/>
              <w:right w:w="100" w:type="dxa"/>
            </w:tcMar>
          </w:tcPr>
          <w:p>
            <w:r>
              <w:rPr>
                <w:sz w:val="22"/>
                <w:szCs w:val="22"/>
              </w:rPr>
              <w:t xml:space="preserve">Variáveis climáticas por subperíodo do ciclo e balanço hídrico.</w:t>
            </w:r>
          </w:p>
        </w:tc>
      </w:tr>
      <w:tr>
        <w:tc>
          <w:tcPr>
            <w:tcW w:w="2300" w:type="dxa"/>
            <w:tcMar>
              <w:top w:w="80" w:type="dxa"/>
              <w:left w:w="100" w:type="dxa"/>
              <w:bottom w:w="80" w:type="dxa"/>
              <w:right w:w="100" w:type="dxa"/>
            </w:tcMar>
          </w:tcPr>
          <w:p>
            <w:r>
              <w:rPr>
                <w:sz w:val="22"/>
                <w:szCs w:val="22"/>
              </w:rPr>
              <w:t xml:space="preserve">Embrapa / CQFS-RS/SC</w:t>
            </w:r>
          </w:p>
        </w:tc>
        <w:tc>
          <w:tcPr>
            <w:tcW w:w="3400" w:type="dxa"/>
            <w:tcMar>
              <w:top w:w="80" w:type="dxa"/>
              <w:left w:w="100" w:type="dxa"/>
              <w:bottom w:w="80" w:type="dxa"/>
              <w:right w:w="100" w:type="dxa"/>
            </w:tcMar>
          </w:tcPr>
          <w:p>
            <w:r>
              <w:rPr>
                <w:sz w:val="22"/>
                <w:szCs w:val="22"/>
              </w:rPr>
              <w:t xml:space="preserve">Interpretação do teor de P e K no solo e dose recomendada de P</w:t>
            </w:r>
            <w:r>
              <w:rPr>
                <w:sz w:val="22"/>
                <w:szCs w:val="22"/>
                <w:vertAlign w:val="subscript"/>
              </w:rPr>
              <w:t xml:space="preserve">2</w:t>
            </w:r>
            <w:r>
              <w:rPr>
                <w:sz w:val="22"/>
                <w:szCs w:val="22"/>
              </w:rPr>
              <w:t xml:space="preserve">O</w:t>
            </w:r>
            <w:r>
              <w:rPr>
                <w:sz w:val="22"/>
                <w:szCs w:val="22"/>
                <w:vertAlign w:val="subscript"/>
              </w:rPr>
              <w:t xml:space="preserve">5</w:t>
            </w:r>
            <w:r>
              <w:rPr>
                <w:sz w:val="22"/>
                <w:szCs w:val="22"/>
              </w:rPr>
              <w:t xml:space="preserve"> e K</w:t>
            </w:r>
            <w:r>
              <w:rPr>
                <w:sz w:val="22"/>
                <w:szCs w:val="22"/>
                <w:vertAlign w:val="subscript"/>
              </w:rPr>
              <w:t xml:space="preserve">2</w:t>
            </w:r>
            <w:r>
              <w:rPr>
                <w:sz w:val="22"/>
                <w:szCs w:val="22"/>
              </w:rPr>
              <w:t xml:space="preserve">O por classe de teor (Tabelas 2.3 e 2.4).</w:t>
            </w:r>
          </w:p>
        </w:tc>
        <w:tc>
          <w:tcPr>
            <w:tcW w:w="2800" w:type="dxa"/>
            <w:tcMar>
              <w:top w:w="80" w:type="dxa"/>
              <w:left w:w="100" w:type="dxa"/>
              <w:bottom w:w="80" w:type="dxa"/>
              <w:right w:w="100" w:type="dxa"/>
            </w:tcMar>
          </w:tcPr>
          <w:p>
            <w:r>
              <w:rPr>
                <w:sz w:val="22"/>
                <w:szCs w:val="22"/>
              </w:rPr>
              <w:t xml:space="preserve">Aplicação: recomendação de adubação a partir do rendimento esperado.</w:t>
            </w:r>
          </w:p>
        </w:tc>
      </w:tr>
      <w:tr>
        <w:tc>
          <w:tcPr>
            <w:tcW w:w="2300" w:type="dxa"/>
            <w:tcMar>
              <w:top w:w="80" w:type="dxa"/>
              <w:left w:w="100" w:type="dxa"/>
              <w:bottom w:w="80" w:type="dxa"/>
              <w:right w:w="100" w:type="dxa"/>
            </w:tcMar>
          </w:tcPr>
          <w:p>
            <w:pPr>
              <w:keepNext/>
            </w:pPr>
            <w:r>
              <w:rPr>
                <w:sz w:val="22"/>
                <w:szCs w:val="22"/>
              </w:rPr>
              <w:t xml:space="preserve">IBGE – Localidades</w:t>
            </w:r>
          </w:p>
        </w:tc>
        <w:tc>
          <w:tcPr>
            <w:tcW w:w="3400" w:type="dxa"/>
            <w:tcMar>
              <w:top w:w="80" w:type="dxa"/>
              <w:left w:w="100" w:type="dxa"/>
              <w:bottom w:w="80" w:type="dxa"/>
              <w:right w:w="100" w:type="dxa"/>
            </w:tcMar>
          </w:tcPr>
          <w:p>
            <w:pPr>
              <w:keepNext/>
            </w:pPr>
            <w:r>
              <w:rPr>
                <w:sz w:val="22"/>
                <w:szCs w:val="22"/>
              </w:rPr>
              <w:t xml:space="preserve">Mesorregião de cada município do RS.</w:t>
            </w:r>
          </w:p>
        </w:tc>
        <w:tc>
          <w:tcPr>
            <w:tcW w:w="2800" w:type="dxa"/>
            <w:tcMar>
              <w:top w:w="80" w:type="dxa"/>
              <w:left w:w="100" w:type="dxa"/>
              <w:bottom w:w="80" w:type="dxa"/>
              <w:right w:w="100" w:type="dxa"/>
            </w:tcMar>
          </w:tcPr>
          <w:p>
            <w:pPr>
              <w:keepNext/>
            </w:pPr>
            <w:r>
              <w:rPr>
                <w:sz w:val="22"/>
                <w:szCs w:val="22"/>
              </w:rPr>
              <w:t xml:space="preserve">Erro do modelo por região.</w:t>
            </w:r>
          </w:p>
        </w:tc>
      </w:tr>
    </w:tbl>
    <w:p>
      <w:pPr>
        <w:spacing w:before="120" w:after="300"/>
        <w:jc w:val="center"/>
      </w:pPr>
      <w:r>
        <w:rPr>
          <w:i/>
          <w:iCs/>
          <w:sz w:val="22"/>
          <w:szCs w:val="22"/>
        </w:rPr>
        <w:t xml:space="preserve">Tabela 1 – Fontes de dados utilizadas no projeto. Fonte: elaboração própria (2026).</w:t>
      </w:r>
    </w:p>
    <w:p>
      <w:pPr>
        <w:keepNext/>
        <w:spacing w:before="280" w:after="160"/>
      </w:pPr>
      <w:r>
        <w:rPr>
          <w:b/>
          <w:bCs/>
          <w:sz w:val="24"/>
          <w:szCs w:val="24"/>
        </w:rPr>
        <w:t>4.2 Estrutura da base integrada</w:t>
      </w:r>
    </w:p>
    <w:p>
      <w:pPr>
        <w:spacing w:after="200" w:line="276" w:lineRule="auto"/>
        <w:ind w:firstLine="720"/>
        <w:jc w:val="both"/>
      </w:pPr>
      <w:r>
        <w:rPr>
          <w:sz w:val="24"/>
          <w:szCs w:val="24"/>
        </w:rPr>
        <w:t xml:space="preserve">A base final tem como chave primária o código IBGE do município e a safra (ano_safra). A Tabela 2 resume as principais variáveis do painel município–safra resultante da integração das quatro fontes.</w:t>
      </w:r>
    </w:p>
    <w:tbl>
      <w:tblPr>
        <w:tblW w:w="850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00"/>
        <w:gridCol w:w="3000"/>
        <w:gridCol w:w="1200"/>
        <w:gridCol w:w="1400"/>
      </w:tblGrid>
      <w:tr>
        <w:trPr>
          <w:tblHeader/>
        </w:trPr>
        <w:tc>
          <w:tcPr>
            <w:tcW w:w="2900" w:type="dxa"/>
            <w:shd w:val="clear" w:color="auto" w:fill="D9D9D9"/>
            <w:tcMar>
              <w:top w:w="80" w:type="dxa"/>
              <w:left w:w="100" w:type="dxa"/>
              <w:bottom w:w="80" w:type="dxa"/>
              <w:right w:w="100" w:type="dxa"/>
            </w:tcMar>
          </w:tcPr>
          <w:p>
            <w:r>
              <w:rPr>
                <w:b/>
                <w:bCs/>
                <w:sz w:val="22"/>
                <w:szCs w:val="22"/>
              </w:rPr>
              <w:t xml:space="preserve">Coluna</w:t>
            </w:r>
          </w:p>
        </w:tc>
        <w:tc>
          <w:tcPr>
            <w:tcW w:w="3000" w:type="dxa"/>
            <w:shd w:val="clear" w:color="auto" w:fill="D9D9D9"/>
            <w:tcMar>
              <w:top w:w="80" w:type="dxa"/>
              <w:left w:w="100" w:type="dxa"/>
              <w:bottom w:w="80" w:type="dxa"/>
              <w:right w:w="100" w:type="dxa"/>
            </w:tcMar>
          </w:tcPr>
          <w:p>
            <w:r>
              <w:rPr>
                <w:b/>
                <w:bCs/>
                <w:sz w:val="22"/>
                <w:szCs w:val="22"/>
              </w:rPr>
              <w:t xml:space="preserve">Descrição</w:t>
            </w:r>
          </w:p>
        </w:tc>
        <w:tc>
          <w:tcPr>
            <w:tcW w:w="1200" w:type="dxa"/>
            <w:shd w:val="clear" w:color="auto" w:fill="D9D9D9"/>
            <w:tcMar>
              <w:top w:w="80" w:type="dxa"/>
              <w:left w:w="100" w:type="dxa"/>
              <w:bottom w:w="80" w:type="dxa"/>
              <w:right w:w="100" w:type="dxa"/>
            </w:tcMar>
          </w:tcPr>
          <w:p>
            <w:r>
              <w:rPr>
                <w:b/>
                <w:bCs/>
                <w:sz w:val="22"/>
                <w:szCs w:val="22"/>
              </w:rPr>
              <w:t xml:space="preserve">Unidade</w:t>
            </w:r>
          </w:p>
        </w:tc>
        <w:tc>
          <w:tcPr>
            <w:tcW w:w="1400" w:type="dxa"/>
            <w:shd w:val="clear" w:color="auto" w:fill="D9D9D9"/>
            <w:tcMar>
              <w:top w:w="80" w:type="dxa"/>
              <w:left w:w="100" w:type="dxa"/>
              <w:bottom w:w="80" w:type="dxa"/>
              <w:right w:w="100" w:type="dxa"/>
            </w:tcMar>
          </w:tcPr>
          <w:p>
            <w:r>
              <w:rPr>
                <w:b/>
                <w:bCs/>
                <w:sz w:val="22"/>
                <w:szCs w:val="22"/>
              </w:rPr>
              <w:t xml:space="preserve">Fonte</w:t>
            </w:r>
          </w:p>
        </w:tc>
      </w:tr>
      <w:tr>
        <w:tc>
          <w:tcPr>
            <w:tcW w:w="2900" w:type="dxa"/>
            <w:tcMar>
              <w:top w:w="80" w:type="dxa"/>
              <w:left w:w="100" w:type="dxa"/>
              <w:bottom w:w="80" w:type="dxa"/>
              <w:right w:w="100" w:type="dxa"/>
            </w:tcMar>
          </w:tcPr>
          <w:p>
            <w:r>
              <w:rPr>
                <w:sz w:val="22"/>
                <w:szCs w:val="22"/>
              </w:rPr>
              <w:t xml:space="preserve">codigo_ibge_municipio / municipio</w:t>
            </w:r>
          </w:p>
        </w:tc>
        <w:tc>
          <w:tcPr>
            <w:tcW w:w="3000" w:type="dxa"/>
            <w:tcMar>
              <w:top w:w="80" w:type="dxa"/>
              <w:left w:w="100" w:type="dxa"/>
              <w:bottom w:w="80" w:type="dxa"/>
              <w:right w:w="100" w:type="dxa"/>
            </w:tcMar>
          </w:tcPr>
          <w:p>
            <w:r>
              <w:rPr>
                <w:sz w:val="22"/>
                <w:szCs w:val="22"/>
              </w:rPr>
              <w:t xml:space="preserve">Identificação do município</w:t>
            </w:r>
          </w:p>
        </w:tc>
        <w:tc>
          <w:tcPr>
            <w:tcW w:w="1200" w:type="dxa"/>
            <w:tcMar>
              <w:top w:w="80" w:type="dxa"/>
              <w:left w:w="100" w:type="dxa"/>
              <w:bottom w:w="80" w:type="dxa"/>
              <w:right w:w="100" w:type="dxa"/>
            </w:tcMar>
          </w:tcPr>
          <w:p>
            <w:r>
              <w:rPr>
                <w:sz w:val="22"/>
                <w:szCs w:val="22"/>
              </w:rPr>
              <w:t xml:space="preserve">código / texto</w:t>
            </w:r>
          </w:p>
        </w:tc>
        <w:tc>
          <w:tcPr>
            <w:tcW w:w="1400" w:type="dxa"/>
            <w:tcMar>
              <w:top w:w="80" w:type="dxa"/>
              <w:left w:w="100" w:type="dxa"/>
              <w:bottom w:w="80" w:type="dxa"/>
              <w:right w:w="100" w:type="dxa"/>
            </w:tcMar>
          </w:tcPr>
          <w:p>
            <w:r>
              <w:rPr>
                <w:sz w:val="22"/>
                <w:szCs w:val="22"/>
              </w:rPr>
              <w:t xml:space="preserve">IBGE</w:t>
            </w:r>
          </w:p>
        </w:tc>
      </w:tr>
      <w:tr>
        <w:tc>
          <w:tcPr>
            <w:tcW w:w="2900" w:type="dxa"/>
            <w:tcMar>
              <w:top w:w="80" w:type="dxa"/>
              <w:left w:w="100" w:type="dxa"/>
              <w:bottom w:w="80" w:type="dxa"/>
              <w:right w:w="100" w:type="dxa"/>
            </w:tcMar>
          </w:tcPr>
          <w:p>
            <w:r>
              <w:rPr>
                <w:sz w:val="22"/>
                <w:szCs w:val="22"/>
              </w:rPr>
              <w:t xml:space="preserve">ano_safra</w:t>
            </w:r>
          </w:p>
        </w:tc>
        <w:tc>
          <w:tcPr>
            <w:tcW w:w="3000" w:type="dxa"/>
            <w:tcMar>
              <w:top w:w="80" w:type="dxa"/>
              <w:left w:w="100" w:type="dxa"/>
              <w:bottom w:w="80" w:type="dxa"/>
              <w:right w:w="100" w:type="dxa"/>
            </w:tcMar>
          </w:tcPr>
          <w:p>
            <w:r>
              <w:rPr>
                <w:sz w:val="22"/>
                <w:szCs w:val="22"/>
              </w:rPr>
              <w:t xml:space="preserve">Ano da safra</w:t>
            </w:r>
          </w:p>
        </w:tc>
        <w:tc>
          <w:tcPr>
            <w:tcW w:w="1200" w:type="dxa"/>
            <w:tcMar>
              <w:top w:w="80" w:type="dxa"/>
              <w:left w:w="100" w:type="dxa"/>
              <w:bottom w:w="80" w:type="dxa"/>
              <w:right w:w="100" w:type="dxa"/>
            </w:tcMar>
          </w:tcPr>
          <w:p>
            <w:r>
              <w:rPr>
                <w:sz w:val="22"/>
                <w:szCs w:val="22"/>
              </w:rPr>
              <w:t xml:space="preserve">ano</w:t>
            </w:r>
          </w:p>
        </w:tc>
        <w:tc>
          <w:tcPr>
            <w:tcW w:w="1400" w:type="dxa"/>
            <w:tcMar>
              <w:top w:w="80" w:type="dxa"/>
              <w:left w:w="100" w:type="dxa"/>
              <w:bottom w:w="80" w:type="dxa"/>
              <w:right w:w="100" w:type="dxa"/>
            </w:tcMar>
          </w:tcPr>
          <w:p>
            <w:r>
              <w:rPr>
                <w:sz w:val="22"/>
                <w:szCs w:val="22"/>
              </w:rPr>
              <w:t xml:space="preserve">IBGE</w:t>
            </w:r>
          </w:p>
        </w:tc>
      </w:tr>
      <w:tr>
        <w:tc>
          <w:tcPr>
            <w:tcW w:w="2900" w:type="dxa"/>
            <w:tcMar>
              <w:top w:w="80" w:type="dxa"/>
              <w:left w:w="100" w:type="dxa"/>
              <w:bottom w:w="80" w:type="dxa"/>
              <w:right w:w="100" w:type="dxa"/>
            </w:tcMar>
          </w:tcPr>
          <w:p>
            <w:r>
              <w:rPr>
                <w:sz w:val="22"/>
                <w:szCs w:val="22"/>
              </w:rPr>
              <w:t xml:space="preserve">rendimento_kg_ha</w:t>
            </w:r>
          </w:p>
        </w:tc>
        <w:tc>
          <w:tcPr>
            <w:tcW w:w="3000" w:type="dxa"/>
            <w:tcMar>
              <w:top w:w="80" w:type="dxa"/>
              <w:left w:w="100" w:type="dxa"/>
              <w:bottom w:w="80" w:type="dxa"/>
              <w:right w:w="100" w:type="dxa"/>
            </w:tcMar>
          </w:tcPr>
          <w:p>
            <w:r>
              <w:rPr>
                <w:sz w:val="22"/>
                <w:szCs w:val="22"/>
              </w:rPr>
              <w:t xml:space="preserve">Rendimento médio (variável-alvo)</w:t>
            </w:r>
          </w:p>
        </w:tc>
        <w:tc>
          <w:tcPr>
            <w:tcW w:w="1200" w:type="dxa"/>
            <w:tcMar>
              <w:top w:w="80" w:type="dxa"/>
              <w:left w:w="100" w:type="dxa"/>
              <w:bottom w:w="80" w:type="dxa"/>
              <w:right w:w="100" w:type="dxa"/>
            </w:tcMar>
          </w:tcPr>
          <w:p>
            <w:r>
              <w:rPr>
                <w:sz w:val="22"/>
                <w:szCs w:val="22"/>
              </w:rPr>
              <w:t xml:space="preserve">kg/ha</w:t>
            </w:r>
          </w:p>
        </w:tc>
        <w:tc>
          <w:tcPr>
            <w:tcW w:w="1400" w:type="dxa"/>
            <w:tcMar>
              <w:top w:w="80" w:type="dxa"/>
              <w:left w:w="100" w:type="dxa"/>
              <w:bottom w:w="80" w:type="dxa"/>
              <w:right w:w="100" w:type="dxa"/>
            </w:tcMar>
          </w:tcPr>
          <w:p>
            <w:r>
              <w:rPr>
                <w:sz w:val="22"/>
                <w:szCs w:val="22"/>
              </w:rPr>
              <w:t xml:space="preserve">IBGE/SIDRA</w:t>
            </w:r>
          </w:p>
        </w:tc>
      </w:tr>
      <w:tr>
        <w:tc>
          <w:tcPr>
            <w:tcW w:w="2900" w:type="dxa"/>
            <w:tcMar>
              <w:top w:w="80" w:type="dxa"/>
              <w:left w:w="100" w:type="dxa"/>
              <w:bottom w:w="80" w:type="dxa"/>
              <w:right w:w="100" w:type="dxa"/>
            </w:tcMar>
          </w:tcPr>
          <w:p>
            <w:r>
              <w:rPr>
                <w:sz w:val="22"/>
                <w:szCs w:val="22"/>
              </w:rPr>
              <w:t xml:space="preserve">area_plantada_ha / producao_ton</w:t>
            </w:r>
          </w:p>
        </w:tc>
        <w:tc>
          <w:tcPr>
            <w:tcW w:w="3000" w:type="dxa"/>
            <w:tcMar>
              <w:top w:w="80" w:type="dxa"/>
              <w:left w:w="100" w:type="dxa"/>
              <w:bottom w:w="80" w:type="dxa"/>
              <w:right w:w="100" w:type="dxa"/>
            </w:tcMar>
          </w:tcPr>
          <w:p>
            <w:r>
              <w:rPr>
                <w:sz w:val="22"/>
                <w:szCs w:val="22"/>
              </w:rPr>
              <w:t xml:space="preserve">Área plantada e produção total</w:t>
            </w:r>
          </w:p>
        </w:tc>
        <w:tc>
          <w:tcPr>
            <w:tcW w:w="1200" w:type="dxa"/>
            <w:tcMar>
              <w:top w:w="80" w:type="dxa"/>
              <w:left w:w="100" w:type="dxa"/>
              <w:bottom w:w="80" w:type="dxa"/>
              <w:right w:w="100" w:type="dxa"/>
            </w:tcMar>
          </w:tcPr>
          <w:p>
            <w:r>
              <w:rPr>
                <w:sz w:val="22"/>
                <w:szCs w:val="22"/>
              </w:rPr>
              <w:t xml:space="preserve">ha / t</w:t>
            </w:r>
          </w:p>
        </w:tc>
        <w:tc>
          <w:tcPr>
            <w:tcW w:w="1400" w:type="dxa"/>
            <w:tcMar>
              <w:top w:w="80" w:type="dxa"/>
              <w:left w:w="100" w:type="dxa"/>
              <w:bottom w:w="80" w:type="dxa"/>
              <w:right w:w="100" w:type="dxa"/>
            </w:tcMar>
          </w:tcPr>
          <w:p>
            <w:r>
              <w:rPr>
                <w:sz w:val="22"/>
                <w:szCs w:val="22"/>
              </w:rPr>
              <w:t xml:space="preserve">IBGE/SIDRA</w:t>
            </w:r>
          </w:p>
        </w:tc>
      </w:tr>
      <w:tr>
        <w:tc>
          <w:tcPr>
            <w:tcW w:w="2900" w:type="dxa"/>
            <w:tcMar>
              <w:top w:w="80" w:type="dxa"/>
              <w:left w:w="100" w:type="dxa"/>
              <w:bottom w:w="80" w:type="dxa"/>
              <w:right w:w="100" w:type="dxa"/>
            </w:tcMar>
          </w:tcPr>
          <w:p>
            <w:r>
              <w:rPr>
                <w:sz w:val="22"/>
                <w:szCs w:val="22"/>
              </w:rPr>
              <w:t xml:space="preserve">oni_media_safra</w:t>
            </w:r>
          </w:p>
        </w:tc>
        <w:tc>
          <w:tcPr>
            <w:tcW w:w="3000" w:type="dxa"/>
            <w:tcMar>
              <w:top w:w="80" w:type="dxa"/>
              <w:left w:w="100" w:type="dxa"/>
              <w:bottom w:w="80" w:type="dxa"/>
              <w:right w:w="100" w:type="dxa"/>
            </w:tcMar>
          </w:tcPr>
          <w:p>
            <w:r>
              <w:rPr>
                <w:sz w:val="22"/>
                <w:szCs w:val="22"/>
              </w:rPr>
              <w:t xml:space="preserve">ONI médio na janela semeadura–colheita</w:t>
            </w:r>
          </w:p>
        </w:tc>
        <w:tc>
          <w:tcPr>
            <w:tcW w:w="1200" w:type="dxa"/>
            <w:tcMar>
              <w:top w:w="80" w:type="dxa"/>
              <w:left w:w="100" w:type="dxa"/>
              <w:bottom w:w="80" w:type="dxa"/>
              <w:right w:w="100" w:type="dxa"/>
            </w:tcMar>
          </w:tcPr>
          <w:p>
            <w:r>
              <w:rPr>
                <w:sz w:val="22"/>
                <w:szCs w:val="22"/>
              </w:rPr>
              <w:t xml:space="preserve">índice</w:t>
            </w:r>
          </w:p>
        </w:tc>
        <w:tc>
          <w:tcPr>
            <w:tcW w:w="1400" w:type="dxa"/>
            <w:tcMar>
              <w:top w:w="80" w:type="dxa"/>
              <w:left w:w="100" w:type="dxa"/>
              <w:bottom w:w="80" w:type="dxa"/>
              <w:right w:w="100" w:type="dxa"/>
            </w:tcMar>
          </w:tcPr>
          <w:p>
            <w:r>
              <w:rPr>
                <w:sz w:val="22"/>
                <w:szCs w:val="22"/>
              </w:rPr>
              <w:t xml:space="preserve">NOAA/CPC</w:t>
            </w:r>
          </w:p>
        </w:tc>
      </w:tr>
      <w:tr>
        <w:tc>
          <w:tcPr>
            <w:tcW w:w="2900" w:type="dxa"/>
            <w:tcMar>
              <w:top w:w="80" w:type="dxa"/>
              <w:left w:w="100" w:type="dxa"/>
              <w:bottom w:w="80" w:type="dxa"/>
              <w:right w:w="100" w:type="dxa"/>
            </w:tcMar>
          </w:tcPr>
          <w:p>
            <w:r>
              <w:rPr>
                <w:sz w:val="22"/>
                <w:szCs w:val="22"/>
              </w:rPr>
              <w:t xml:space="preserve">precipitacao_total_safra_mm</w:t>
            </w:r>
          </w:p>
        </w:tc>
        <w:tc>
          <w:tcPr>
            <w:tcW w:w="3000" w:type="dxa"/>
            <w:tcMar>
              <w:top w:w="80" w:type="dxa"/>
              <w:left w:w="100" w:type="dxa"/>
              <w:bottom w:w="80" w:type="dxa"/>
              <w:right w:w="100" w:type="dxa"/>
            </w:tcMar>
          </w:tcPr>
          <w:p>
            <w:r>
              <w:rPr>
                <w:sz w:val="22"/>
                <w:szCs w:val="22"/>
              </w:rPr>
              <w:t xml:space="preserve">Precipitação acumulada na janela de safra (estação mais próxima)</w:t>
            </w:r>
          </w:p>
        </w:tc>
        <w:tc>
          <w:tcPr>
            <w:tcW w:w="1200" w:type="dxa"/>
            <w:tcMar>
              <w:top w:w="80" w:type="dxa"/>
              <w:left w:w="100" w:type="dxa"/>
              <w:bottom w:w="80" w:type="dxa"/>
              <w:right w:w="100" w:type="dxa"/>
            </w:tcMar>
          </w:tcPr>
          <w:p>
            <w:r>
              <w:rPr>
                <w:sz w:val="22"/>
                <w:szCs w:val="22"/>
              </w:rPr>
              <w:t xml:space="preserve">mm</w:t>
            </w:r>
          </w:p>
        </w:tc>
        <w:tc>
          <w:tcPr>
            <w:tcW w:w="1400" w:type="dxa"/>
            <w:tcMar>
              <w:top w:w="80" w:type="dxa"/>
              <w:left w:w="100" w:type="dxa"/>
              <w:bottom w:w="80" w:type="dxa"/>
              <w:right w:w="100" w:type="dxa"/>
            </w:tcMar>
          </w:tcPr>
          <w:p>
            <w:r>
              <w:rPr>
                <w:sz w:val="22"/>
                <w:szCs w:val="22"/>
              </w:rPr>
              <w:t xml:space="preserve">INMET</w:t>
            </w:r>
          </w:p>
        </w:tc>
      </w:tr>
      <w:tr>
        <w:tc>
          <w:tcPr>
            <w:tcW w:w="2900" w:type="dxa"/>
            <w:tcMar>
              <w:top w:w="80" w:type="dxa"/>
              <w:left w:w="100" w:type="dxa"/>
              <w:bottom w:w="80" w:type="dxa"/>
              <w:right w:w="100" w:type="dxa"/>
            </w:tcMar>
          </w:tcPr>
          <w:p>
            <w:r>
              <w:rPr>
                <w:sz w:val="22"/>
                <w:szCs w:val="22"/>
              </w:rPr>
              <w:t xml:space="preserve">temperatura_media_safra_c</w:t>
            </w:r>
          </w:p>
        </w:tc>
        <w:tc>
          <w:tcPr>
            <w:tcW w:w="3000" w:type="dxa"/>
            <w:tcMar>
              <w:top w:w="80" w:type="dxa"/>
              <w:left w:w="100" w:type="dxa"/>
              <w:bottom w:w="80" w:type="dxa"/>
              <w:right w:w="100" w:type="dxa"/>
            </w:tcMar>
          </w:tcPr>
          <w:p>
            <w:r>
              <w:rPr>
                <w:sz w:val="22"/>
                <w:szCs w:val="22"/>
              </w:rPr>
              <w:t xml:space="preserve">Temperatura média diária na janela de safra</w:t>
            </w:r>
          </w:p>
        </w:tc>
        <w:tc>
          <w:tcPr>
            <w:tcW w:w="1200" w:type="dxa"/>
            <w:tcMar>
              <w:top w:w="80" w:type="dxa"/>
              <w:left w:w="100" w:type="dxa"/>
              <w:bottom w:w="80" w:type="dxa"/>
              <w:right w:w="100" w:type="dxa"/>
            </w:tcMar>
          </w:tcPr>
          <w:p>
            <w:r>
              <w:rPr>
                <w:sz w:val="22"/>
                <w:szCs w:val="22"/>
              </w:rPr>
              <w:t xml:space="preserve">°C</w:t>
            </w:r>
          </w:p>
        </w:tc>
        <w:tc>
          <w:tcPr>
            <w:tcW w:w="1400" w:type="dxa"/>
            <w:tcMar>
              <w:top w:w="80" w:type="dxa"/>
              <w:left w:w="100" w:type="dxa"/>
              <w:bottom w:w="80" w:type="dxa"/>
              <w:right w:w="100" w:type="dxa"/>
            </w:tcMar>
          </w:tcPr>
          <w:p>
            <w:r>
              <w:rPr>
                <w:sz w:val="22"/>
                <w:szCs w:val="22"/>
              </w:rPr>
              <w:t xml:space="preserve">INMET</w:t>
            </w:r>
          </w:p>
        </w:tc>
      </w:tr>
      <w:tr>
        <w:tc>
          <w:tcPr>
            <w:tcW w:w="2900" w:type="dxa"/>
            <w:tcMar>
              <w:top w:w="80" w:type="dxa"/>
              <w:left w:w="100" w:type="dxa"/>
              <w:bottom w:w="80" w:type="dxa"/>
              <w:right w:w="100" w:type="dxa"/>
            </w:tcMar>
          </w:tcPr>
          <w:p>
            <w:r>
              <w:rPr>
                <w:sz w:val="22"/>
                <w:szCs w:val="22"/>
              </w:rPr>
              <w:t xml:space="preserve">chuva_out_nov, chuva_dez_fev, chuva_mar</w:t>
            </w:r>
          </w:p>
        </w:tc>
        <w:tc>
          <w:tcPr>
            <w:tcW w:w="3000" w:type="dxa"/>
            <w:tcMar>
              <w:top w:w="80" w:type="dxa"/>
              <w:left w:w="100" w:type="dxa"/>
              <w:bottom w:w="80" w:type="dxa"/>
              <w:right w:w="100" w:type="dxa"/>
            </w:tcMar>
          </w:tcPr>
          <w:p>
            <w:r>
              <w:rPr>
                <w:sz w:val="22"/>
                <w:szCs w:val="22"/>
              </w:rPr>
              <w:t xml:space="preserve">Chuva acumulada por subperíodo do ciclo</w:t>
            </w:r>
          </w:p>
        </w:tc>
        <w:tc>
          <w:tcPr>
            <w:tcW w:w="1200" w:type="dxa"/>
            <w:tcMar>
              <w:top w:w="80" w:type="dxa"/>
              <w:left w:w="100" w:type="dxa"/>
              <w:bottom w:w="80" w:type="dxa"/>
              <w:right w:w="100" w:type="dxa"/>
            </w:tcMar>
          </w:tcPr>
          <w:p>
            <w:r>
              <w:rPr>
                <w:sz w:val="22"/>
                <w:szCs w:val="22"/>
              </w:rPr>
              <w:t xml:space="preserve">mm</w:t>
            </w:r>
          </w:p>
        </w:tc>
        <w:tc>
          <w:tcPr>
            <w:tcW w:w="1400" w:type="dxa"/>
            <w:tcMar>
              <w:top w:w="80" w:type="dxa"/>
              <w:left w:w="100" w:type="dxa"/>
              <w:bottom w:w="80" w:type="dxa"/>
              <w:right w:w="100" w:type="dxa"/>
            </w:tcMar>
          </w:tcPr>
          <w:p>
            <w:r>
              <w:rPr>
                <w:sz w:val="22"/>
                <w:szCs w:val="22"/>
              </w:rPr>
              <w:t xml:space="preserve">INMET</w:t>
            </w:r>
          </w:p>
        </w:tc>
      </w:tr>
      <w:tr>
        <w:tc>
          <w:tcPr>
            <w:tcW w:w="2900" w:type="dxa"/>
            <w:tcMar>
              <w:top w:w="80" w:type="dxa"/>
              <w:left w:w="100" w:type="dxa"/>
              <w:bottom w:w="80" w:type="dxa"/>
              <w:right w:w="100" w:type="dxa"/>
            </w:tcMar>
          </w:tcPr>
          <w:p>
            <w:r>
              <w:rPr>
                <w:sz w:val="22"/>
                <w:szCs w:val="22"/>
              </w:rPr>
              <w:t xml:space="preserve">urmin_dez_fev / dias_calor_dez_fev</w:t>
            </w:r>
          </w:p>
        </w:tc>
        <w:tc>
          <w:tcPr>
            <w:tcW w:w="3000" w:type="dxa"/>
            <w:tcMar>
              <w:top w:w="80" w:type="dxa"/>
              <w:left w:w="100" w:type="dxa"/>
              <w:bottom w:w="80" w:type="dxa"/>
              <w:right w:w="100" w:type="dxa"/>
            </w:tcMar>
          </w:tcPr>
          <w:p>
            <w:r>
              <w:rPr>
                <w:sz w:val="22"/>
                <w:szCs w:val="22"/>
              </w:rPr>
              <w:t xml:space="preserve">Umidade relativa mínima média / dias com máxima ≥ 32 °C em dez–fev</w:t>
            </w:r>
          </w:p>
        </w:tc>
        <w:tc>
          <w:tcPr>
            <w:tcW w:w="1200" w:type="dxa"/>
            <w:tcMar>
              <w:top w:w="80" w:type="dxa"/>
              <w:left w:w="100" w:type="dxa"/>
              <w:bottom w:w="80" w:type="dxa"/>
              <w:right w:w="100" w:type="dxa"/>
            </w:tcMar>
          </w:tcPr>
          <w:p>
            <w:r>
              <w:rPr>
                <w:sz w:val="22"/>
                <w:szCs w:val="22"/>
              </w:rPr>
              <w:t xml:space="preserve">% / dias</w:t>
            </w:r>
          </w:p>
        </w:tc>
        <w:tc>
          <w:tcPr>
            <w:tcW w:w="1400" w:type="dxa"/>
            <w:tcMar>
              <w:top w:w="80" w:type="dxa"/>
              <w:left w:w="100" w:type="dxa"/>
              <w:bottom w:w="80" w:type="dxa"/>
              <w:right w:w="100" w:type="dxa"/>
            </w:tcMar>
          </w:tcPr>
          <w:p>
            <w:r>
              <w:rPr>
                <w:sz w:val="22"/>
                <w:szCs w:val="22"/>
              </w:rPr>
              <w:t xml:space="preserve">INMET</w:t>
            </w:r>
          </w:p>
        </w:tc>
      </w:tr>
      <w:tr>
        <w:tc>
          <w:tcPr>
            <w:tcW w:w="2900" w:type="dxa"/>
            <w:tcMar>
              <w:top w:w="80" w:type="dxa"/>
              <w:left w:w="100" w:type="dxa"/>
              <w:bottom w:w="80" w:type="dxa"/>
              <w:right w:w="100" w:type="dxa"/>
            </w:tcMar>
          </w:tcPr>
          <w:p>
            <w:pPr>
              <w:keepNext/>
            </w:pPr>
            <w:r>
              <w:rPr>
                <w:sz w:val="22"/>
                <w:szCs w:val="22"/>
              </w:rPr>
              <w:t xml:space="preserve">deficit_dez_fev</w:t>
            </w:r>
          </w:p>
        </w:tc>
        <w:tc>
          <w:tcPr>
            <w:tcW w:w="3000" w:type="dxa"/>
            <w:tcMar>
              <w:top w:w="80" w:type="dxa"/>
              <w:left w:w="100" w:type="dxa"/>
              <w:bottom w:w="80" w:type="dxa"/>
              <w:right w:w="100" w:type="dxa"/>
            </w:tcMar>
          </w:tcPr>
          <w:p>
            <w:pPr>
              <w:keepNext/>
            </w:pPr>
            <w:r>
              <w:rPr>
                <w:sz w:val="22"/>
                <w:szCs w:val="22"/>
              </w:rPr>
              <w:t xml:space="preserve">Déficit hídrico acumulado em dez–fev (balanço hídrico)</w:t>
            </w:r>
          </w:p>
        </w:tc>
        <w:tc>
          <w:tcPr>
            <w:tcW w:w="1200" w:type="dxa"/>
            <w:tcMar>
              <w:top w:w="80" w:type="dxa"/>
              <w:left w:w="100" w:type="dxa"/>
              <w:bottom w:w="80" w:type="dxa"/>
              <w:right w:w="100" w:type="dxa"/>
            </w:tcMar>
          </w:tcPr>
          <w:p>
            <w:pPr>
              <w:keepNext/>
            </w:pPr>
            <w:r>
              <w:rPr>
                <w:sz w:val="22"/>
                <w:szCs w:val="22"/>
              </w:rPr>
              <w:t xml:space="preserve">mm</w:t>
            </w:r>
          </w:p>
        </w:tc>
        <w:tc>
          <w:tcPr>
            <w:tcW w:w="1400" w:type="dxa"/>
            <w:tcMar>
              <w:top w:w="80" w:type="dxa"/>
              <w:left w:w="100" w:type="dxa"/>
              <w:bottom w:w="80" w:type="dxa"/>
              <w:right w:w="100" w:type="dxa"/>
            </w:tcMar>
          </w:tcPr>
          <w:p>
            <w:pPr>
              <w:keepNext/>
            </w:pPr>
            <w:r>
              <w:rPr>
                <w:sz w:val="22"/>
                <w:szCs w:val="22"/>
              </w:rPr>
              <w:t xml:space="preserve">INMET (calculado)</w:t>
            </w:r>
          </w:p>
        </w:tc>
      </w:tr>
    </w:tbl>
    <w:p>
      <w:pPr>
        <w:spacing w:before="120" w:after="300"/>
        <w:jc w:val="center"/>
      </w:pPr>
      <w:r>
        <w:rPr>
          <w:i/>
          <w:iCs/>
          <w:sz w:val="22"/>
          <w:szCs w:val="22"/>
        </w:rPr>
        <w:t xml:space="preserve">Tabela 2 – Dicionário resumido da base integrada e das principais variáveis derivadas para a modelagem. Fonte: elaboração própria (2026).</w:t>
      </w:r>
    </w:p>
    <w:p>
      <w:pPr>
        <w:keepNext/>
        <w:spacing w:before="280" w:after="160"/>
      </w:pPr>
      <w:r>
        <w:rPr>
          <w:b/>
          <w:bCs/>
          <w:sz w:val="24"/>
          <w:szCs w:val="24"/>
        </w:rPr>
        <w:t>4.3 Análise exploratória em Python</w:t>
      </w:r>
    </w:p>
    <w:p>
      <w:pPr>
        <w:spacing w:after="200" w:line="276" w:lineRule="auto"/>
        <w:ind w:firstLine="720"/>
        <w:jc w:val="both"/>
      </w:pPr>
      <w:r>
        <w:rPr>
          <w:sz w:val="24"/>
          <w:szCs w:val="24"/>
        </w:rPr>
        <w:t xml:space="preserve">A análise exploratória da N1 foi realizada em um notebook Python (disponível no GitHub do projeto, Seção 4.5) e cobriu: cobertura temporal dos dados (percentual de municípios com rendimento informado por safra), distribuição do rendimento, série temporal do rendimento médio estadual comparada ao ONI, rendimento por fase do ENOS e correlação entre rendimento e as demais variáveis – reproduzindo, com a base do RS, o tipo de verificação já documentado na literatura (Pilau et al., 2022). O notebook parte da Tabela 1612 do SIDRA/IBGE, seleciona soja em grão para os municípios do RS, converte os valores numéricos e reorganiza as variáveis por município e safra; a mesma lógica é usada para integrar as fontes climáticas.</w:t>
      </w:r>
    </w:p>
    <w:p>
      <w:pPr>
        <w:keepNext/>
        <w:spacing w:before="280" w:after="160"/>
      </w:pPr>
      <w:r>
        <w:rPr>
          <w:b/>
          <w:bCs/>
          <w:sz w:val="24"/>
          <w:szCs w:val="24"/>
        </w:rPr>
        <w:t>4.4 Preparação dos dados</w:t>
      </w:r>
    </w:p>
    <w:p>
      <w:pPr>
        <w:spacing w:after="200" w:line="276" w:lineRule="auto"/>
        <w:ind w:firstLine="720"/>
        <w:jc w:val="both"/>
      </w:pPr>
      <w:r>
        <w:rPr>
          <w:sz w:val="24"/>
          <w:szCs w:val="24"/>
        </w:rPr>
        <w:t xml:space="preserve">Os dados brutos do SIDRA foram obtidos via API pública do IBGE (tabela 1612, variáveis de área plantada, área colhida, produção e rendimento médio, categoria soja em grão) para os 497 municípios do RS, 2000–2025 (26 safras), e reorganizados para o formato município × ano. O ONI foi agregado por janela de safra (outubro do ano anterior a março do ano da safra), também disponível até 2025. Os dados diários do INMET (45 estações automáticas do RS, 2000–2025, obtidos via BDMEP em duas etapas) foram associados a cada município pela estação mais próxima (distância de Haversine) e agregados na mesma janela de safra (soma de precipitação, média de temperatura), com combinações estação–safra de janela incompleta (menos de 150 dos ~182 dias esperados, por falha de equipamento ou estação recém-instalada) tratadas como ausentes em vez de soma parcial. Os dados de adubação fosfatada (Embrapa/CQFS-RS/SC) não foram integrados ao painel como variável, por serem uma tabela de referência por classe de solo, e não uma série observada por município; seu uso, como aplicação do modelo, é descrito na Seção 6.6.</w:t>
      </w:r>
    </w:p>
    <w:p>
      <w:pPr>
        <w:keepNext/>
        <w:spacing w:before="280" w:after="160"/>
      </w:pPr>
      <w:r>
        <w:rPr>
          <w:b/>
          <w:bCs/>
          <w:sz w:val="24"/>
          <w:szCs w:val="24"/>
        </w:rPr>
        <w:t>4.5 Resultados iniciais da análise exploratória</w:t>
      </w:r>
    </w:p>
    <w:p>
      <w:pPr>
        <w:spacing w:after="200" w:line="276" w:lineRule="auto"/>
        <w:ind w:firstLine="720"/>
        <w:jc w:val="both"/>
      </w:pPr>
      <w:r>
        <w:rPr>
          <w:sz w:val="24"/>
          <w:szCs w:val="24"/>
        </w:rPr>
        <w:t xml:space="preserve">Até o momento, as quatro fontes de dados descritas na Seção 4.1 foram efetivamente coletadas e documentadas, e o painel município–safra foi construído e analisado em um notebook Python, reunindo 12.922 pares município-safra (497 municípios do Rio Grande do Sul entre 2000 e 2025). O percentual de municípios do RS com produção de soja registrada na safra cresce de 70,4% em 2000 para 87,3% em 2025, refletindo a expansão histórica da cultura no estado – um ponto de atenção para a interpretação de médias estaduais nos anos iniciais da série.</w:t>
      </w:r>
    </w:p>
    <w:p>
      <w:pPr>
        <w:keepNext/>
        <w:spacing w:before="200" w:after="60"/>
        <w:jc w:val="center"/>
      </w:pPr>
      <w:r>
        <w:drawing>
          <wp:inline distT="0" distB="0" distL="0" distR="0">
            <wp:extent cx="5400040" cy="2700020"/>
            <wp:effectExtent l="0" t="0" r="0" b="0"/>
            <wp:docPr id="901" name="Imagem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
                    <pic:cNvPicPr/>
                  </pic:nvPicPr>
                  <pic:blipFill>
                    <a:blip r:embed="rId7"/>
                    <a:stretch>
                      <a:fillRect/>
                    </a:stretch>
                  </pic:blipFill>
                  <pic:spPr>
                    <a:xfrm>
                      <a:off x="0" y="0"/>
                      <a:ext cx="5400040" cy="2700020"/>
                    </a:xfrm>
                    <a:prstGeom prst="rect">
                      <a:avLst/>
                    </a:prstGeom>
                  </pic:spPr>
                </pic:pic>
              </a:graphicData>
            </a:graphic>
          </wp:inline>
        </w:drawing>
      </w:r>
    </w:p>
    <w:p>
      <w:pPr>
        <w:spacing w:before="120" w:after="300"/>
        <w:jc w:val="center"/>
      </w:pPr>
      <w:r>
        <w:rPr>
          <w:i/>
          <w:iCs/>
          <w:sz w:val="22"/>
          <w:szCs w:val="22"/>
        </w:rPr>
        <w:t xml:space="preserve">Figura 1 – Rendimento médio da soja nos municípios do RS, por safra (2000–2025). Fonte: elaboração própria a partir de IBGE/SIDRA (2026).</w:t>
      </w:r>
    </w:p>
    <w:p>
      <w:pPr>
        <w:spacing w:after="200" w:line="276" w:lineRule="auto"/>
        <w:ind w:firstLine="720"/>
        <w:jc w:val="both"/>
      </w:pPr>
      <w:r>
        <w:rPr>
          <w:sz w:val="24"/>
          <w:szCs w:val="24"/>
        </w:rPr>
        <w:t xml:space="preserve">A série de rendimento médio estadual reproduz corretamente eventos climáticos conhecidos, com destaque para a quebra de safra de 2004/2005 (rendimento médio de apenas 662 kg/ha, o menor da série), coincidindo com a grande seca histórica registrada no Rio Grande do Sul naquele período.</w:t>
      </w:r>
    </w:p>
    <w:p>
      <w:pPr>
        <w:keepNext/>
        <w:spacing w:before="200" w:after="60"/>
        <w:jc w:val="center"/>
      </w:pPr>
      <w:r>
        <w:drawing>
          <wp:inline distT="0" distB="0" distL="0" distR="0">
            <wp:extent cx="5400040" cy="3780028"/>
            <wp:effectExtent l="0" t="0" r="0" b="0"/>
            <wp:docPr id="902" name="Imagem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
                    <pic:cNvPicPr/>
                  </pic:nvPicPr>
                  <pic:blipFill>
                    <a:blip r:embed="rId8"/>
                    <a:stretch>
                      <a:fillRect/>
                    </a:stretch>
                  </pic:blipFill>
                  <pic:spPr>
                    <a:xfrm>
                      <a:off x="0" y="0"/>
                      <a:ext cx="5400040" cy="3780028"/>
                    </a:xfrm>
                    <a:prstGeom prst="rect">
                      <a:avLst/>
                    </a:prstGeom>
                  </pic:spPr>
                </pic:pic>
              </a:graphicData>
            </a:graphic>
          </wp:inline>
        </w:drawing>
      </w:r>
    </w:p>
    <w:p>
      <w:pPr>
        <w:spacing w:before="120" w:after="300"/>
        <w:jc w:val="center"/>
      </w:pPr>
      <w:r>
        <w:rPr>
          <w:i/>
          <w:iCs/>
          <w:sz w:val="22"/>
          <w:szCs w:val="22"/>
        </w:rPr>
        <w:t xml:space="preserve">Figura 2 – Rendimento médio da soja por fase do ENOS, classificada pelo ONI médio da safra (RS, 2000–2025). Fonte: elaboração própria a partir de IBGE/SIDRA e NOAA/CPC (2026).</w:t>
      </w:r>
    </w:p>
    <w:p>
      <w:pPr>
        <w:spacing w:after="200" w:line="276" w:lineRule="auto"/>
        <w:ind w:firstLine="720"/>
        <w:jc w:val="both"/>
      </w:pPr>
      <w:r>
        <w:rPr>
          <w:sz w:val="24"/>
          <w:szCs w:val="24"/>
        </w:rPr>
        <w:t xml:space="preserve">Considerando todos os pares município-safra, o rendimento médio observado sob La Niña (≈2.151 kg/ha) é inferior ao observado em safras neutras (≈2.432 kg/ha) e sob El Niño (≈2.395 kg/ha). Esse resultado é compatível com Pilau et al. (2022) e Nóia Júnior et al. (2020), que descrevem efeitos negativos consistentes da fase fria do ENOS sobre a produtividade da soja no sul do Brasil, e reforça o uso do ONI como atributo do modelo.</w:t>
      </w:r>
    </w:p>
    <w:p>
      <w:pPr>
        <w:keepNext/>
        <w:spacing w:before="200" w:after="60"/>
        <w:jc w:val="center"/>
      </w:pPr>
      <w:r>
        <w:drawing>
          <wp:inline distT="0" distB="0" distL="0" distR="0">
            <wp:extent cx="5400040" cy="3960029"/>
            <wp:effectExtent l="0" t="0" r="0" b="0"/>
            <wp:docPr id="903" name="Imagem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
                    <pic:cNvPicPr/>
                  </pic:nvPicPr>
                  <pic:blipFill>
                    <a:blip r:embed="rId9"/>
                    <a:stretch>
                      <a:fillRect/>
                    </a:stretch>
                  </pic:blipFill>
                  <pic:spPr>
                    <a:xfrm>
                      <a:off x="0" y="0"/>
                      <a:ext cx="5400040" cy="3960029"/>
                    </a:xfrm>
                    <a:prstGeom prst="rect">
                      <a:avLst/>
                    </a:prstGeom>
                  </pic:spPr>
                </pic:pic>
              </a:graphicData>
            </a:graphic>
          </wp:inline>
        </w:drawing>
      </w:r>
    </w:p>
    <w:p>
      <w:pPr>
        <w:spacing w:before="120" w:after="300"/>
        <w:jc w:val="center"/>
      </w:pPr>
      <w:r>
        <w:rPr>
          <w:i/>
          <w:iCs/>
          <w:sz w:val="22"/>
          <w:szCs w:val="22"/>
        </w:rPr>
        <w:t xml:space="preserve">Figura 3 – Matriz de correlação entre as variáveis do painel município–safra (RS, 2000–2025). Fonte: elaboração própria (2026).</w:t>
      </w:r>
    </w:p>
    <w:p>
      <w:pPr>
        <w:spacing w:after="200" w:line="276" w:lineRule="auto"/>
        <w:ind w:firstLine="720"/>
        <w:jc w:val="both"/>
      </w:pPr>
      <w:r>
        <w:rPr>
          <w:sz w:val="24"/>
          <w:szCs w:val="24"/>
        </w:rPr>
        <w:t xml:space="preserve">No nível município-safra (sem separar por município), a correlação entre rendimento e ONI médio da safra é fraca (≈0,22) e entre rendimento e precipitação acumulada na safra é moderada (≈0,38) – coerente com a literatura, mas mostra que variáveis agregadas simples não bastam sozinhas. A hipótese de que Random Forest e Gradient Boosting capturariam melhor as interações não lineares é avaliada na Seção 6. Limitações identificadas na base: (i) a janela do ONI usada é uma primeira aproximação; (ii) municípios distantes das 45 estações do INMET têm o clima estimado por uma estação potencialmente distante; (iii) períodos em que a estação estava em pane geram dados ausentes; (iv) a adubação fosfatada não é uma série observada (Seção 6.6).</w:t>
      </w:r>
    </w:p>
    <w:p>
      <w:pPr>
        <w:keepNext/>
      </w:pPr>
      <w:r>
        <w:rPr>
          <w:b/>
          <w:bCs/>
          <w:sz w:val="28"/>
          <w:szCs w:val="28"/>
        </w:rPr>
        <w:t>5. Metodologia</w:t>
      </w:r>
    </w:p>
    <w:p>
      <w:pPr>
        <w:spacing w:after="200" w:line="276" w:lineRule="auto"/>
        <w:ind w:firstLine="720"/>
        <w:jc w:val="both"/>
      </w:pPr>
      <w:r>
        <w:rPr>
          <w:sz w:val="24"/>
          <w:szCs w:val="24"/>
        </w:rPr>
        <w:t xml:space="preserve">A pesquisa é aplicada, quantitativa e preditiva, com unidade de análise município–safra, restrita ao Rio Grande do Sul. A modelagem foi conduzida em quatro etapas, cada uma motivada pelo diagnóstico dos erros da anterior; todas estão em notebooks Python no GitHub do projeto. Duas alternativas de série temporal foram consideradas e descartadas: uma série agregada por estado (eliminaria a granularidade municipal) e um modelo de série temporal global (ex.: DeepAR, N-BEATS), por desproporção entre esforço e prazo e pelo tamanho reduzido da base.</w:t>
      </w:r>
    </w:p>
    <w:p>
      <w:pPr>
        <w:keepNext/>
        <w:spacing w:before="280" w:after="160"/>
      </w:pPr>
      <w:r>
        <w:rPr>
          <w:b/>
          <w:bCs/>
          <w:sz w:val="24"/>
          <w:szCs w:val="24"/>
        </w:rPr>
        <w:t>5.1 Variáveis climáticas por subperíodo e balanço hídrico</w:t>
      </w:r>
    </w:p>
    <w:p>
      <w:pPr>
        <w:spacing w:after="200" w:line="276" w:lineRule="auto"/>
        <w:ind w:firstLine="720"/>
        <w:jc w:val="both"/>
      </w:pPr>
      <w:r>
        <w:rPr>
          <w:sz w:val="24"/>
          <w:szCs w:val="24"/>
        </w:rPr>
        <w:t xml:space="preserve">A primeira versão dos modelos usou apenas a chuva total e a temperatura média de outubro a março. Como esse resumo não distingue </w:t>
      </w:r>
      <w:r>
        <w:rPr>
          <w:i/>
          <w:iCs/>
          <w:sz w:val="24"/>
          <w:szCs w:val="24"/>
        </w:rPr>
        <w:t xml:space="preserve">quando</w:t>
      </w:r>
      <w:r>
        <w:rPr>
          <w:sz w:val="24"/>
          <w:szCs w:val="24"/>
        </w:rPr>
        <w:t xml:space="preserve"> a chuva ocorreu, o clima diário do INMET foi reagregado em subperíodos do ciclo da soja no RS: out–nov (semeadura), dez–fev (floração e enchimento de grãos, período crítico) e março (maturação). Para dez–fev foram calculados também a maior sequência de dias secos (&lt; 1 mm), o número de dias com temperatura máxima ≥ 32 °C, a média da temperatura máxima e a média da umidade relativa mínima. Cada variável só é calculada se a estação tiver dado em pelo menos 80% dos dias do subperíodo.</w:t>
      </w:r>
    </w:p>
    <w:p>
      <w:pPr>
        <w:spacing w:after="200" w:line="276" w:lineRule="auto"/>
        <w:ind w:firstLine="720"/>
        <w:jc w:val="both"/>
      </w:pPr>
      <w:r>
        <w:rPr>
          <w:sz w:val="24"/>
          <w:szCs w:val="24"/>
        </w:rPr>
        <w:t xml:space="preserve">Como chuva e umidade não medem diretamente a falta de água no solo, foi calculado um balanço hídrico diário por estação. A evapotranspiração de referência foi estimada pelo método de Hargreaves–Samani (Hargreaves e Samani, 1985), recomendado pela FAO quando não há medição de radiação solar (Allen et al., 1998):</w:t>
      </w:r>
    </w:p>
    <w:p>
      <w:pPr>
        <w:spacing w:before="120" w:after="200"/>
        <w:jc w:val="center"/>
      </w:pPr>
      <w:r>
        <w:rPr>
          <w:i/>
          <w:iCs/>
          <w:sz w:val="24"/>
          <w:szCs w:val="24"/>
        </w:rPr>
        <w:t xml:space="preserve">ET</w:t>
      </w:r>
      <w:r>
        <w:rPr>
          <w:i/>
          <w:iCs/>
          <w:sz w:val="24"/>
          <w:szCs w:val="24"/>
          <w:vertAlign w:val="subscript"/>
        </w:rPr>
        <w:t xml:space="preserve">o</w:t>
      </w:r>
      <w:r>
        <w:rPr>
          <w:i/>
          <w:iCs/>
          <w:sz w:val="24"/>
          <w:szCs w:val="24"/>
        </w:rPr>
        <w:t xml:space="preserve"> = 0,0023 · 0,408 R</w:t>
      </w:r>
      <w:r>
        <w:rPr>
          <w:i/>
          <w:iCs/>
          <w:sz w:val="24"/>
          <w:szCs w:val="24"/>
          <w:vertAlign w:val="subscript"/>
        </w:rPr>
        <w:t xml:space="preserve">a</w:t>
      </w:r>
      <w:r>
        <w:rPr>
          <w:i/>
          <w:iCs/>
          <w:sz w:val="24"/>
          <w:szCs w:val="24"/>
        </w:rPr>
        <w:t xml:space="preserve"> · (T</w:t>
      </w:r>
      <w:r>
        <w:rPr>
          <w:i/>
          <w:iCs/>
          <w:sz w:val="24"/>
          <w:szCs w:val="24"/>
          <w:vertAlign w:val="subscript"/>
        </w:rPr>
        <w:t xml:space="preserve">med</w:t>
      </w:r>
      <w:r>
        <w:rPr>
          <w:i/>
          <w:iCs/>
          <w:sz w:val="24"/>
          <w:szCs w:val="24"/>
        </w:rPr>
        <w:t xml:space="preserve"> + 17,8) · √(T</w:t>
      </w:r>
      <w:r>
        <w:rPr>
          <w:i/>
          <w:iCs/>
          <w:sz w:val="24"/>
          <w:szCs w:val="24"/>
          <w:vertAlign w:val="subscript"/>
        </w:rPr>
        <w:t xml:space="preserve">max</w:t>
      </w:r>
      <w:r>
        <w:rPr>
          <w:i/>
          <w:iCs/>
          <w:sz w:val="24"/>
          <w:szCs w:val="24"/>
        </w:rPr>
        <w:t xml:space="preserve"> − T</w:t>
      </w:r>
      <w:r>
        <w:rPr>
          <w:i/>
          <w:iCs/>
          <w:sz w:val="24"/>
          <w:szCs w:val="24"/>
          <w:vertAlign w:val="subscript"/>
        </w:rPr>
        <w:t xml:space="preserve">min</w:t>
      </w:r>
      <w:r>
        <w:rPr>
          <w:i/>
          <w:iCs/>
          <w:sz w:val="24"/>
          <w:szCs w:val="24"/>
        </w:rPr>
        <w:t xml:space="preserve">)</w:t>
      </w:r>
    </w:p>
    <w:p>
      <w:pPr>
        <w:spacing w:after="200" w:line="276" w:lineRule="auto"/>
        <w:jc w:val="both"/>
      </w:pPr>
      <w:r>
        <w:rPr>
          <w:sz w:val="24"/>
          <w:szCs w:val="24"/>
        </w:rPr>
        <w:t xml:space="preserve">em que R</w:t>
      </w:r>
      <w:r>
        <w:rPr>
          <w:sz w:val="24"/>
          <w:szCs w:val="24"/>
          <w:vertAlign w:val="subscript"/>
        </w:rPr>
        <w:t xml:space="preserve">a</w:t>
      </w:r>
      <w:r>
        <w:rPr>
          <w:sz w:val="24"/>
          <w:szCs w:val="24"/>
        </w:rPr>
        <w:t xml:space="preserve"> é a radiação no topo da atmosfera, calculada a partir da latitude da estação e do dia do ano. O solo foi representado como um reservatório (modelo de balde) com capacidade de água disponível (CAD) de 75 mm, cheio em 1º de outubro; a cada dia entra a chuva e sai a evapotranspiração, e a parcela da demanda não atendida quando o reservatório se esgota é o déficit hídrico do dia. A variável usada é o déficit acumulado em dez–fev. Duas hipóteses são declaradas: CAD única para todo o estado e coeficiente de cultura igual a 1. A sensibilidade à CAD foi testada (50 e 100 mm) e não alterou o resultado.</w:t>
      </w:r>
    </w:p>
    <w:p>
      <w:pPr>
        <w:keepNext/>
        <w:spacing w:before="280" w:after="160"/>
      </w:pPr>
      <w:r>
        <w:rPr>
          <w:b/>
          <w:bCs/>
          <w:sz w:val="24"/>
          <w:szCs w:val="24"/>
        </w:rPr>
        <w:t>5.2 Patamar esperado e modelos</w:t>
      </w:r>
    </w:p>
    <w:p>
      <w:pPr>
        <w:spacing w:after="200" w:line="276" w:lineRule="auto"/>
        <w:ind w:firstLine="720"/>
        <w:jc w:val="both"/>
      </w:pPr>
      <w:r>
        <w:rPr>
          <w:sz w:val="24"/>
          <w:szCs w:val="24"/>
        </w:rPr>
        <w:t xml:space="preserve">Cada previsão é a soma de um </w:t>
      </w:r>
      <w:r>
        <w:rPr>
          <w:b/>
          <w:bCs/>
          <w:sz w:val="24"/>
          <w:szCs w:val="24"/>
        </w:rPr>
        <w:t xml:space="preserve">patamar</w:t>
      </w:r>
      <w:r>
        <w:rPr>
          <w:sz w:val="24"/>
          <w:szCs w:val="24"/>
        </w:rPr>
        <w:t xml:space="preserve"> – o rendimento esperado do município numa safra normal – e de um </w:t>
      </w:r>
      <w:r>
        <w:rPr>
          <w:b/>
          <w:bCs/>
          <w:sz w:val="24"/>
          <w:szCs w:val="24"/>
        </w:rPr>
        <w:t xml:space="preserve">desvio</w:t>
      </w:r>
      <w:r>
        <w:rPr>
          <w:sz w:val="24"/>
          <w:szCs w:val="24"/>
        </w:rPr>
        <w:t xml:space="preserve"> explicado pelo clima. Quatro formas de patamar foram comparadas, todas calculadas apenas com safras anteriores à prevista: reta de tendência estadual com todo o histórico, média móvel dos últimos 5 anos do município, média olímpica dos últimos 5 anos (descartando o melhor e o pior ano) e reta dos últimos 10 anos. A média móvel de 5 anos teve o melhor desempenho e foi adotada.</w:t>
      </w:r>
    </w:p>
    <w:p>
      <w:pPr>
        <w:spacing w:after="200" w:line="276" w:lineRule="auto"/>
        <w:ind w:firstLine="720"/>
        <w:jc w:val="both"/>
      </w:pPr>
      <w:r>
        <w:rPr>
          <w:sz w:val="24"/>
          <w:szCs w:val="24"/>
        </w:rPr>
        <w:t xml:space="preserve">O desvio foi modelado por: (F) regressão linear reduzida, com uma variável por fenômeno – chuva de out–nov, chuva de dez–fev e seu quadrado, chuva de março, dias de calor e umidade mínima de dez–fev; (H1) F acrescida do déficit hídrico; (H2) H1 acrescida de dois termos de seca extrema, max(0, U</w:t>
      </w:r>
      <w:r>
        <w:rPr>
          <w:sz w:val="24"/>
          <w:szCs w:val="24"/>
          <w:vertAlign w:val="subscript"/>
        </w:rPr>
        <w:t xml:space="preserve">20</w:t>
      </w:r>
      <w:r>
        <w:rPr>
          <w:sz w:val="24"/>
          <w:szCs w:val="24"/>
        </w:rPr>
        <w:t xml:space="preserve"> − U) e max(0, D − D</w:t>
      </w:r>
      <w:r>
        <w:rPr>
          <w:sz w:val="24"/>
          <w:szCs w:val="24"/>
          <w:vertAlign w:val="subscript"/>
        </w:rPr>
        <w:t xml:space="preserve">80</w:t>
      </w:r>
      <w:r>
        <w:rPr>
          <w:sz w:val="24"/>
          <w:szCs w:val="24"/>
        </w:rPr>
        <w:t xml:space="preserve">), em que U é a umidade mínima, D o déficit hídrico e U</w:t>
      </w:r>
      <w:r>
        <w:rPr>
          <w:sz w:val="24"/>
          <w:szCs w:val="24"/>
          <w:vertAlign w:val="subscript"/>
        </w:rPr>
        <w:t xml:space="preserve">20</w:t>
      </w:r>
      <w:r>
        <w:rPr>
          <w:sz w:val="24"/>
          <w:szCs w:val="24"/>
        </w:rPr>
        <w:t xml:space="preserve"> e D</w:t>
      </w:r>
      <w:r>
        <w:rPr>
          <w:sz w:val="24"/>
          <w:szCs w:val="24"/>
          <w:vertAlign w:val="subscript"/>
        </w:rPr>
        <w:t xml:space="preserve">80</w:t>
      </w:r>
      <w:r>
        <w:rPr>
          <w:sz w:val="24"/>
          <w:szCs w:val="24"/>
        </w:rPr>
        <w:t xml:space="preserve"> os níveis que delimitam as 20% safras mais secas do treino – esses termos valem zero em safras normais e permitem que a perda cresça mais rápido na seca forte; (GB) Gradient Boosting com todas as variáveis climáticas, o ONI e as do balanço hídrico; e a média simples de H2 e GB. Random Forest (500 árvores) foi avaliado nas primeiras etapas. Os hiperparâmetros das árvores foram fixados a priori (Gradient Boosting: taxa de aprendizado 0,05, até 500 iterações com parada antecipada). As linhas de base são a média histórica do município (todas as safras anteriores) e o rendimento da safra anterior. O modelo usa apenas informações disponíveis até o fim de março (a chuva de março é a última variável), permitindo a previsão cerca de um mês antes da colheita (abril–maio).</w:t>
      </w:r>
    </w:p>
    <w:p>
      <w:pPr>
        <w:keepNext/>
        <w:spacing w:before="280" w:after="160"/>
      </w:pPr>
      <w:r>
        <w:rPr>
          <w:b/>
          <w:bCs/>
          <w:sz w:val="24"/>
          <w:szCs w:val="24"/>
        </w:rPr>
        <w:t>5.3 Validação e métricas</w:t>
      </w:r>
    </w:p>
    <w:p>
      <w:pPr>
        <w:spacing w:after="200" w:line="276" w:lineRule="auto"/>
        <w:ind w:firstLine="720"/>
        <w:jc w:val="both"/>
      </w:pPr>
      <w:r>
        <w:rPr>
          <w:sz w:val="24"/>
          <w:szCs w:val="24"/>
        </w:rPr>
        <w:t xml:space="preserve">A base de modelagem tem 5.260 pares município–safra (448 municípios, safras 2005–2025) com rendimento, patamar e todas as variáveis climáticas. Foram usadas duas validações: (i) </w:t>
      </w:r>
      <w:r>
        <w:rPr>
          <w:b/>
          <w:bCs/>
          <w:sz w:val="24"/>
          <w:szCs w:val="24"/>
        </w:rPr>
        <w:t xml:space="preserve">corte temporal</w:t>
      </w:r>
      <w:r>
        <w:rPr>
          <w:sz w:val="24"/>
          <w:szCs w:val="24"/>
        </w:rPr>
        <w:t xml:space="preserve">, com treino até 2020 (3.669 linhas) e teste em 2021–2025 (1.591 linhas), que simula a previsão real nas safras mais recentes; e (ii) </w:t>
      </w:r>
      <w:r>
        <w:rPr>
          <w:b/>
          <w:bCs/>
          <w:sz w:val="24"/>
          <w:szCs w:val="24"/>
        </w:rPr>
        <w:t xml:space="preserve">deixando uma safra de fora</w:t>
      </w:r>
      <w:r>
        <w:rPr>
          <w:sz w:val="24"/>
          <w:szCs w:val="24"/>
        </w:rPr>
        <w:t xml:space="preserve">, em que cada safra de 2008 a 2025 é prevista por um modelo treinado com todas as demais (5.125 linhas avaliadas), medindo a estabilidade da relação clima–rendimento. As métricas são RMSE, MAE, R</w:t>
      </w:r>
      <w:r>
        <w:rPr>
          <w:sz w:val="24"/>
          <w:szCs w:val="24"/>
          <w:vertAlign w:val="superscript"/>
        </w:rPr>
        <w:t xml:space="preserve">2</w:t>
      </w:r>
      <w:r>
        <w:rPr>
          <w:sz w:val="24"/>
          <w:szCs w:val="24"/>
        </w:rPr>
        <w:t xml:space="preserve"> e viés médio (previsto − observado). O modelo final é o de menor RMSE médio nas duas validações.</w:t>
      </w:r>
    </w:p>
    <w:p>
      <w:pPr>
        <w:keepNext/>
      </w:pPr>
      <w:r>
        <w:rPr>
          <w:b/>
          <w:bCs/>
          <w:sz w:val="28"/>
          <w:szCs w:val="28"/>
        </w:rPr>
        <w:t>6. Resultados</w:t>
      </w:r>
    </w:p>
    <w:p>
      <w:pPr>
        <w:keepNext/>
        <w:spacing w:before="280" w:after="160"/>
      </w:pPr>
      <w:r>
        <w:rPr>
          <w:b/>
          <w:bCs/>
          <w:sz w:val="24"/>
          <w:szCs w:val="24"/>
        </w:rPr>
        <w:t>6.1 Evolução da modelagem</w:t>
      </w:r>
    </w:p>
    <w:p>
      <w:pPr>
        <w:spacing w:after="200" w:line="276" w:lineRule="auto"/>
        <w:ind w:firstLine="720"/>
        <w:jc w:val="both"/>
      </w:pPr>
      <w:r>
        <w:rPr>
          <w:sz w:val="24"/>
          <w:szCs w:val="24"/>
        </w:rPr>
        <w:t xml:space="preserve">A Tabela 3 resume as quatro etapas. Na Etapa 1, nenhum modelo superou a média do período de teste (R</w:t>
      </w:r>
      <w:r>
        <w:rPr>
          <w:sz w:val="24"/>
          <w:szCs w:val="24"/>
          <w:vertAlign w:val="superscript"/>
        </w:rPr>
        <w:t xml:space="preserve">2</w:t>
      </w:r>
      <w:r>
        <w:rPr>
          <w:sz w:val="24"/>
          <w:szCs w:val="24"/>
        </w:rPr>
        <w:t xml:space="preserve"> negativo): as safras 2021 e 2022 tiveram chuva total semelhante (≈700 e ≈660 mm), mas rendimento recorde e quebra, respectivamente – a diferença estava na chuva de dez–fev (≈360 × 200 mm). Na Etapa 2, o clima por subperíodo passou a explicar as safras, mas as previsões de 2021–2025 ficaram enviesadas para cima porque a tendência ajustada até 2020 projetava mais de 3.000 kg/ha, e a média observada em 2020–2025 foi de ≈2.370 kg/ha. Uma lição metodológica dessa etapa: a validação deixando uma safra de fora indicou R</w:t>
      </w:r>
      <w:r>
        <w:rPr>
          <w:sz w:val="24"/>
          <w:szCs w:val="24"/>
          <w:vertAlign w:val="superscript"/>
        </w:rPr>
        <w:t xml:space="preserve">2</w:t>
      </w:r>
      <w:r>
        <w:rPr>
          <w:sz w:val="24"/>
          <w:szCs w:val="24"/>
        </w:rPr>
        <w:t xml:space="preserve"> de 0,44, valor otimista porque a tendência usava safras posteriores à prevista; com o patamar calculado apenas com o passado (Etapa 3), o valor realista é ≈0,25.</w:t>
      </w:r>
    </w:p>
    <w:tbl>
      <w:tblPr>
        <w:tblW w:w="850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000"/>
        <w:gridCol w:w="3200"/>
        <w:gridCol w:w="4300"/>
      </w:tblGrid>
      <w:tr>
        <w:trPr>
          <w:tblHeader/>
        </w:trPr>
        <w:tc>
          <w:tcPr>
            <w:tcW w:w="1000" w:type="dxa"/>
            <w:shd w:val="clear" w:color="auto" w:fill="D9D9D9"/>
            <w:tcMar>
              <w:top w:w="80" w:type="dxa"/>
              <w:left w:w="100" w:type="dxa"/>
              <w:bottom w:w="80" w:type="dxa"/>
              <w:right w:w="100" w:type="dxa"/>
            </w:tcMar>
          </w:tcPr>
          <w:p>
            <w:r>
              <w:rPr>
                <w:b/>
                <w:bCs/>
                <w:sz w:val="22"/>
                <w:szCs w:val="22"/>
              </w:rPr>
              <w:t xml:space="preserve">Etapa</w:t>
            </w:r>
          </w:p>
        </w:tc>
        <w:tc>
          <w:tcPr>
            <w:tcW w:w="3200" w:type="dxa"/>
            <w:shd w:val="clear" w:color="auto" w:fill="D9D9D9"/>
            <w:tcMar>
              <w:top w:w="80" w:type="dxa"/>
              <w:left w:w="100" w:type="dxa"/>
              <w:bottom w:w="80" w:type="dxa"/>
              <w:right w:w="100" w:type="dxa"/>
            </w:tcMar>
          </w:tcPr>
          <w:p>
            <w:r>
              <w:rPr>
                <w:b/>
                <w:bCs/>
                <w:sz w:val="22"/>
                <w:szCs w:val="22"/>
              </w:rPr>
              <w:t xml:space="preserve">Mudança</w:t>
            </w:r>
          </w:p>
        </w:tc>
        <w:tc>
          <w:tcPr>
            <w:tcW w:w="4300" w:type="dxa"/>
            <w:shd w:val="clear" w:color="auto" w:fill="D9D9D9"/>
            <w:tcMar>
              <w:top w:w="80" w:type="dxa"/>
              <w:left w:w="100" w:type="dxa"/>
              <w:bottom w:w="80" w:type="dxa"/>
              <w:right w:w="100" w:type="dxa"/>
            </w:tcMar>
          </w:tcPr>
          <w:p>
            <w:r>
              <w:rPr>
                <w:b/>
                <w:bCs/>
                <w:sz w:val="22"/>
                <w:szCs w:val="22"/>
              </w:rPr>
              <w:t xml:space="preserve">Resultado principal</w:t>
            </w:r>
          </w:p>
        </w:tc>
      </w:tr>
      <w:tr>
        <w:tc>
          <w:tcPr>
            <w:tcW w:w="1000" w:type="dxa"/>
            <w:tcMar>
              <w:top w:w="80" w:type="dxa"/>
              <w:left w:w="100" w:type="dxa"/>
              <w:bottom w:w="80" w:type="dxa"/>
              <w:right w:w="100" w:type="dxa"/>
            </w:tcMar>
          </w:tcPr>
          <w:p>
            <w:r>
              <w:rPr>
                <w:sz w:val="22"/>
                <w:szCs w:val="22"/>
              </w:rPr>
              <w:t xml:space="preserve">1</w:t>
            </w:r>
          </w:p>
        </w:tc>
        <w:tc>
          <w:tcPr>
            <w:tcW w:w="3200" w:type="dxa"/>
            <w:tcMar>
              <w:top w:w="80" w:type="dxa"/>
              <w:left w:w="100" w:type="dxa"/>
              <w:bottom w:w="80" w:type="dxa"/>
              <w:right w:w="100" w:type="dxa"/>
            </w:tcMar>
          </w:tcPr>
          <w:p>
            <w:r>
              <w:rPr>
                <w:sz w:val="22"/>
                <w:szCs w:val="22"/>
              </w:rPr>
              <w:t xml:space="preserve">Clima agregado (out–mar)</w:t>
            </w:r>
          </w:p>
        </w:tc>
        <w:tc>
          <w:tcPr>
            <w:tcW w:w="4300" w:type="dxa"/>
            <w:tcMar>
              <w:top w:w="80" w:type="dxa"/>
              <w:left w:w="100" w:type="dxa"/>
              <w:bottom w:w="80" w:type="dxa"/>
              <w:right w:w="100" w:type="dxa"/>
            </w:tcMar>
          </w:tcPr>
          <w:p>
            <w:r>
              <w:rPr>
                <w:sz w:val="22"/>
                <w:szCs w:val="22"/>
              </w:rPr>
              <w:t xml:space="preserve">R</w:t>
            </w:r>
            <w:r>
              <w:rPr>
                <w:sz w:val="22"/>
                <w:szCs w:val="22"/>
                <w:vertAlign w:val="superscript"/>
              </w:rPr>
              <w:t xml:space="preserve">2</w:t>
            </w:r>
            <w:r>
              <w:rPr>
                <w:sz w:val="22"/>
                <w:szCs w:val="22"/>
              </w:rPr>
              <w:t xml:space="preserve"> &lt; 0 no teste 2021–2025 para todos os modelos.</w:t>
            </w:r>
          </w:p>
        </w:tc>
      </w:tr>
      <w:tr>
        <w:tc>
          <w:tcPr>
            <w:tcW w:w="1000" w:type="dxa"/>
            <w:tcMar>
              <w:top w:w="80" w:type="dxa"/>
              <w:left w:w="100" w:type="dxa"/>
              <w:bottom w:w="80" w:type="dxa"/>
              <w:right w:w="100" w:type="dxa"/>
            </w:tcMar>
          </w:tcPr>
          <w:p>
            <w:r>
              <w:rPr>
                <w:sz w:val="22"/>
                <w:szCs w:val="22"/>
              </w:rPr>
              <w:t xml:space="preserve">2</w:t>
            </w:r>
          </w:p>
        </w:tc>
        <w:tc>
          <w:tcPr>
            <w:tcW w:w="3200" w:type="dxa"/>
            <w:tcMar>
              <w:top w:w="80" w:type="dxa"/>
              <w:left w:w="100" w:type="dxa"/>
              <w:bottom w:w="80" w:type="dxa"/>
              <w:right w:w="100" w:type="dxa"/>
            </w:tcMar>
          </w:tcPr>
          <w:p>
            <w:r>
              <w:rPr>
                <w:sz w:val="22"/>
                <w:szCs w:val="22"/>
              </w:rPr>
              <w:t xml:space="preserve">Clima por subperíodo</w:t>
            </w:r>
          </w:p>
        </w:tc>
        <w:tc>
          <w:tcPr>
            <w:tcW w:w="4300" w:type="dxa"/>
            <w:tcMar>
              <w:top w:w="80" w:type="dxa"/>
              <w:left w:w="100" w:type="dxa"/>
              <w:bottom w:w="80" w:type="dxa"/>
              <w:right w:w="100" w:type="dxa"/>
            </w:tcMar>
          </w:tcPr>
          <w:p>
            <w:r>
              <w:rPr>
                <w:sz w:val="22"/>
                <w:szCs w:val="22"/>
              </w:rPr>
              <w:t xml:space="preserve">Clima explica as safras, mas viés de +500 a +750 kg/ha em 2021–2025 pela tendência extrapolada.</w:t>
            </w:r>
          </w:p>
        </w:tc>
      </w:tr>
      <w:tr>
        <w:tc>
          <w:tcPr>
            <w:tcW w:w="1000" w:type="dxa"/>
            <w:tcMar>
              <w:top w:w="80" w:type="dxa"/>
              <w:left w:w="100" w:type="dxa"/>
              <w:bottom w:w="80" w:type="dxa"/>
              <w:right w:w="100" w:type="dxa"/>
            </w:tcMar>
          </w:tcPr>
          <w:p>
            <w:r>
              <w:rPr>
                <w:sz w:val="22"/>
                <w:szCs w:val="22"/>
              </w:rPr>
              <w:t xml:space="preserve">3</w:t>
            </w:r>
          </w:p>
        </w:tc>
        <w:tc>
          <w:tcPr>
            <w:tcW w:w="3200" w:type="dxa"/>
            <w:tcMar>
              <w:top w:w="80" w:type="dxa"/>
              <w:left w:w="100" w:type="dxa"/>
              <w:bottom w:w="80" w:type="dxa"/>
              <w:right w:w="100" w:type="dxa"/>
            </w:tcMar>
          </w:tcPr>
          <w:p>
            <w:r>
              <w:rPr>
                <w:sz w:val="22"/>
                <w:szCs w:val="22"/>
              </w:rPr>
              <w:t xml:space="preserve">Patamar com safras anteriores (média móvel 5 anos)</w:t>
            </w:r>
          </w:p>
        </w:tc>
        <w:tc>
          <w:tcPr>
            <w:tcW w:w="4300" w:type="dxa"/>
            <w:tcMar>
              <w:top w:w="80" w:type="dxa"/>
              <w:left w:w="100" w:type="dxa"/>
              <w:bottom w:w="80" w:type="dxa"/>
              <w:right w:w="100" w:type="dxa"/>
            </w:tcMar>
          </w:tcPr>
          <w:p>
            <w:r>
              <w:rPr>
                <w:sz w:val="22"/>
                <w:szCs w:val="22"/>
              </w:rPr>
              <w:t xml:space="preserve">RMSE 767 / 689; supera as linhas de base.</w:t>
            </w:r>
          </w:p>
        </w:tc>
      </w:tr>
      <w:tr>
        <w:tc>
          <w:tcPr>
            <w:tcW w:w="1000" w:type="dxa"/>
            <w:tcMar>
              <w:top w:w="80" w:type="dxa"/>
              <w:left w:w="100" w:type="dxa"/>
              <w:bottom w:w="80" w:type="dxa"/>
              <w:right w:w="100" w:type="dxa"/>
            </w:tcMar>
          </w:tcPr>
          <w:p>
            <w:pPr>
              <w:keepNext/>
            </w:pPr>
            <w:r>
              <w:rPr>
                <w:sz w:val="22"/>
                <w:szCs w:val="22"/>
              </w:rPr>
              <w:t xml:space="preserve">4</w:t>
            </w:r>
          </w:p>
        </w:tc>
        <w:tc>
          <w:tcPr>
            <w:tcW w:w="3200" w:type="dxa"/>
            <w:tcMar>
              <w:top w:w="80" w:type="dxa"/>
              <w:left w:w="100" w:type="dxa"/>
              <w:bottom w:w="80" w:type="dxa"/>
              <w:right w:w="100" w:type="dxa"/>
            </w:tcMar>
          </w:tcPr>
          <w:p>
            <w:pPr>
              <w:keepNext/>
            </w:pPr>
            <w:r>
              <w:rPr>
                <w:sz w:val="22"/>
                <w:szCs w:val="22"/>
              </w:rPr>
              <w:t xml:space="preserve">Balanço hídrico e limiares de seca extrema</w:t>
            </w:r>
          </w:p>
        </w:tc>
        <w:tc>
          <w:tcPr>
            <w:tcW w:w="4300" w:type="dxa"/>
            <w:tcMar>
              <w:top w:w="80" w:type="dxa"/>
              <w:left w:w="100" w:type="dxa"/>
              <w:bottom w:w="80" w:type="dxa"/>
              <w:right w:w="100" w:type="dxa"/>
            </w:tcMar>
          </w:tcPr>
          <w:p>
            <w:pPr>
              <w:keepNext/>
            </w:pPr>
            <w:r>
              <w:rPr>
                <w:sz w:val="22"/>
                <w:szCs w:val="22"/>
              </w:rPr>
              <w:t xml:space="preserve">RMSE 740 / 684 (modelo final, H2).</w:t>
            </w:r>
          </w:p>
        </w:tc>
      </w:tr>
    </w:tbl>
    <w:p>
      <w:pPr>
        <w:spacing w:before="120" w:after="300"/>
        <w:jc w:val="center"/>
      </w:pPr>
      <w:r>
        <w:rPr>
          <w:i/>
          <w:iCs/>
          <w:sz w:val="22"/>
          <w:szCs w:val="22"/>
        </w:rPr>
        <w:t xml:space="preserve">Tabela 3 – Evolução da modelagem por etapa. RMSE em kg/ha (corte temporal / deixando uma safra de fora). Fonte: elaboração própria (2026).</w:t>
      </w:r>
    </w:p>
    <w:p>
      <w:pPr>
        <w:keepNext/>
        <w:spacing w:before="280" w:after="160"/>
      </w:pPr>
      <w:r>
        <w:rPr>
          <w:b/>
          <w:bCs/>
          <w:sz w:val="24"/>
          <w:szCs w:val="24"/>
        </w:rPr>
        <w:t>6.2 Comparação dos modelos</w:t>
      </w:r>
    </w:p>
    <w:p>
      <w:pPr>
        <w:spacing w:after="200" w:line="276" w:lineRule="auto"/>
        <w:ind w:firstLine="720"/>
        <w:jc w:val="both"/>
      </w:pPr>
      <w:r>
        <w:rPr>
          <w:sz w:val="24"/>
          <w:szCs w:val="24"/>
        </w:rPr>
        <w:t xml:space="preserve">A Tabela 4 compara os modelos nas duas validações. O modelo final (H2) reduziu o RMSE em 14% (corte temporal) e 22% (deixando uma safra de fora) em relação à média histórica do município, com MAE de 591 e 518 kg/ha. Repetir o rendimento da safra anterior foi a pior estratégia, pois propaga secas e recordes para a previsão seguinte. O déficit hídrico sozinho (H1) não melhorou o modelo, por medir a mesma seca que a chuva e a umidade de dez–fev (correlação ≈0,8 entre elas); o ganho veio dos limiares de seca extrema. Os modelos de árvores ficaram atrás da regressão linear em todos os cenários: Random Forest teve desempenho semelhante ou inferior ao do Gradient Boosting nas Etapas 1 e 2 e não foi levado adiante, e a combinação de H2 com Gradient Boosting foi melhor em uma validação e pior na outra.</w:t>
      </w:r>
    </w:p>
    <w:tbl>
      <w:tblPr>
        <w:tblW w:w="850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700"/>
        <w:gridCol w:w="1200"/>
        <w:gridCol w:w="1200"/>
        <w:gridCol w:w="1200"/>
        <w:gridCol w:w="1200"/>
      </w:tblGrid>
      <w:tr>
        <w:trPr>
          <w:tblHeader/>
        </w:trPr>
        <w:tc>
          <w:tcPr>
            <w:tcW w:w="3700" w:type="dxa"/>
            <w:vMerge w:val="restart"/>
            <w:shd w:val="clear" w:color="auto" w:fill="D9D9D9"/>
            <w:tcMar>
              <w:top w:w="80" w:type="dxa"/>
              <w:left w:w="100" w:type="dxa"/>
              <w:bottom w:w="80" w:type="dxa"/>
              <w:right w:w="100" w:type="dxa"/>
            </w:tcMar>
          </w:tcPr>
          <w:p>
            <w:r>
              <w:rPr>
                <w:b/>
                <w:bCs/>
                <w:sz w:val="22"/>
                <w:szCs w:val="22"/>
              </w:rPr>
              <w:t xml:space="preserve">Modelo</w:t>
            </w:r>
          </w:p>
        </w:tc>
        <w:tc>
          <w:tcPr>
            <w:tcW w:w="2400" w:type="dxa"/>
            <w:gridSpan w:val="2"/>
            <w:shd w:val="clear" w:color="auto" w:fill="D9D9D9"/>
            <w:tcMar>
              <w:top w:w="80" w:type="dxa"/>
              <w:left w:w="100" w:type="dxa"/>
              <w:bottom w:w="80" w:type="dxa"/>
              <w:right w:w="100" w:type="dxa"/>
            </w:tcMar>
          </w:tcPr>
          <w:p>
            <w:pPr>
              <w:jc w:val="center"/>
            </w:pPr>
            <w:r>
              <w:rPr>
                <w:b/>
                <w:bCs/>
                <w:sz w:val="22"/>
                <w:szCs w:val="22"/>
              </w:rPr>
              <w:t xml:space="preserve">Corte 2021–2025</w:t>
            </w:r>
          </w:p>
        </w:tc>
        <w:tc>
          <w:tcPr>
            <w:tcW w:w="2400" w:type="dxa"/>
            <w:gridSpan w:val="2"/>
            <w:shd w:val="clear" w:color="auto" w:fill="D9D9D9"/>
            <w:tcMar>
              <w:top w:w="80" w:type="dxa"/>
              <w:left w:w="100" w:type="dxa"/>
              <w:bottom w:w="80" w:type="dxa"/>
              <w:right w:w="100" w:type="dxa"/>
            </w:tcMar>
          </w:tcPr>
          <w:p>
            <w:pPr>
              <w:jc w:val="center"/>
            </w:pPr>
            <w:r>
              <w:rPr>
                <w:b/>
                <w:bCs/>
                <w:sz w:val="22"/>
                <w:szCs w:val="22"/>
              </w:rPr>
              <w:t xml:space="preserve">Uma safra de fora</w:t>
            </w:r>
          </w:p>
        </w:tc>
      </w:tr>
      <w:tr>
        <w:trPr>
          <w:tblHeader/>
        </w:trPr>
        <w:tc>
          <w:tcPr>
            <w:tcW w:w="3700" w:type="dxa"/>
            <w:vMerge/>
            <w:shd w:val="clear" w:color="auto" w:fill="D9D9D9"/>
            <w:tcMar>
              <w:top w:w="80" w:type="dxa"/>
              <w:left w:w="100" w:type="dxa"/>
              <w:bottom w:w="80" w:type="dxa"/>
              <w:right w:w="100" w:type="dxa"/>
            </w:tcMar>
          </w:tcPr>
          <w:p/>
        </w:tc>
        <w:tc>
          <w:tcPr>
            <w:tcW w:w="1200" w:type="dxa"/>
            <w:shd w:val="clear" w:color="auto" w:fill="D9D9D9"/>
            <w:tcMar>
              <w:top w:w="80" w:type="dxa"/>
              <w:left w:w="100" w:type="dxa"/>
              <w:bottom w:w="80" w:type="dxa"/>
              <w:right w:w="100" w:type="dxa"/>
            </w:tcMar>
          </w:tcPr>
          <w:p>
            <w:pPr>
              <w:jc w:val="center"/>
            </w:pPr>
            <w:r>
              <w:rPr>
                <w:b/>
                <w:bCs/>
                <w:sz w:val="22"/>
                <w:szCs w:val="22"/>
              </w:rPr>
              <w:t xml:space="preserve">RMSE</w:t>
            </w:r>
          </w:p>
        </w:tc>
        <w:tc>
          <w:tcPr>
            <w:tcW w:w="1200" w:type="dxa"/>
            <w:shd w:val="clear" w:color="auto" w:fill="D9D9D9"/>
            <w:tcMar>
              <w:top w:w="80" w:type="dxa"/>
              <w:left w:w="100" w:type="dxa"/>
              <w:bottom w:w="80" w:type="dxa"/>
              <w:right w:w="100" w:type="dxa"/>
            </w:tcMar>
          </w:tcPr>
          <w:p>
            <w:pPr>
              <w:jc w:val="center"/>
            </w:pPr>
            <w:r>
              <w:rPr>
                <w:b/>
                <w:bCs/>
                <w:sz w:val="22"/>
                <w:szCs w:val="22"/>
              </w:rPr>
              <w:t xml:space="preserve">R</w:t>
            </w:r>
            <w:r>
              <w:rPr>
                <w:b/>
                <w:bCs/>
                <w:sz w:val="22"/>
                <w:szCs w:val="22"/>
                <w:vertAlign w:val="superscript"/>
              </w:rPr>
              <w:t xml:space="preserve">2</w:t>
            </w:r>
          </w:p>
        </w:tc>
        <w:tc>
          <w:tcPr>
            <w:tcW w:w="1200" w:type="dxa"/>
            <w:shd w:val="clear" w:color="auto" w:fill="D9D9D9"/>
            <w:tcMar>
              <w:top w:w="80" w:type="dxa"/>
              <w:left w:w="100" w:type="dxa"/>
              <w:bottom w:w="80" w:type="dxa"/>
              <w:right w:w="100" w:type="dxa"/>
            </w:tcMar>
          </w:tcPr>
          <w:p>
            <w:pPr>
              <w:jc w:val="center"/>
            </w:pPr>
            <w:r>
              <w:rPr>
                <w:b/>
                <w:bCs/>
                <w:sz w:val="22"/>
                <w:szCs w:val="22"/>
              </w:rPr>
              <w:t xml:space="preserve">RMSE</w:t>
            </w:r>
          </w:p>
        </w:tc>
        <w:tc>
          <w:tcPr>
            <w:tcW w:w="1200" w:type="dxa"/>
            <w:shd w:val="clear" w:color="auto" w:fill="D9D9D9"/>
            <w:tcMar>
              <w:top w:w="80" w:type="dxa"/>
              <w:left w:w="100" w:type="dxa"/>
              <w:bottom w:w="80" w:type="dxa"/>
              <w:right w:w="100" w:type="dxa"/>
            </w:tcMar>
          </w:tcPr>
          <w:p>
            <w:pPr>
              <w:jc w:val="center"/>
            </w:pPr>
            <w:r>
              <w:rPr>
                <w:b/>
                <w:bCs/>
                <w:sz w:val="22"/>
                <w:szCs w:val="22"/>
              </w:rPr>
              <w:t xml:space="preserve">R</w:t>
            </w:r>
            <w:r>
              <w:rPr>
                <w:b/>
                <w:bCs/>
                <w:sz w:val="22"/>
                <w:szCs w:val="22"/>
                <w:vertAlign w:val="superscript"/>
              </w:rPr>
              <w:t xml:space="preserve">2</w:t>
            </w:r>
          </w:p>
        </w:tc>
      </w:tr>
      <w:tr>
        <w:tc>
          <w:tcPr>
            <w:tcW w:w="3700" w:type="dxa"/>
            <w:tcMar>
              <w:top w:w="80" w:type="dxa"/>
              <w:left w:w="100" w:type="dxa"/>
              <w:bottom w:w="80" w:type="dxa"/>
              <w:right w:w="100" w:type="dxa"/>
            </w:tcMar>
          </w:tcPr>
          <w:p>
            <w:r>
              <w:rPr>
                <w:sz w:val="22"/>
                <w:szCs w:val="22"/>
              </w:rPr>
              <w:t xml:space="preserve">Linha de base: safra anterior</w:t>
            </w:r>
          </w:p>
        </w:tc>
        <w:tc>
          <w:tcPr>
            <w:tcW w:w="1200" w:type="dxa"/>
            <w:tcMar>
              <w:top w:w="80" w:type="dxa"/>
              <w:left w:w="100" w:type="dxa"/>
              <w:bottom w:w="80" w:type="dxa"/>
              <w:right w:w="100" w:type="dxa"/>
            </w:tcMar>
          </w:tcPr>
          <w:p>
            <w:pPr>
              <w:jc w:val="center"/>
            </w:pPr>
            <w:r>
              <w:rPr>
                <w:sz w:val="22"/>
                <w:szCs w:val="22"/>
              </w:rPr>
              <w:t xml:space="preserve">1.276</w:t>
            </w:r>
          </w:p>
        </w:tc>
        <w:tc>
          <w:tcPr>
            <w:tcW w:w="1200" w:type="dxa"/>
            <w:tcMar>
              <w:top w:w="80" w:type="dxa"/>
              <w:left w:w="100" w:type="dxa"/>
              <w:bottom w:w="80" w:type="dxa"/>
              <w:right w:w="100" w:type="dxa"/>
            </w:tcMar>
          </w:tcPr>
          <w:p>
            <w:pPr>
              <w:jc w:val="center"/>
            </w:pPr>
            <w:r>
              <w:rPr>
                <w:sz w:val="22"/>
                <w:szCs w:val="22"/>
              </w:rPr>
              <w:t xml:space="preserve">−1,05</w:t>
            </w:r>
          </w:p>
        </w:tc>
        <w:tc>
          <w:tcPr>
            <w:tcW w:w="1200" w:type="dxa"/>
            <w:tcMar>
              <w:top w:w="80" w:type="dxa"/>
              <w:left w:w="100" w:type="dxa"/>
              <w:bottom w:w="80" w:type="dxa"/>
              <w:right w:w="100" w:type="dxa"/>
            </w:tcMar>
          </w:tcPr>
          <w:p>
            <w:pPr>
              <w:jc w:val="center"/>
            </w:pPr>
            <w:r>
              <w:rPr>
                <w:sz w:val="22"/>
                <w:szCs w:val="22"/>
              </w:rPr>
              <w:t xml:space="preserve">979</w:t>
            </w:r>
          </w:p>
        </w:tc>
        <w:tc>
          <w:tcPr>
            <w:tcW w:w="1200" w:type="dxa"/>
            <w:tcMar>
              <w:top w:w="80" w:type="dxa"/>
              <w:left w:w="100" w:type="dxa"/>
              <w:bottom w:w="80" w:type="dxa"/>
              <w:right w:w="100" w:type="dxa"/>
            </w:tcMar>
          </w:tcPr>
          <w:p>
            <w:pPr>
              <w:jc w:val="center"/>
            </w:pPr>
            <w:r>
              <w:rPr>
                <w:sz w:val="22"/>
                <w:szCs w:val="22"/>
              </w:rPr>
              <w:t xml:space="preserve">−0,51</w:t>
            </w:r>
          </w:p>
        </w:tc>
      </w:tr>
      <w:tr>
        <w:tc>
          <w:tcPr>
            <w:tcW w:w="3700" w:type="dxa"/>
            <w:tcMar>
              <w:top w:w="80" w:type="dxa"/>
              <w:left w:w="100" w:type="dxa"/>
              <w:bottom w:w="80" w:type="dxa"/>
              <w:right w:w="100" w:type="dxa"/>
            </w:tcMar>
          </w:tcPr>
          <w:p>
            <w:r>
              <w:rPr>
                <w:sz w:val="22"/>
                <w:szCs w:val="22"/>
              </w:rPr>
              <w:t xml:space="preserve">Linha de base: média histórica</w:t>
            </w:r>
          </w:p>
        </w:tc>
        <w:tc>
          <w:tcPr>
            <w:tcW w:w="1200" w:type="dxa"/>
            <w:tcMar>
              <w:top w:w="80" w:type="dxa"/>
              <w:left w:w="100" w:type="dxa"/>
              <w:bottom w:w="80" w:type="dxa"/>
              <w:right w:w="100" w:type="dxa"/>
            </w:tcMar>
          </w:tcPr>
          <w:p>
            <w:pPr>
              <w:jc w:val="center"/>
            </w:pPr>
            <w:r>
              <w:rPr>
                <w:sz w:val="22"/>
                <w:szCs w:val="22"/>
              </w:rPr>
              <w:t xml:space="preserve">861</w:t>
            </w:r>
          </w:p>
        </w:tc>
        <w:tc>
          <w:tcPr>
            <w:tcW w:w="1200" w:type="dxa"/>
            <w:tcMar>
              <w:top w:w="80" w:type="dxa"/>
              <w:left w:w="100" w:type="dxa"/>
              <w:bottom w:w="80" w:type="dxa"/>
              <w:right w:w="100" w:type="dxa"/>
            </w:tcMar>
          </w:tcPr>
          <w:p>
            <w:pPr>
              <w:jc w:val="center"/>
            </w:pPr>
            <w:r>
              <w:rPr>
                <w:sz w:val="22"/>
                <w:szCs w:val="22"/>
              </w:rPr>
              <w:t xml:space="preserve">0,07</w:t>
            </w:r>
          </w:p>
        </w:tc>
        <w:tc>
          <w:tcPr>
            <w:tcW w:w="1200" w:type="dxa"/>
            <w:tcMar>
              <w:top w:w="80" w:type="dxa"/>
              <w:left w:w="100" w:type="dxa"/>
              <w:bottom w:w="80" w:type="dxa"/>
              <w:right w:w="100" w:type="dxa"/>
            </w:tcMar>
          </w:tcPr>
          <w:p>
            <w:pPr>
              <w:jc w:val="center"/>
            </w:pPr>
            <w:r>
              <w:rPr>
                <w:sz w:val="22"/>
                <w:szCs w:val="22"/>
              </w:rPr>
              <w:t xml:space="preserve">877</w:t>
            </w:r>
          </w:p>
        </w:tc>
        <w:tc>
          <w:tcPr>
            <w:tcW w:w="1200" w:type="dxa"/>
            <w:tcMar>
              <w:top w:w="80" w:type="dxa"/>
              <w:left w:w="100" w:type="dxa"/>
              <w:bottom w:w="80" w:type="dxa"/>
              <w:right w:w="100" w:type="dxa"/>
            </w:tcMar>
          </w:tcPr>
          <w:p>
            <w:pPr>
              <w:jc w:val="center"/>
            </w:pPr>
            <w:r>
              <w:rPr>
                <w:sz w:val="22"/>
                <w:szCs w:val="22"/>
              </w:rPr>
              <w:t xml:space="preserve">−0,21</w:t>
            </w:r>
          </w:p>
        </w:tc>
      </w:tr>
      <w:tr>
        <w:tc>
          <w:tcPr>
            <w:tcW w:w="3700" w:type="dxa"/>
            <w:tcMar>
              <w:top w:w="80" w:type="dxa"/>
              <w:left w:w="100" w:type="dxa"/>
              <w:bottom w:w="80" w:type="dxa"/>
              <w:right w:w="100" w:type="dxa"/>
            </w:tcMar>
          </w:tcPr>
          <w:p>
            <w:r>
              <w:rPr>
                <w:sz w:val="22"/>
                <w:szCs w:val="22"/>
              </w:rPr>
              <w:t xml:space="preserve">GB – Gradient Boosting</w:t>
            </w:r>
          </w:p>
        </w:tc>
        <w:tc>
          <w:tcPr>
            <w:tcW w:w="1200" w:type="dxa"/>
            <w:tcMar>
              <w:top w:w="80" w:type="dxa"/>
              <w:left w:w="100" w:type="dxa"/>
              <w:bottom w:w="80" w:type="dxa"/>
              <w:right w:w="100" w:type="dxa"/>
            </w:tcMar>
          </w:tcPr>
          <w:p>
            <w:pPr>
              <w:jc w:val="center"/>
            </w:pPr>
            <w:r>
              <w:rPr>
                <w:sz w:val="22"/>
                <w:szCs w:val="22"/>
              </w:rPr>
              <w:t xml:space="preserve">813</w:t>
            </w:r>
          </w:p>
        </w:tc>
        <w:tc>
          <w:tcPr>
            <w:tcW w:w="1200" w:type="dxa"/>
            <w:tcMar>
              <w:top w:w="80" w:type="dxa"/>
              <w:left w:w="100" w:type="dxa"/>
              <w:bottom w:w="80" w:type="dxa"/>
              <w:right w:w="100" w:type="dxa"/>
            </w:tcMar>
          </w:tcPr>
          <w:p>
            <w:pPr>
              <w:jc w:val="center"/>
            </w:pPr>
            <w:r>
              <w:rPr>
                <w:sz w:val="22"/>
                <w:szCs w:val="22"/>
              </w:rPr>
              <w:t xml:space="preserve">0,17</w:t>
            </w:r>
          </w:p>
        </w:tc>
        <w:tc>
          <w:tcPr>
            <w:tcW w:w="1200" w:type="dxa"/>
            <w:tcMar>
              <w:top w:w="80" w:type="dxa"/>
              <w:left w:w="100" w:type="dxa"/>
              <w:bottom w:w="80" w:type="dxa"/>
              <w:right w:w="100" w:type="dxa"/>
            </w:tcMar>
          </w:tcPr>
          <w:p>
            <w:pPr>
              <w:jc w:val="center"/>
            </w:pPr>
            <w:r>
              <w:rPr>
                <w:sz w:val="22"/>
                <w:szCs w:val="22"/>
              </w:rPr>
              <w:t xml:space="preserve">721</w:t>
            </w:r>
          </w:p>
        </w:tc>
        <w:tc>
          <w:tcPr>
            <w:tcW w:w="1200" w:type="dxa"/>
            <w:tcMar>
              <w:top w:w="80" w:type="dxa"/>
              <w:left w:w="100" w:type="dxa"/>
              <w:bottom w:w="80" w:type="dxa"/>
              <w:right w:w="100" w:type="dxa"/>
            </w:tcMar>
          </w:tcPr>
          <w:p>
            <w:pPr>
              <w:jc w:val="center"/>
            </w:pPr>
            <w:r>
              <w:rPr>
                <w:sz w:val="22"/>
                <w:szCs w:val="22"/>
              </w:rPr>
              <w:t xml:space="preserve">0,18</w:t>
            </w:r>
          </w:p>
        </w:tc>
      </w:tr>
      <w:tr>
        <w:tc>
          <w:tcPr>
            <w:tcW w:w="3700" w:type="dxa"/>
            <w:tcMar>
              <w:top w:w="80" w:type="dxa"/>
              <w:left w:w="100" w:type="dxa"/>
              <w:bottom w:w="80" w:type="dxa"/>
              <w:right w:w="100" w:type="dxa"/>
            </w:tcMar>
          </w:tcPr>
          <w:p>
            <w:r>
              <w:rPr>
                <w:sz w:val="22"/>
                <w:szCs w:val="22"/>
              </w:rPr>
              <w:t xml:space="preserve">H1 – F + déficit hídrico</w:t>
            </w:r>
          </w:p>
        </w:tc>
        <w:tc>
          <w:tcPr>
            <w:tcW w:w="1200" w:type="dxa"/>
            <w:tcMar>
              <w:top w:w="80" w:type="dxa"/>
              <w:left w:w="100" w:type="dxa"/>
              <w:bottom w:w="80" w:type="dxa"/>
              <w:right w:w="100" w:type="dxa"/>
            </w:tcMar>
          </w:tcPr>
          <w:p>
            <w:pPr>
              <w:jc w:val="center"/>
            </w:pPr>
            <w:r>
              <w:rPr>
                <w:sz w:val="22"/>
                <w:szCs w:val="22"/>
              </w:rPr>
              <w:t xml:space="preserve">777</w:t>
            </w:r>
          </w:p>
        </w:tc>
        <w:tc>
          <w:tcPr>
            <w:tcW w:w="1200" w:type="dxa"/>
            <w:tcMar>
              <w:top w:w="80" w:type="dxa"/>
              <w:left w:w="100" w:type="dxa"/>
              <w:bottom w:w="80" w:type="dxa"/>
              <w:right w:w="100" w:type="dxa"/>
            </w:tcMar>
          </w:tcPr>
          <w:p>
            <w:pPr>
              <w:jc w:val="center"/>
            </w:pPr>
            <w:r>
              <w:rPr>
                <w:sz w:val="22"/>
                <w:szCs w:val="22"/>
              </w:rPr>
              <w:t xml:space="preserve">0,24</w:t>
            </w:r>
          </w:p>
        </w:tc>
        <w:tc>
          <w:tcPr>
            <w:tcW w:w="1200" w:type="dxa"/>
            <w:tcMar>
              <w:top w:w="80" w:type="dxa"/>
              <w:left w:w="100" w:type="dxa"/>
              <w:bottom w:w="80" w:type="dxa"/>
              <w:right w:w="100" w:type="dxa"/>
            </w:tcMar>
          </w:tcPr>
          <w:p>
            <w:pPr>
              <w:jc w:val="center"/>
            </w:pPr>
            <w:r>
              <w:rPr>
                <w:sz w:val="22"/>
                <w:szCs w:val="22"/>
              </w:rPr>
              <w:t xml:space="preserve">688</w:t>
            </w:r>
          </w:p>
        </w:tc>
        <w:tc>
          <w:tcPr>
            <w:tcW w:w="1200" w:type="dxa"/>
            <w:tcMar>
              <w:top w:w="80" w:type="dxa"/>
              <w:left w:w="100" w:type="dxa"/>
              <w:bottom w:w="80" w:type="dxa"/>
              <w:right w:w="100" w:type="dxa"/>
            </w:tcMar>
          </w:tcPr>
          <w:p>
            <w:pPr>
              <w:jc w:val="center"/>
            </w:pPr>
            <w:r>
              <w:rPr>
                <w:sz w:val="22"/>
                <w:szCs w:val="22"/>
              </w:rPr>
              <w:t xml:space="preserve">0,25</w:t>
            </w:r>
          </w:p>
        </w:tc>
      </w:tr>
      <w:tr>
        <w:tc>
          <w:tcPr>
            <w:tcW w:w="3700" w:type="dxa"/>
            <w:tcMar>
              <w:top w:w="80" w:type="dxa"/>
              <w:left w:w="100" w:type="dxa"/>
              <w:bottom w:w="80" w:type="dxa"/>
              <w:right w:w="100" w:type="dxa"/>
            </w:tcMar>
          </w:tcPr>
          <w:p>
            <w:r>
              <w:rPr>
                <w:sz w:val="22"/>
                <w:szCs w:val="22"/>
              </w:rPr>
              <w:t xml:space="preserve">F – Regressão linear reduzida</w:t>
            </w:r>
          </w:p>
        </w:tc>
        <w:tc>
          <w:tcPr>
            <w:tcW w:w="1200" w:type="dxa"/>
            <w:tcMar>
              <w:top w:w="80" w:type="dxa"/>
              <w:left w:w="100" w:type="dxa"/>
              <w:bottom w:w="80" w:type="dxa"/>
              <w:right w:w="100" w:type="dxa"/>
            </w:tcMar>
          </w:tcPr>
          <w:p>
            <w:pPr>
              <w:jc w:val="center"/>
            </w:pPr>
            <w:r>
              <w:rPr>
                <w:sz w:val="22"/>
                <w:szCs w:val="22"/>
              </w:rPr>
              <w:t xml:space="preserve">767</w:t>
            </w:r>
          </w:p>
        </w:tc>
        <w:tc>
          <w:tcPr>
            <w:tcW w:w="1200" w:type="dxa"/>
            <w:tcMar>
              <w:top w:w="80" w:type="dxa"/>
              <w:left w:w="100" w:type="dxa"/>
              <w:bottom w:w="80" w:type="dxa"/>
              <w:right w:w="100" w:type="dxa"/>
            </w:tcMar>
          </w:tcPr>
          <w:p>
            <w:pPr>
              <w:jc w:val="center"/>
            </w:pPr>
            <w:r>
              <w:rPr>
                <w:sz w:val="22"/>
                <w:szCs w:val="22"/>
              </w:rPr>
              <w:t xml:space="preserve">0,26</w:t>
            </w:r>
          </w:p>
        </w:tc>
        <w:tc>
          <w:tcPr>
            <w:tcW w:w="1200" w:type="dxa"/>
            <w:tcMar>
              <w:top w:w="80" w:type="dxa"/>
              <w:left w:w="100" w:type="dxa"/>
              <w:bottom w:w="80" w:type="dxa"/>
              <w:right w:w="100" w:type="dxa"/>
            </w:tcMar>
          </w:tcPr>
          <w:p>
            <w:pPr>
              <w:jc w:val="center"/>
            </w:pPr>
            <w:r>
              <w:rPr>
                <w:sz w:val="22"/>
                <w:szCs w:val="22"/>
              </w:rPr>
              <w:t xml:space="preserve">689</w:t>
            </w:r>
          </w:p>
        </w:tc>
        <w:tc>
          <w:tcPr>
            <w:tcW w:w="1200" w:type="dxa"/>
            <w:tcMar>
              <w:top w:w="80" w:type="dxa"/>
              <w:left w:w="100" w:type="dxa"/>
              <w:bottom w:w="80" w:type="dxa"/>
              <w:right w:w="100" w:type="dxa"/>
            </w:tcMar>
          </w:tcPr>
          <w:p>
            <w:pPr>
              <w:jc w:val="center"/>
            </w:pPr>
            <w:r>
              <w:rPr>
                <w:sz w:val="22"/>
                <w:szCs w:val="22"/>
              </w:rPr>
              <w:t xml:space="preserve">0,25</w:t>
            </w:r>
          </w:p>
        </w:tc>
      </w:tr>
      <w:tr>
        <w:tc>
          <w:tcPr>
            <w:tcW w:w="3700" w:type="dxa"/>
            <w:tcMar>
              <w:top w:w="80" w:type="dxa"/>
              <w:left w:w="100" w:type="dxa"/>
              <w:bottom w:w="80" w:type="dxa"/>
              <w:right w:w="100" w:type="dxa"/>
            </w:tcMar>
          </w:tcPr>
          <w:p>
            <w:r>
              <w:rPr>
                <w:sz w:val="22"/>
                <w:szCs w:val="22"/>
              </w:rPr>
              <w:t xml:space="preserve">Média de H2 e GB</w:t>
            </w:r>
          </w:p>
        </w:tc>
        <w:tc>
          <w:tcPr>
            <w:tcW w:w="1200" w:type="dxa"/>
            <w:tcMar>
              <w:top w:w="80" w:type="dxa"/>
              <w:left w:w="100" w:type="dxa"/>
              <w:bottom w:w="80" w:type="dxa"/>
              <w:right w:w="100" w:type="dxa"/>
            </w:tcMar>
          </w:tcPr>
          <w:p>
            <w:pPr>
              <w:jc w:val="center"/>
            </w:pPr>
            <w:r>
              <w:rPr>
                <w:sz w:val="22"/>
                <w:szCs w:val="22"/>
              </w:rPr>
              <w:t xml:space="preserve">755</w:t>
            </w:r>
          </w:p>
        </w:tc>
        <w:tc>
          <w:tcPr>
            <w:tcW w:w="1200" w:type="dxa"/>
            <w:tcMar>
              <w:top w:w="80" w:type="dxa"/>
              <w:left w:w="100" w:type="dxa"/>
              <w:bottom w:w="80" w:type="dxa"/>
              <w:right w:w="100" w:type="dxa"/>
            </w:tcMar>
          </w:tcPr>
          <w:p>
            <w:pPr>
              <w:jc w:val="center"/>
            </w:pPr>
            <w:r>
              <w:rPr>
                <w:sz w:val="22"/>
                <w:szCs w:val="22"/>
              </w:rPr>
              <w:t xml:space="preserve">0,28</w:t>
            </w:r>
          </w:p>
        </w:tc>
        <w:tc>
          <w:tcPr>
            <w:tcW w:w="1200" w:type="dxa"/>
            <w:tcMar>
              <w:top w:w="80" w:type="dxa"/>
              <w:left w:w="100" w:type="dxa"/>
              <w:bottom w:w="80" w:type="dxa"/>
              <w:right w:w="100" w:type="dxa"/>
            </w:tcMar>
          </w:tcPr>
          <w:p>
            <w:pPr>
              <w:jc w:val="center"/>
            </w:pPr>
            <w:r>
              <w:rPr>
                <w:sz w:val="22"/>
                <w:szCs w:val="22"/>
              </w:rPr>
              <w:t xml:space="preserve">677</w:t>
            </w:r>
          </w:p>
        </w:tc>
        <w:tc>
          <w:tcPr>
            <w:tcW w:w="1200" w:type="dxa"/>
            <w:tcMar>
              <w:top w:w="80" w:type="dxa"/>
              <w:left w:w="100" w:type="dxa"/>
              <w:bottom w:w="80" w:type="dxa"/>
              <w:right w:w="100" w:type="dxa"/>
            </w:tcMar>
          </w:tcPr>
          <w:p>
            <w:pPr>
              <w:jc w:val="center"/>
            </w:pPr>
            <w:r>
              <w:rPr>
                <w:sz w:val="22"/>
                <w:szCs w:val="22"/>
              </w:rPr>
              <w:t xml:space="preserve">0,28</w:t>
            </w:r>
          </w:p>
        </w:tc>
      </w:tr>
      <w:tr>
        <w:tc>
          <w:tcPr>
            <w:tcW w:w="3700" w:type="dxa"/>
            <w:tcMar>
              <w:top w:w="80" w:type="dxa"/>
              <w:left w:w="100" w:type="dxa"/>
              <w:bottom w:w="80" w:type="dxa"/>
              <w:right w:w="100" w:type="dxa"/>
            </w:tcMar>
          </w:tcPr>
          <w:p>
            <w:pPr>
              <w:keepNext/>
            </w:pPr>
            <w:r>
              <w:rPr>
                <w:b/>
                <w:bCs/>
                <w:sz w:val="22"/>
                <w:szCs w:val="22"/>
              </w:rPr>
              <w:t xml:space="preserve">H2 – H1 + limiares (final)</w:t>
            </w:r>
          </w:p>
        </w:tc>
        <w:tc>
          <w:tcPr>
            <w:tcW w:w="1200" w:type="dxa"/>
            <w:tcMar>
              <w:top w:w="80" w:type="dxa"/>
              <w:left w:w="100" w:type="dxa"/>
              <w:bottom w:w="80" w:type="dxa"/>
              <w:right w:w="100" w:type="dxa"/>
            </w:tcMar>
          </w:tcPr>
          <w:p>
            <w:pPr>
              <w:keepNext/>
              <w:jc w:val="center"/>
            </w:pPr>
            <w:r>
              <w:rPr>
                <w:b/>
                <w:bCs/>
                <w:sz w:val="22"/>
                <w:szCs w:val="22"/>
              </w:rPr>
              <w:t xml:space="preserve">740</w:t>
            </w:r>
          </w:p>
        </w:tc>
        <w:tc>
          <w:tcPr>
            <w:tcW w:w="1200" w:type="dxa"/>
            <w:tcMar>
              <w:top w:w="80" w:type="dxa"/>
              <w:left w:w="100" w:type="dxa"/>
              <w:bottom w:w="80" w:type="dxa"/>
              <w:right w:w="100" w:type="dxa"/>
            </w:tcMar>
          </w:tcPr>
          <w:p>
            <w:pPr>
              <w:keepNext/>
              <w:jc w:val="center"/>
            </w:pPr>
            <w:r>
              <w:rPr>
                <w:b/>
                <w:bCs/>
                <w:sz w:val="22"/>
                <w:szCs w:val="22"/>
              </w:rPr>
              <w:t xml:space="preserve">0,31</w:t>
            </w:r>
          </w:p>
        </w:tc>
        <w:tc>
          <w:tcPr>
            <w:tcW w:w="1200" w:type="dxa"/>
            <w:tcMar>
              <w:top w:w="80" w:type="dxa"/>
              <w:left w:w="100" w:type="dxa"/>
              <w:bottom w:w="80" w:type="dxa"/>
              <w:right w:w="100" w:type="dxa"/>
            </w:tcMar>
          </w:tcPr>
          <w:p>
            <w:pPr>
              <w:keepNext/>
              <w:jc w:val="center"/>
            </w:pPr>
            <w:r>
              <w:rPr>
                <w:b/>
                <w:bCs/>
                <w:sz w:val="22"/>
                <w:szCs w:val="22"/>
              </w:rPr>
              <w:t xml:space="preserve">684</w:t>
            </w:r>
          </w:p>
        </w:tc>
        <w:tc>
          <w:tcPr>
            <w:tcW w:w="1200" w:type="dxa"/>
            <w:tcMar>
              <w:top w:w="80" w:type="dxa"/>
              <w:left w:w="100" w:type="dxa"/>
              <w:bottom w:w="80" w:type="dxa"/>
              <w:right w:w="100" w:type="dxa"/>
            </w:tcMar>
          </w:tcPr>
          <w:p>
            <w:pPr>
              <w:keepNext/>
              <w:jc w:val="center"/>
            </w:pPr>
            <w:r>
              <w:rPr>
                <w:b/>
                <w:bCs/>
                <w:sz w:val="22"/>
                <w:szCs w:val="22"/>
              </w:rPr>
              <w:t xml:space="preserve">0,26</w:t>
            </w:r>
          </w:p>
        </w:tc>
      </w:tr>
    </w:tbl>
    <w:p>
      <w:pPr>
        <w:spacing w:before="120" w:after="300"/>
        <w:jc w:val="center"/>
      </w:pPr>
      <w:r>
        <w:rPr>
          <w:i/>
          <w:iCs/>
          <w:sz w:val="22"/>
          <w:szCs w:val="22"/>
        </w:rPr>
        <w:t xml:space="preserve">Tabela 4 – Desempenho dos modelos (Etapa 4). RMSE em kg/ha. Fonte: elaboração própria (2026).</w:t>
      </w:r>
    </w:p>
    <w:p>
      <w:pPr>
        <w:keepNext/>
        <w:spacing w:before="280" w:after="160"/>
      </w:pPr>
      <w:r>
        <w:rPr>
          <w:b/>
          <w:bCs/>
          <w:sz w:val="24"/>
          <w:szCs w:val="24"/>
        </w:rPr>
        <w:t>6.3 Fatores climáticos</w:t>
      </w:r>
    </w:p>
    <w:p>
      <w:pPr>
        <w:spacing w:after="200" w:line="276" w:lineRule="auto"/>
        <w:ind w:firstLine="720"/>
        <w:jc w:val="both"/>
      </w:pPr>
      <w:r>
        <w:rPr>
          <w:sz w:val="24"/>
          <w:szCs w:val="24"/>
        </w:rPr>
        <w:t xml:space="preserve">Os coeficientes do modelo F, mais estáveis para interpretação, indicam (sobre o desvio em relação ao patamar): +208 kg/ha a cada 100 mm de chuva em dez–fev acima da média (≈417 mm), com ganho decrescente (termo quadrático negativo); +30 kg/ha por ponto percentual de umidade relativa mínima em dez–fev; +59 kg/ha a cada 100 mm de chuva em março; e −2,7 kg/ha por dia de calor. A chuva de out–nov não teve efeito significativo. A Figura 4 decompõe a previsão de cada safra na contribuição de cada fator: em média, a chuva de dez–fev move a previsão em ≈250 kg/ha e a umidade mínima em ≈170 kg/ha, enquanto chuva de março e calor pesam ≈35 kg/ha cada – o período de floração e enchimento concentra praticamente todo o efeito do clima. No modelo H2, os termos de seca extrema foram significativos: cada 100 mm de déficit acima de ≈243 mm reduz o rendimento em ≈300 kg/ha adicionais, e cada ponto de umidade mínima abaixo de ≈41,5% em ≈37 kg/ha adicionais, evidenciando que a perda se acelera quando a seca passa de um limite. O déficit hídrico foi o melhor indicador isolado de seca (correlação de −0,61 com o desvio do rendimento). Os p-valores tendem a ser otimistas, pois linhas da mesma safra compartilham o mesmo ano climático.</w:t>
      </w:r>
    </w:p>
    <w:p>
      <w:pPr>
        <w:keepNext/>
        <w:spacing w:before="200" w:after="60"/>
        <w:jc w:val="center"/>
      </w:pPr>
      <w:r>
        <w:drawing>
          <wp:inline distT="0" distB="0" distL="0" distR="0">
            <wp:extent cx="4860036" cy="3390722"/>
            <wp:effectExtent l="0" t="0" r="0" b="0"/>
            <wp:docPr id="904" name="Imagem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
                    <pic:cNvPicPr/>
                  </pic:nvPicPr>
                  <pic:blipFill>
                    <a:blip r:embed="rId13"/>
                    <a:stretch>
                      <a:fillRect/>
                    </a:stretch>
                  </pic:blipFill>
                  <pic:spPr>
                    <a:xfrm>
                      <a:off x="0" y="0"/>
                      <a:ext cx="4860036" cy="3390722"/>
                    </a:xfrm>
                    <a:prstGeom prst="rect">
                      <a:avLst/>
                    </a:prstGeom>
                  </pic:spPr>
                </pic:pic>
              </a:graphicData>
            </a:graphic>
          </wp:inline>
        </w:drawing>
      </w:r>
    </w:p>
    <w:p>
      <w:pPr>
        <w:spacing w:before="120" w:after="300"/>
        <w:jc w:val="center"/>
      </w:pPr>
      <w:r>
        <w:rPr>
          <w:i/>
          <w:iCs/>
          <w:sz w:val="22"/>
          <w:szCs w:val="22"/>
        </w:rPr>
        <w:t xml:space="preserve">Figura 4 – Contribuição de cada fator climático para o desvio do rendimento em relação ao patamar, por safra (modelo F; equivalente aos valores SHAP). Losango: desvio previsto; círculo: desvio observado. Fonte: elaboração própria (2026).</w:t>
      </w:r>
    </w:p>
    <w:p>
      <w:pPr>
        <w:keepNext/>
        <w:spacing w:before="280" w:after="160"/>
      </w:pPr>
      <w:r>
        <w:rPr>
          <w:b/>
          <w:bCs/>
          <w:sz w:val="24"/>
          <w:szCs w:val="24"/>
        </w:rPr>
        <w:t>6.4 Safras de seca</w:t>
      </w:r>
    </w:p>
    <w:p>
      <w:pPr>
        <w:spacing w:after="200" w:line="276" w:lineRule="auto"/>
        <w:ind w:firstLine="720"/>
        <w:jc w:val="both"/>
      </w:pPr>
      <w:r>
        <w:rPr>
          <w:sz w:val="24"/>
          <w:szCs w:val="24"/>
        </w:rPr>
        <w:t xml:space="preserve">A Figura 5 mostra, para cada safra prevista sem ter sido vista pelo modelo, o desvio médio estadual em relação ao patamar. As quebras de 2012 e 2023 foram antecipadas praticamente por inteiro, e a de 2022 passou de ≈25% para ≈36% de captação com o balanço hídrico e os limiares. A quebra de 2020 (≈1.180 kg/ha abaixo do patamar) não foi captada (≈3%): pelas estações do INMET, o verão de 2020 foi apenas moderadamente seco (déficit médio de 234 mm, contra 322 mm em 2012), com primavera chuvosa. A perda de 2020 não está nas variáveis disponíveis – possivelmente por chuva concentrada em poucos eventos, estações distantes das lavouras ou efeitos fora de dez–fev –, o que caracteriza um limite de informação, e não de algoritmo.</w:t>
      </w:r>
    </w:p>
    <w:p>
      <w:pPr>
        <w:keepNext/>
        <w:spacing w:before="200" w:after="60"/>
        <w:jc w:val="center"/>
      </w:pPr>
      <w:r>
        <w:drawing>
          <wp:inline distT="0" distB="0" distL="0" distR="0">
            <wp:extent cx="4860036" cy="2162200"/>
            <wp:effectExtent l="0" t="0" r="0" b="0"/>
            <wp:docPr id="905" name="Imagem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
                    <pic:cNvPicPr/>
                  </pic:nvPicPr>
                  <pic:blipFill>
                    <a:blip r:embed="rId14"/>
                    <a:stretch>
                      <a:fillRect/>
                    </a:stretch>
                  </pic:blipFill>
                  <pic:spPr>
                    <a:xfrm>
                      <a:off x="0" y="0"/>
                      <a:ext cx="4860036" cy="2162200"/>
                    </a:xfrm>
                    <a:prstGeom prst="rect">
                      <a:avLst/>
                    </a:prstGeom>
                  </pic:spPr>
                </pic:pic>
              </a:graphicData>
            </a:graphic>
          </wp:inline>
        </w:drawing>
      </w:r>
    </w:p>
    <w:p>
      <w:pPr>
        <w:spacing w:before="120" w:after="300"/>
        <w:jc w:val="center"/>
      </w:pPr>
      <w:r>
        <w:rPr>
          <w:i/>
          <w:iCs/>
          <w:sz w:val="22"/>
          <w:szCs w:val="22"/>
        </w:rPr>
        <w:t xml:space="preserve">Figura 5 – Desvio médio estadual em relação ao patamar, por safra, na validação deixando uma safra de fora: observado e previsto pelos modelos F e H2. Fonte: elaboração própria (2026).</w:t>
      </w:r>
    </w:p>
    <w:p>
      <w:pPr>
        <w:keepNext/>
        <w:spacing w:before="280" w:after="160"/>
      </w:pPr>
      <w:r>
        <w:rPr>
          <w:b/>
          <w:bCs/>
          <w:sz w:val="24"/>
          <w:szCs w:val="24"/>
        </w:rPr>
        <w:t>6.5 Erro por região e por município</w:t>
      </w:r>
    </w:p>
    <w:p>
      <w:pPr>
        <w:spacing w:after="200" w:line="276" w:lineRule="auto"/>
        <w:ind w:firstLine="720"/>
        <w:jc w:val="both"/>
      </w:pPr>
      <w:r>
        <w:rPr>
          <w:sz w:val="24"/>
          <w:szCs w:val="24"/>
        </w:rPr>
        <w:t xml:space="preserve">O erro relativo (MAE como percentual do rendimento médio) foi menor no Nordeste (17,8%) e no Noroeste (18,6%) – principal região produtora, com mais da metade das linhas da base – e maior no Sudeste (27,2%) e no Sudoeste (28,6%), regiões de produtividade média menor (Figura 6). Entre os 375 municípios com pelo menos 8 safras avaliadas, o erro relativo mediano foi de 19,9% (metade entre 16% e 25%), e municípios mais produtivos tiveram erro relativo menor (correlação de −0,62). Esses valores referem-se ao modelo F; o modelo H2 difere dele em menos de 1% no RMSE dessa validação.</w:t>
      </w:r>
    </w:p>
    <w:p>
      <w:pPr>
        <w:keepNext/>
        <w:spacing w:before="200" w:after="60"/>
        <w:jc w:val="center"/>
      </w:pPr>
      <w:r>
        <w:drawing>
          <wp:inline distT="0" distB="0" distL="0" distR="0">
            <wp:extent cx="3780027" cy="2105331"/>
            <wp:effectExtent l="0" t="0" r="0" b="0"/>
            <wp:docPr id="906" name="Imagem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
                    <pic:cNvPicPr/>
                  </pic:nvPicPr>
                  <pic:blipFill>
                    <a:blip r:embed="rId15"/>
                    <a:stretch>
                      <a:fillRect/>
                    </a:stretch>
                  </pic:blipFill>
                  <pic:spPr>
                    <a:xfrm>
                      <a:off x="0" y="0"/>
                      <a:ext cx="3780027" cy="2105331"/>
                    </a:xfrm>
                    <a:prstGeom prst="rect">
                      <a:avLst/>
                    </a:prstGeom>
                  </pic:spPr>
                </pic:pic>
              </a:graphicData>
            </a:graphic>
          </wp:inline>
        </w:drawing>
      </w:r>
    </w:p>
    <w:p>
      <w:pPr>
        <w:spacing w:before="120" w:after="300"/>
        <w:jc w:val="center"/>
      </w:pPr>
      <w:r>
        <w:rPr>
          <w:i/>
          <w:iCs/>
          <w:sz w:val="22"/>
          <w:szCs w:val="22"/>
        </w:rPr>
        <w:t xml:space="preserve">Figura 6 – Erro relativo (MAE % do rendimento médio) por mesorregião do IBGE, nas duas validações (modelo F). Fonte: elaboração própria (2026).</w:t>
      </w:r>
    </w:p>
    <w:p>
      <w:pPr>
        <w:keepNext/>
        <w:spacing w:before="280" w:after="160"/>
      </w:pPr>
      <w:r>
        <w:rPr>
          <w:b/>
          <w:bCs/>
          <w:sz w:val="24"/>
          <w:szCs w:val="24"/>
        </w:rPr>
        <w:t>6.6 Aplicação: recomendação de adubação</w:t>
      </w:r>
    </w:p>
    <w:p>
      <w:pPr>
        <w:spacing w:after="200" w:line="276" w:lineRule="auto"/>
        <w:ind w:firstLine="720"/>
        <w:jc w:val="both"/>
      </w:pPr>
      <w:r>
        <w:rPr>
          <w:sz w:val="24"/>
          <w:szCs w:val="24"/>
        </w:rPr>
        <w:t xml:space="preserve">Como não há dado público de adubação efetivamente aplicada por município e safra, as tabelas da Embrapa/CQFS-RS/SC (Reunião de Pesquisa de Soja da Região Sul, 2014; SBCS/CQFS-RS/SC, 2016) foram usadas como aplicação do modelo, e não como variável de previsão. A adubação é decidida no plantio, antes do clima do verão; por isso, o rendimento esperado usado é o patamar do modelo (média do município em 2021–2025). A Tabela 2.4 da Embrapa indica a dose de P</w:t>
      </w:r>
      <w:r>
        <w:rPr>
          <w:sz w:val="24"/>
          <w:szCs w:val="24"/>
          <w:vertAlign w:val="subscript"/>
        </w:rPr>
        <w:t xml:space="preserve">2</w:t>
      </w:r>
      <w:r>
        <w:rPr>
          <w:sz w:val="24"/>
          <w:szCs w:val="24"/>
        </w:rPr>
        <w:t xml:space="preserve">O</w:t>
      </w:r>
      <w:r>
        <w:rPr>
          <w:sz w:val="24"/>
          <w:szCs w:val="24"/>
          <w:vertAlign w:val="subscript"/>
        </w:rPr>
        <w:t xml:space="preserve">5</w:t>
      </w:r>
      <w:r>
        <w:rPr>
          <w:sz w:val="24"/>
          <w:szCs w:val="24"/>
        </w:rPr>
        <w:t xml:space="preserve"> e K</w:t>
      </w:r>
      <w:r>
        <w:rPr>
          <w:sz w:val="24"/>
          <w:szCs w:val="24"/>
          <w:vertAlign w:val="subscript"/>
        </w:rPr>
        <w:t xml:space="preserve">2</w:t>
      </w:r>
      <w:r>
        <w:rPr>
          <w:sz w:val="24"/>
          <w:szCs w:val="24"/>
        </w:rPr>
        <w:t xml:space="preserve">O por classe de teor do nutriente no solo para rendimento de 2 t/ha, acrescida de 15 kg/ha de P</w:t>
      </w:r>
      <w:r>
        <w:rPr>
          <w:sz w:val="24"/>
          <w:szCs w:val="24"/>
          <w:vertAlign w:val="subscript"/>
        </w:rPr>
        <w:t xml:space="preserve">2</w:t>
      </w:r>
      <w:r>
        <w:rPr>
          <w:sz w:val="24"/>
          <w:szCs w:val="24"/>
        </w:rPr>
        <w:t xml:space="preserve">O</w:t>
      </w:r>
      <w:r>
        <w:rPr>
          <w:sz w:val="24"/>
          <w:szCs w:val="24"/>
          <w:vertAlign w:val="subscript"/>
        </w:rPr>
        <w:t xml:space="preserve">5</w:t>
      </w:r>
      <w:r>
        <w:rPr>
          <w:sz w:val="24"/>
          <w:szCs w:val="24"/>
        </w:rPr>
        <w:t xml:space="preserve"> e 25 kg/ha de K</w:t>
      </w:r>
      <w:r>
        <w:rPr>
          <w:sz w:val="24"/>
          <w:szCs w:val="24"/>
          <w:vertAlign w:val="subscript"/>
        </w:rPr>
        <w:t xml:space="preserve">2</w:t>
      </w:r>
      <w:r>
        <w:rPr>
          <w:sz w:val="24"/>
          <w:szCs w:val="24"/>
        </w:rPr>
        <w:t xml:space="preserve">O por tonelada adicional (aplicado aqui de forma proporcional). A dose é apresentada para as cinco classes, e o produtor identifica a sua pela análise de solo (Tabela 2.3). Duas regras de interpretação do grupo: doses zero da tabela (classe “Muito alto”, 1º cultivo) foram mantidas em zero, e rendimentos esperados abaixo de 2 t/ha usam a dose da tabela, sem redução. O resultado, para 431 municípios, está no arquivo recomendacao_adubacao_safra2026.csv (pasta dataset/processed do repositório); a Tabela 5 ilustra três mesorregiões.</w:t>
      </w:r>
    </w:p>
    <w:tbl>
      <w:tblPr>
        <w:tblW w:w="850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500"/>
        <w:gridCol w:w="1000"/>
        <w:gridCol w:w="1000"/>
        <w:gridCol w:w="1000"/>
        <w:gridCol w:w="1000"/>
        <w:gridCol w:w="1000"/>
        <w:gridCol w:w="1000"/>
      </w:tblGrid>
      <w:tr>
        <w:trPr>
          <w:tblHeader/>
        </w:trPr>
        <w:tc>
          <w:tcPr>
            <w:tcW w:w="2500" w:type="dxa"/>
            <w:shd w:val="clear" w:color="auto" w:fill="D9D9D9"/>
            <w:tcMar>
              <w:top w:w="80" w:type="dxa"/>
              <w:left w:w="100" w:type="dxa"/>
              <w:bottom w:w="80" w:type="dxa"/>
              <w:right w:w="100" w:type="dxa"/>
            </w:tcMar>
          </w:tcPr>
          <w:p>
            <w:r>
              <w:rPr>
                <w:b/>
                <w:bCs/>
                <w:sz w:val="22"/>
                <w:szCs w:val="22"/>
              </w:rPr>
              <w:t xml:space="preserve">Mesorregião (rend. esperado)</w:t>
            </w:r>
          </w:p>
        </w:tc>
        <w:tc>
          <w:tcPr>
            <w:tcW w:w="1000" w:type="dxa"/>
            <w:shd w:val="clear" w:color="auto" w:fill="D9D9D9"/>
            <w:tcMar>
              <w:top w:w="80" w:type="dxa"/>
              <w:left w:w="100" w:type="dxa"/>
              <w:bottom w:w="80" w:type="dxa"/>
              <w:right w:w="100" w:type="dxa"/>
            </w:tcMar>
          </w:tcPr>
          <w:p>
            <w:pPr>
              <w:jc w:val="center"/>
            </w:pPr>
            <w:r>
              <w:rPr>
                <w:b/>
                <w:bCs/>
                <w:sz w:val="22"/>
                <w:szCs w:val="22"/>
              </w:rPr>
              <w:t xml:space="preserve">Nutriente</w:t>
            </w:r>
          </w:p>
        </w:tc>
        <w:tc>
          <w:tcPr>
            <w:tcW w:w="1000" w:type="dxa"/>
            <w:shd w:val="clear" w:color="auto" w:fill="D9D9D9"/>
            <w:tcMar>
              <w:top w:w="80" w:type="dxa"/>
              <w:left w:w="100" w:type="dxa"/>
              <w:bottom w:w="80" w:type="dxa"/>
              <w:right w:w="100" w:type="dxa"/>
            </w:tcMar>
          </w:tcPr>
          <w:p>
            <w:pPr>
              <w:jc w:val="center"/>
            </w:pPr>
            <w:r>
              <w:rPr>
                <w:b/>
                <w:bCs/>
                <w:sz w:val="22"/>
                <w:szCs w:val="22"/>
              </w:rPr>
              <w:t xml:space="preserve">M. baixo</w:t>
            </w:r>
          </w:p>
        </w:tc>
        <w:tc>
          <w:tcPr>
            <w:tcW w:w="1000" w:type="dxa"/>
            <w:shd w:val="clear" w:color="auto" w:fill="D9D9D9"/>
            <w:tcMar>
              <w:top w:w="80" w:type="dxa"/>
              <w:left w:w="100" w:type="dxa"/>
              <w:bottom w:w="80" w:type="dxa"/>
              <w:right w:w="100" w:type="dxa"/>
            </w:tcMar>
          </w:tcPr>
          <w:p>
            <w:pPr>
              <w:jc w:val="center"/>
            </w:pPr>
            <w:r>
              <w:rPr>
                <w:b/>
                <w:bCs/>
                <w:sz w:val="22"/>
                <w:szCs w:val="22"/>
              </w:rPr>
              <w:t xml:space="preserve">Baixo</w:t>
            </w:r>
          </w:p>
        </w:tc>
        <w:tc>
          <w:tcPr>
            <w:tcW w:w="1000" w:type="dxa"/>
            <w:shd w:val="clear" w:color="auto" w:fill="D9D9D9"/>
            <w:tcMar>
              <w:top w:w="80" w:type="dxa"/>
              <w:left w:w="100" w:type="dxa"/>
              <w:bottom w:w="80" w:type="dxa"/>
              <w:right w:w="100" w:type="dxa"/>
            </w:tcMar>
          </w:tcPr>
          <w:p>
            <w:pPr>
              <w:jc w:val="center"/>
            </w:pPr>
            <w:r>
              <w:rPr>
                <w:b/>
                <w:bCs/>
                <w:sz w:val="22"/>
                <w:szCs w:val="22"/>
              </w:rPr>
              <w:t xml:space="preserve">Médio</w:t>
            </w:r>
          </w:p>
        </w:tc>
        <w:tc>
          <w:tcPr>
            <w:tcW w:w="1000" w:type="dxa"/>
            <w:shd w:val="clear" w:color="auto" w:fill="D9D9D9"/>
            <w:tcMar>
              <w:top w:w="80" w:type="dxa"/>
              <w:left w:w="100" w:type="dxa"/>
              <w:bottom w:w="80" w:type="dxa"/>
              <w:right w:w="100" w:type="dxa"/>
            </w:tcMar>
          </w:tcPr>
          <w:p>
            <w:pPr>
              <w:jc w:val="center"/>
            </w:pPr>
            <w:r>
              <w:rPr>
                <w:b/>
                <w:bCs/>
                <w:sz w:val="22"/>
                <w:szCs w:val="22"/>
              </w:rPr>
              <w:t xml:space="preserve">Alto</w:t>
            </w:r>
          </w:p>
        </w:tc>
        <w:tc>
          <w:tcPr>
            <w:tcW w:w="1000" w:type="dxa"/>
            <w:shd w:val="clear" w:color="auto" w:fill="D9D9D9"/>
            <w:tcMar>
              <w:top w:w="80" w:type="dxa"/>
              <w:left w:w="100" w:type="dxa"/>
              <w:bottom w:w="80" w:type="dxa"/>
              <w:right w:w="100" w:type="dxa"/>
            </w:tcMar>
          </w:tcPr>
          <w:p>
            <w:pPr>
              <w:jc w:val="center"/>
            </w:pPr>
            <w:r>
              <w:rPr>
                <w:b/>
                <w:bCs/>
                <w:sz w:val="22"/>
                <w:szCs w:val="22"/>
              </w:rPr>
              <w:t xml:space="preserve">M. alto</w:t>
            </w:r>
          </w:p>
        </w:tc>
      </w:tr>
      <w:tr>
        <w:tc>
          <w:tcPr>
            <w:tcW w:w="2500" w:type="dxa"/>
            <w:vMerge w:val="restart"/>
            <w:tcMar>
              <w:top w:w="80" w:type="dxa"/>
              <w:left w:w="100" w:type="dxa"/>
              <w:bottom w:w="80" w:type="dxa"/>
              <w:right w:w="100" w:type="dxa"/>
            </w:tcMar>
          </w:tcPr>
          <w:p>
            <w:r>
              <w:rPr>
                <w:sz w:val="22"/>
                <w:szCs w:val="22"/>
              </w:rPr>
              <w:t xml:space="preserve">Nordeste (2.911 kg/ha)</w:t>
            </w:r>
          </w:p>
        </w:tc>
        <w:tc>
          <w:tcPr>
            <w:tcW w:w="1000" w:type="dxa"/>
            <w:tcMar>
              <w:top w:w="80" w:type="dxa"/>
              <w:left w:w="100" w:type="dxa"/>
              <w:bottom w:w="80" w:type="dxa"/>
              <w:right w:w="100" w:type="dxa"/>
            </w:tcMar>
          </w:tcPr>
          <w:p>
            <w:pPr>
              <w:jc w:val="center"/>
            </w:pPr>
            <w:r>
              <w:rPr>
                <w:sz w:val="22"/>
                <w:szCs w:val="22"/>
              </w:rPr>
              <w:t xml:space="preserve">P</w:t>
            </w:r>
            <w:r>
              <w:rPr>
                <w:sz w:val="22"/>
                <w:szCs w:val="22"/>
                <w:vertAlign w:val="subscript"/>
              </w:rPr>
              <w:t xml:space="preserve">2</w:t>
            </w:r>
            <w:r>
              <w:rPr>
                <w:sz w:val="22"/>
                <w:szCs w:val="22"/>
              </w:rPr>
              <w:t xml:space="preserve">O</w:t>
            </w:r>
            <w:r>
              <w:rPr>
                <w:sz w:val="22"/>
                <w:szCs w:val="22"/>
                <w:vertAlign w:val="subscript"/>
              </w:rPr>
              <w:t xml:space="preserve">5</w:t>
            </w:r>
          </w:p>
        </w:tc>
        <w:tc>
          <w:tcPr>
            <w:tcW w:w="1000" w:type="dxa"/>
            <w:tcMar>
              <w:top w:w="80" w:type="dxa"/>
              <w:left w:w="100" w:type="dxa"/>
              <w:bottom w:w="80" w:type="dxa"/>
              <w:right w:w="100" w:type="dxa"/>
            </w:tcMar>
          </w:tcPr>
          <w:p>
            <w:pPr>
              <w:jc w:val="center"/>
            </w:pPr>
            <w:r>
              <w:rPr>
                <w:sz w:val="22"/>
                <w:szCs w:val="22"/>
              </w:rPr>
              <w:t xml:space="preserve">124</w:t>
            </w:r>
          </w:p>
        </w:tc>
        <w:tc>
          <w:tcPr>
            <w:tcW w:w="1000" w:type="dxa"/>
            <w:tcMar>
              <w:top w:w="80" w:type="dxa"/>
              <w:left w:w="100" w:type="dxa"/>
              <w:bottom w:w="80" w:type="dxa"/>
              <w:right w:w="100" w:type="dxa"/>
            </w:tcMar>
          </w:tcPr>
          <w:p>
            <w:pPr>
              <w:jc w:val="center"/>
            </w:pPr>
            <w:r>
              <w:rPr>
                <w:sz w:val="22"/>
                <w:szCs w:val="22"/>
              </w:rPr>
              <w:t xml:space="preserve">84</w:t>
            </w:r>
          </w:p>
        </w:tc>
        <w:tc>
          <w:tcPr>
            <w:tcW w:w="1000" w:type="dxa"/>
            <w:tcMar>
              <w:top w:w="80" w:type="dxa"/>
              <w:left w:w="100" w:type="dxa"/>
              <w:bottom w:w="80" w:type="dxa"/>
              <w:right w:w="100" w:type="dxa"/>
            </w:tcMar>
          </w:tcPr>
          <w:p>
            <w:pPr>
              <w:jc w:val="center"/>
            </w:pPr>
            <w:r>
              <w:rPr>
                <w:sz w:val="22"/>
                <w:szCs w:val="22"/>
              </w:rPr>
              <w:t xml:space="preserve">74</w:t>
            </w:r>
          </w:p>
        </w:tc>
        <w:tc>
          <w:tcPr>
            <w:tcW w:w="1000" w:type="dxa"/>
            <w:tcMar>
              <w:top w:w="80" w:type="dxa"/>
              <w:left w:w="100" w:type="dxa"/>
              <w:bottom w:w="80" w:type="dxa"/>
              <w:right w:w="100" w:type="dxa"/>
            </w:tcMar>
          </w:tcPr>
          <w:p>
            <w:pPr>
              <w:jc w:val="center"/>
            </w:pPr>
            <w:r>
              <w:rPr>
                <w:sz w:val="22"/>
                <w:szCs w:val="22"/>
              </w:rPr>
              <w:t xml:space="preserve">44</w:t>
            </w:r>
          </w:p>
        </w:tc>
        <w:tc>
          <w:tcPr>
            <w:tcW w:w="1000" w:type="dxa"/>
            <w:tcMar>
              <w:top w:w="80" w:type="dxa"/>
              <w:left w:w="100" w:type="dxa"/>
              <w:bottom w:w="80" w:type="dxa"/>
              <w:right w:w="100" w:type="dxa"/>
            </w:tcMar>
          </w:tcPr>
          <w:p>
            <w:pPr>
              <w:jc w:val="center"/>
            </w:pPr>
            <w:r>
              <w:rPr>
                <w:sz w:val="22"/>
                <w:szCs w:val="22"/>
              </w:rPr>
              <w:t xml:space="preserve">0</w:t>
            </w:r>
          </w:p>
        </w:tc>
      </w:tr>
      <w:tr>
        <w:tc>
          <w:tcPr>
            <w:tcW w:w="2500" w:type="dxa"/>
            <w:vMerge/>
            <w:tcMar>
              <w:top w:w="80" w:type="dxa"/>
              <w:left w:w="100" w:type="dxa"/>
              <w:bottom w:w="80" w:type="dxa"/>
              <w:right w:w="100" w:type="dxa"/>
            </w:tcMar>
          </w:tcPr>
          <w:p/>
        </w:tc>
        <w:tc>
          <w:tcPr>
            <w:tcW w:w="1000" w:type="dxa"/>
            <w:tcMar>
              <w:top w:w="80" w:type="dxa"/>
              <w:left w:w="100" w:type="dxa"/>
              <w:bottom w:w="80" w:type="dxa"/>
              <w:right w:w="100" w:type="dxa"/>
            </w:tcMar>
          </w:tcPr>
          <w:p>
            <w:pPr>
              <w:jc w:val="center"/>
            </w:pPr>
            <w:r>
              <w:rPr>
                <w:sz w:val="22"/>
                <w:szCs w:val="22"/>
              </w:rPr>
              <w:t xml:space="preserve">K</w:t>
            </w:r>
            <w:r>
              <w:rPr>
                <w:sz w:val="22"/>
                <w:szCs w:val="22"/>
                <w:vertAlign w:val="subscript"/>
              </w:rPr>
              <w:t xml:space="preserve">2</w:t>
            </w:r>
            <w:r>
              <w:rPr>
                <w:sz w:val="22"/>
                <w:szCs w:val="22"/>
              </w:rPr>
              <w:t xml:space="preserve">O</w:t>
            </w:r>
          </w:p>
        </w:tc>
        <w:tc>
          <w:tcPr>
            <w:tcW w:w="1000" w:type="dxa"/>
            <w:tcMar>
              <w:top w:w="80" w:type="dxa"/>
              <w:left w:w="100" w:type="dxa"/>
              <w:bottom w:w="80" w:type="dxa"/>
              <w:right w:w="100" w:type="dxa"/>
            </w:tcMar>
          </w:tcPr>
          <w:p>
            <w:pPr>
              <w:jc w:val="center"/>
            </w:pPr>
            <w:r>
              <w:rPr>
                <w:sz w:val="22"/>
                <w:szCs w:val="22"/>
              </w:rPr>
              <w:t xml:space="preserve">148</w:t>
            </w:r>
          </w:p>
        </w:tc>
        <w:tc>
          <w:tcPr>
            <w:tcW w:w="1000" w:type="dxa"/>
            <w:tcMar>
              <w:top w:w="80" w:type="dxa"/>
              <w:left w:w="100" w:type="dxa"/>
              <w:bottom w:w="80" w:type="dxa"/>
              <w:right w:w="100" w:type="dxa"/>
            </w:tcMar>
          </w:tcPr>
          <w:p>
            <w:pPr>
              <w:jc w:val="center"/>
            </w:pPr>
            <w:r>
              <w:rPr>
                <w:sz w:val="22"/>
                <w:szCs w:val="22"/>
              </w:rPr>
              <w:t xml:space="preserve">108</w:t>
            </w:r>
          </w:p>
        </w:tc>
        <w:tc>
          <w:tcPr>
            <w:tcW w:w="1000" w:type="dxa"/>
            <w:tcMar>
              <w:top w:w="80" w:type="dxa"/>
              <w:left w:w="100" w:type="dxa"/>
              <w:bottom w:w="80" w:type="dxa"/>
              <w:right w:w="100" w:type="dxa"/>
            </w:tcMar>
          </w:tcPr>
          <w:p>
            <w:pPr>
              <w:jc w:val="center"/>
            </w:pPr>
            <w:r>
              <w:rPr>
                <w:sz w:val="22"/>
                <w:szCs w:val="22"/>
              </w:rPr>
              <w:t xml:space="preserve">98</w:t>
            </w:r>
          </w:p>
        </w:tc>
        <w:tc>
          <w:tcPr>
            <w:tcW w:w="1000" w:type="dxa"/>
            <w:tcMar>
              <w:top w:w="80" w:type="dxa"/>
              <w:left w:w="100" w:type="dxa"/>
              <w:bottom w:w="80" w:type="dxa"/>
              <w:right w:w="100" w:type="dxa"/>
            </w:tcMar>
          </w:tcPr>
          <w:p>
            <w:pPr>
              <w:jc w:val="center"/>
            </w:pPr>
            <w:r>
              <w:rPr>
                <w:sz w:val="22"/>
                <w:szCs w:val="22"/>
              </w:rPr>
              <w:t xml:space="preserve">68</w:t>
            </w:r>
          </w:p>
        </w:tc>
        <w:tc>
          <w:tcPr>
            <w:tcW w:w="1000" w:type="dxa"/>
            <w:tcMar>
              <w:top w:w="80" w:type="dxa"/>
              <w:left w:w="100" w:type="dxa"/>
              <w:bottom w:w="80" w:type="dxa"/>
              <w:right w:w="100" w:type="dxa"/>
            </w:tcMar>
          </w:tcPr>
          <w:p>
            <w:pPr>
              <w:jc w:val="center"/>
            </w:pPr>
            <w:r>
              <w:rPr>
                <w:sz w:val="22"/>
                <w:szCs w:val="22"/>
              </w:rPr>
              <w:t xml:space="preserve">0</w:t>
            </w:r>
          </w:p>
        </w:tc>
      </w:tr>
      <w:tr>
        <w:tc>
          <w:tcPr>
            <w:tcW w:w="2500" w:type="dxa"/>
            <w:vMerge w:val="restart"/>
            <w:tcMar>
              <w:top w:w="80" w:type="dxa"/>
              <w:left w:w="100" w:type="dxa"/>
              <w:bottom w:w="80" w:type="dxa"/>
              <w:right w:w="100" w:type="dxa"/>
            </w:tcMar>
          </w:tcPr>
          <w:p>
            <w:r>
              <w:rPr>
                <w:sz w:val="22"/>
                <w:szCs w:val="22"/>
              </w:rPr>
              <w:t xml:space="preserve">Noroeste (2.515 kg/ha)</w:t>
            </w:r>
          </w:p>
        </w:tc>
        <w:tc>
          <w:tcPr>
            <w:tcW w:w="1000" w:type="dxa"/>
            <w:tcMar>
              <w:top w:w="80" w:type="dxa"/>
              <w:left w:w="100" w:type="dxa"/>
              <w:bottom w:w="80" w:type="dxa"/>
              <w:right w:w="100" w:type="dxa"/>
            </w:tcMar>
          </w:tcPr>
          <w:p>
            <w:pPr>
              <w:jc w:val="center"/>
            </w:pPr>
            <w:r>
              <w:rPr>
                <w:sz w:val="22"/>
                <w:szCs w:val="22"/>
              </w:rPr>
              <w:t xml:space="preserve">P</w:t>
            </w:r>
            <w:r>
              <w:rPr>
                <w:sz w:val="22"/>
                <w:szCs w:val="22"/>
                <w:vertAlign w:val="subscript"/>
              </w:rPr>
              <w:t xml:space="preserve">2</w:t>
            </w:r>
            <w:r>
              <w:rPr>
                <w:sz w:val="22"/>
                <w:szCs w:val="22"/>
              </w:rPr>
              <w:t xml:space="preserve">O</w:t>
            </w:r>
            <w:r>
              <w:rPr>
                <w:sz w:val="22"/>
                <w:szCs w:val="22"/>
                <w:vertAlign w:val="subscript"/>
              </w:rPr>
              <w:t xml:space="preserve">5</w:t>
            </w:r>
          </w:p>
        </w:tc>
        <w:tc>
          <w:tcPr>
            <w:tcW w:w="1000" w:type="dxa"/>
            <w:tcMar>
              <w:top w:w="80" w:type="dxa"/>
              <w:left w:w="100" w:type="dxa"/>
              <w:bottom w:w="80" w:type="dxa"/>
              <w:right w:w="100" w:type="dxa"/>
            </w:tcMar>
          </w:tcPr>
          <w:p>
            <w:pPr>
              <w:jc w:val="center"/>
            </w:pPr>
            <w:r>
              <w:rPr>
                <w:sz w:val="22"/>
                <w:szCs w:val="22"/>
              </w:rPr>
              <w:t xml:space="preserve">118</w:t>
            </w:r>
          </w:p>
        </w:tc>
        <w:tc>
          <w:tcPr>
            <w:tcW w:w="1000" w:type="dxa"/>
            <w:tcMar>
              <w:top w:w="80" w:type="dxa"/>
              <w:left w:w="100" w:type="dxa"/>
              <w:bottom w:w="80" w:type="dxa"/>
              <w:right w:w="100" w:type="dxa"/>
            </w:tcMar>
          </w:tcPr>
          <w:p>
            <w:pPr>
              <w:jc w:val="center"/>
            </w:pPr>
            <w:r>
              <w:rPr>
                <w:sz w:val="22"/>
                <w:szCs w:val="22"/>
              </w:rPr>
              <w:t xml:space="preserve">78</w:t>
            </w:r>
          </w:p>
        </w:tc>
        <w:tc>
          <w:tcPr>
            <w:tcW w:w="1000" w:type="dxa"/>
            <w:tcMar>
              <w:top w:w="80" w:type="dxa"/>
              <w:left w:w="100" w:type="dxa"/>
              <w:bottom w:w="80" w:type="dxa"/>
              <w:right w:w="100" w:type="dxa"/>
            </w:tcMar>
          </w:tcPr>
          <w:p>
            <w:pPr>
              <w:jc w:val="center"/>
            </w:pPr>
            <w:r>
              <w:rPr>
                <w:sz w:val="22"/>
                <w:szCs w:val="22"/>
              </w:rPr>
              <w:t xml:space="preserve">68</w:t>
            </w:r>
          </w:p>
        </w:tc>
        <w:tc>
          <w:tcPr>
            <w:tcW w:w="1000" w:type="dxa"/>
            <w:tcMar>
              <w:top w:w="80" w:type="dxa"/>
              <w:left w:w="100" w:type="dxa"/>
              <w:bottom w:w="80" w:type="dxa"/>
              <w:right w:w="100" w:type="dxa"/>
            </w:tcMar>
          </w:tcPr>
          <w:p>
            <w:pPr>
              <w:jc w:val="center"/>
            </w:pPr>
            <w:r>
              <w:rPr>
                <w:sz w:val="22"/>
                <w:szCs w:val="22"/>
              </w:rPr>
              <w:t xml:space="preserve">38</w:t>
            </w:r>
          </w:p>
        </w:tc>
        <w:tc>
          <w:tcPr>
            <w:tcW w:w="1000" w:type="dxa"/>
            <w:tcMar>
              <w:top w:w="80" w:type="dxa"/>
              <w:left w:w="100" w:type="dxa"/>
              <w:bottom w:w="80" w:type="dxa"/>
              <w:right w:w="100" w:type="dxa"/>
            </w:tcMar>
          </w:tcPr>
          <w:p>
            <w:pPr>
              <w:jc w:val="center"/>
            </w:pPr>
            <w:r>
              <w:rPr>
                <w:sz w:val="22"/>
                <w:szCs w:val="22"/>
              </w:rPr>
              <w:t xml:space="preserve">0</w:t>
            </w:r>
          </w:p>
        </w:tc>
      </w:tr>
      <w:tr>
        <w:tc>
          <w:tcPr>
            <w:tcW w:w="2500" w:type="dxa"/>
            <w:vMerge/>
            <w:tcMar>
              <w:top w:w="80" w:type="dxa"/>
              <w:left w:w="100" w:type="dxa"/>
              <w:bottom w:w="80" w:type="dxa"/>
              <w:right w:w="100" w:type="dxa"/>
            </w:tcMar>
          </w:tcPr>
          <w:p/>
        </w:tc>
        <w:tc>
          <w:tcPr>
            <w:tcW w:w="1000" w:type="dxa"/>
            <w:tcMar>
              <w:top w:w="80" w:type="dxa"/>
              <w:left w:w="100" w:type="dxa"/>
              <w:bottom w:w="80" w:type="dxa"/>
              <w:right w:w="100" w:type="dxa"/>
            </w:tcMar>
          </w:tcPr>
          <w:p>
            <w:pPr>
              <w:jc w:val="center"/>
            </w:pPr>
            <w:r>
              <w:rPr>
                <w:sz w:val="22"/>
                <w:szCs w:val="22"/>
              </w:rPr>
              <w:t xml:space="preserve">K</w:t>
            </w:r>
            <w:r>
              <w:rPr>
                <w:sz w:val="22"/>
                <w:szCs w:val="22"/>
                <w:vertAlign w:val="subscript"/>
              </w:rPr>
              <w:t xml:space="preserve">2</w:t>
            </w:r>
            <w:r>
              <w:rPr>
                <w:sz w:val="22"/>
                <w:szCs w:val="22"/>
              </w:rPr>
              <w:t xml:space="preserve">O</w:t>
            </w:r>
          </w:p>
        </w:tc>
        <w:tc>
          <w:tcPr>
            <w:tcW w:w="1000" w:type="dxa"/>
            <w:tcMar>
              <w:top w:w="80" w:type="dxa"/>
              <w:left w:w="100" w:type="dxa"/>
              <w:bottom w:w="80" w:type="dxa"/>
              <w:right w:w="100" w:type="dxa"/>
            </w:tcMar>
          </w:tcPr>
          <w:p>
            <w:pPr>
              <w:jc w:val="center"/>
            </w:pPr>
            <w:r>
              <w:rPr>
                <w:sz w:val="22"/>
                <w:szCs w:val="22"/>
              </w:rPr>
              <w:t xml:space="preserve">138</w:t>
            </w:r>
          </w:p>
        </w:tc>
        <w:tc>
          <w:tcPr>
            <w:tcW w:w="1000" w:type="dxa"/>
            <w:tcMar>
              <w:top w:w="80" w:type="dxa"/>
              <w:left w:w="100" w:type="dxa"/>
              <w:bottom w:w="80" w:type="dxa"/>
              <w:right w:w="100" w:type="dxa"/>
            </w:tcMar>
          </w:tcPr>
          <w:p>
            <w:pPr>
              <w:jc w:val="center"/>
            </w:pPr>
            <w:r>
              <w:rPr>
                <w:sz w:val="22"/>
                <w:szCs w:val="22"/>
              </w:rPr>
              <w:t xml:space="preserve">98</w:t>
            </w:r>
          </w:p>
        </w:tc>
        <w:tc>
          <w:tcPr>
            <w:tcW w:w="1000" w:type="dxa"/>
            <w:tcMar>
              <w:top w:w="80" w:type="dxa"/>
              <w:left w:w="100" w:type="dxa"/>
              <w:bottom w:w="80" w:type="dxa"/>
              <w:right w:w="100" w:type="dxa"/>
            </w:tcMar>
          </w:tcPr>
          <w:p>
            <w:pPr>
              <w:jc w:val="center"/>
            </w:pPr>
            <w:r>
              <w:rPr>
                <w:sz w:val="22"/>
                <w:szCs w:val="22"/>
              </w:rPr>
              <w:t xml:space="preserve">88</w:t>
            </w:r>
          </w:p>
        </w:tc>
        <w:tc>
          <w:tcPr>
            <w:tcW w:w="1000" w:type="dxa"/>
            <w:tcMar>
              <w:top w:w="80" w:type="dxa"/>
              <w:left w:w="100" w:type="dxa"/>
              <w:bottom w:w="80" w:type="dxa"/>
              <w:right w:w="100" w:type="dxa"/>
            </w:tcMar>
          </w:tcPr>
          <w:p>
            <w:pPr>
              <w:jc w:val="center"/>
            </w:pPr>
            <w:r>
              <w:rPr>
                <w:sz w:val="22"/>
                <w:szCs w:val="22"/>
              </w:rPr>
              <w:t xml:space="preserve">58</w:t>
            </w:r>
          </w:p>
        </w:tc>
        <w:tc>
          <w:tcPr>
            <w:tcW w:w="1000" w:type="dxa"/>
            <w:tcMar>
              <w:top w:w="80" w:type="dxa"/>
              <w:left w:w="100" w:type="dxa"/>
              <w:bottom w:w="80" w:type="dxa"/>
              <w:right w:w="100" w:type="dxa"/>
            </w:tcMar>
          </w:tcPr>
          <w:p>
            <w:pPr>
              <w:jc w:val="center"/>
            </w:pPr>
            <w:r>
              <w:rPr>
                <w:sz w:val="22"/>
                <w:szCs w:val="22"/>
              </w:rPr>
              <w:t xml:space="preserve">0</w:t>
            </w:r>
          </w:p>
        </w:tc>
      </w:tr>
      <w:tr>
        <w:tc>
          <w:tcPr>
            <w:tcW w:w="2500" w:type="dxa"/>
            <w:vMerge w:val="restart"/>
            <w:tcMar>
              <w:top w:w="80" w:type="dxa"/>
              <w:left w:w="100" w:type="dxa"/>
              <w:bottom w:w="80" w:type="dxa"/>
              <w:right w:w="100" w:type="dxa"/>
            </w:tcMar>
          </w:tcPr>
          <w:p>
            <w:r>
              <w:rPr>
                <w:sz w:val="22"/>
                <w:szCs w:val="22"/>
              </w:rPr>
              <w:t xml:space="preserve">Sudoeste (1.755 kg/ha)</w:t>
            </w:r>
          </w:p>
        </w:tc>
        <w:tc>
          <w:tcPr>
            <w:tcW w:w="1000" w:type="dxa"/>
            <w:tcMar>
              <w:top w:w="80" w:type="dxa"/>
              <w:left w:w="100" w:type="dxa"/>
              <w:bottom w:w="80" w:type="dxa"/>
              <w:right w:w="100" w:type="dxa"/>
            </w:tcMar>
          </w:tcPr>
          <w:p>
            <w:pPr>
              <w:jc w:val="center"/>
            </w:pPr>
            <w:r>
              <w:rPr>
                <w:sz w:val="22"/>
                <w:szCs w:val="22"/>
              </w:rPr>
              <w:t xml:space="preserve">P</w:t>
            </w:r>
            <w:r>
              <w:rPr>
                <w:sz w:val="22"/>
                <w:szCs w:val="22"/>
                <w:vertAlign w:val="subscript"/>
              </w:rPr>
              <w:t xml:space="preserve">2</w:t>
            </w:r>
            <w:r>
              <w:rPr>
                <w:sz w:val="22"/>
                <w:szCs w:val="22"/>
              </w:rPr>
              <w:t xml:space="preserve">O</w:t>
            </w:r>
            <w:r>
              <w:rPr>
                <w:sz w:val="22"/>
                <w:szCs w:val="22"/>
                <w:vertAlign w:val="subscript"/>
              </w:rPr>
              <w:t xml:space="preserve">5</w:t>
            </w:r>
          </w:p>
        </w:tc>
        <w:tc>
          <w:tcPr>
            <w:tcW w:w="1000" w:type="dxa"/>
            <w:tcMar>
              <w:top w:w="80" w:type="dxa"/>
              <w:left w:w="100" w:type="dxa"/>
              <w:bottom w:w="80" w:type="dxa"/>
              <w:right w:w="100" w:type="dxa"/>
            </w:tcMar>
          </w:tcPr>
          <w:p>
            <w:pPr>
              <w:jc w:val="center"/>
            </w:pPr>
            <w:r>
              <w:rPr>
                <w:sz w:val="22"/>
                <w:szCs w:val="22"/>
              </w:rPr>
              <w:t xml:space="preserve">110</w:t>
            </w:r>
          </w:p>
        </w:tc>
        <w:tc>
          <w:tcPr>
            <w:tcW w:w="1000" w:type="dxa"/>
            <w:tcMar>
              <w:top w:w="80" w:type="dxa"/>
              <w:left w:w="100" w:type="dxa"/>
              <w:bottom w:w="80" w:type="dxa"/>
              <w:right w:w="100" w:type="dxa"/>
            </w:tcMar>
          </w:tcPr>
          <w:p>
            <w:pPr>
              <w:jc w:val="center"/>
            </w:pPr>
            <w:r>
              <w:rPr>
                <w:sz w:val="22"/>
                <w:szCs w:val="22"/>
              </w:rPr>
              <w:t xml:space="preserve">70</w:t>
            </w:r>
          </w:p>
        </w:tc>
        <w:tc>
          <w:tcPr>
            <w:tcW w:w="1000" w:type="dxa"/>
            <w:tcMar>
              <w:top w:w="80" w:type="dxa"/>
              <w:left w:w="100" w:type="dxa"/>
              <w:bottom w:w="80" w:type="dxa"/>
              <w:right w:w="100" w:type="dxa"/>
            </w:tcMar>
          </w:tcPr>
          <w:p>
            <w:pPr>
              <w:jc w:val="center"/>
            </w:pPr>
            <w:r>
              <w:rPr>
                <w:sz w:val="22"/>
                <w:szCs w:val="22"/>
              </w:rPr>
              <w:t xml:space="preserve">60</w:t>
            </w:r>
          </w:p>
        </w:tc>
        <w:tc>
          <w:tcPr>
            <w:tcW w:w="1000" w:type="dxa"/>
            <w:tcMar>
              <w:top w:w="80" w:type="dxa"/>
              <w:left w:w="100" w:type="dxa"/>
              <w:bottom w:w="80" w:type="dxa"/>
              <w:right w:w="100" w:type="dxa"/>
            </w:tcMar>
          </w:tcPr>
          <w:p>
            <w:pPr>
              <w:jc w:val="center"/>
            </w:pPr>
            <w:r>
              <w:rPr>
                <w:sz w:val="22"/>
                <w:szCs w:val="22"/>
              </w:rPr>
              <w:t xml:space="preserve">30</w:t>
            </w:r>
          </w:p>
        </w:tc>
        <w:tc>
          <w:tcPr>
            <w:tcW w:w="1000" w:type="dxa"/>
            <w:tcMar>
              <w:top w:w="80" w:type="dxa"/>
              <w:left w:w="100" w:type="dxa"/>
              <w:bottom w:w="80" w:type="dxa"/>
              <w:right w:w="100" w:type="dxa"/>
            </w:tcMar>
          </w:tcPr>
          <w:p>
            <w:pPr>
              <w:jc w:val="center"/>
            </w:pPr>
            <w:r>
              <w:rPr>
                <w:sz w:val="22"/>
                <w:szCs w:val="22"/>
              </w:rPr>
              <w:t xml:space="preserve">0</w:t>
            </w:r>
          </w:p>
        </w:tc>
      </w:tr>
      <w:tr>
        <w:tc>
          <w:tcPr>
            <w:tcW w:w="2500" w:type="dxa"/>
            <w:vMerge/>
            <w:tcMar>
              <w:top w:w="80" w:type="dxa"/>
              <w:left w:w="100" w:type="dxa"/>
              <w:bottom w:w="80" w:type="dxa"/>
              <w:right w:w="100" w:type="dxa"/>
            </w:tcMar>
          </w:tcPr>
          <w:p>
            <w:pPr>
              <w:keepNext/>
            </w:pPr>
          </w:p>
        </w:tc>
        <w:tc>
          <w:tcPr>
            <w:tcW w:w="1000" w:type="dxa"/>
            <w:tcMar>
              <w:top w:w="80" w:type="dxa"/>
              <w:left w:w="100" w:type="dxa"/>
              <w:bottom w:w="80" w:type="dxa"/>
              <w:right w:w="100" w:type="dxa"/>
            </w:tcMar>
          </w:tcPr>
          <w:p>
            <w:pPr>
              <w:keepNext/>
              <w:jc w:val="center"/>
            </w:pPr>
            <w:r>
              <w:rPr>
                <w:sz w:val="22"/>
                <w:szCs w:val="22"/>
              </w:rPr>
              <w:t xml:space="preserve">K</w:t>
            </w:r>
            <w:r>
              <w:rPr>
                <w:sz w:val="22"/>
                <w:szCs w:val="22"/>
                <w:vertAlign w:val="subscript"/>
              </w:rPr>
              <w:t xml:space="preserve">2</w:t>
            </w:r>
            <w:r>
              <w:rPr>
                <w:sz w:val="22"/>
                <w:szCs w:val="22"/>
              </w:rPr>
              <w:t xml:space="preserve">O</w:t>
            </w:r>
          </w:p>
        </w:tc>
        <w:tc>
          <w:tcPr>
            <w:tcW w:w="1000" w:type="dxa"/>
            <w:tcMar>
              <w:top w:w="80" w:type="dxa"/>
              <w:left w:w="100" w:type="dxa"/>
              <w:bottom w:w="80" w:type="dxa"/>
              <w:right w:w="100" w:type="dxa"/>
            </w:tcMar>
          </w:tcPr>
          <w:p>
            <w:pPr>
              <w:keepNext/>
              <w:jc w:val="center"/>
            </w:pPr>
            <w:r>
              <w:rPr>
                <w:sz w:val="22"/>
                <w:szCs w:val="22"/>
              </w:rPr>
              <w:t xml:space="preserve">125</w:t>
            </w:r>
          </w:p>
        </w:tc>
        <w:tc>
          <w:tcPr>
            <w:tcW w:w="1000" w:type="dxa"/>
            <w:tcMar>
              <w:top w:w="80" w:type="dxa"/>
              <w:left w:w="100" w:type="dxa"/>
              <w:bottom w:w="80" w:type="dxa"/>
              <w:right w:w="100" w:type="dxa"/>
            </w:tcMar>
          </w:tcPr>
          <w:p>
            <w:pPr>
              <w:keepNext/>
              <w:jc w:val="center"/>
            </w:pPr>
            <w:r>
              <w:rPr>
                <w:sz w:val="22"/>
                <w:szCs w:val="22"/>
              </w:rPr>
              <w:t xml:space="preserve">85</w:t>
            </w:r>
          </w:p>
        </w:tc>
        <w:tc>
          <w:tcPr>
            <w:tcW w:w="1000" w:type="dxa"/>
            <w:tcMar>
              <w:top w:w="80" w:type="dxa"/>
              <w:left w:w="100" w:type="dxa"/>
              <w:bottom w:w="80" w:type="dxa"/>
              <w:right w:w="100" w:type="dxa"/>
            </w:tcMar>
          </w:tcPr>
          <w:p>
            <w:pPr>
              <w:keepNext/>
              <w:jc w:val="center"/>
            </w:pPr>
            <w:r>
              <w:rPr>
                <w:sz w:val="22"/>
                <w:szCs w:val="22"/>
              </w:rPr>
              <w:t xml:space="preserve">75</w:t>
            </w:r>
          </w:p>
        </w:tc>
        <w:tc>
          <w:tcPr>
            <w:tcW w:w="1000" w:type="dxa"/>
            <w:tcMar>
              <w:top w:w="80" w:type="dxa"/>
              <w:left w:w="100" w:type="dxa"/>
              <w:bottom w:w="80" w:type="dxa"/>
              <w:right w:w="100" w:type="dxa"/>
            </w:tcMar>
          </w:tcPr>
          <w:p>
            <w:pPr>
              <w:keepNext/>
              <w:jc w:val="center"/>
            </w:pPr>
            <w:r>
              <w:rPr>
                <w:sz w:val="22"/>
                <w:szCs w:val="22"/>
              </w:rPr>
              <w:t xml:space="preserve">45</w:t>
            </w:r>
          </w:p>
        </w:tc>
        <w:tc>
          <w:tcPr>
            <w:tcW w:w="1000" w:type="dxa"/>
            <w:tcMar>
              <w:top w:w="80" w:type="dxa"/>
              <w:left w:w="100" w:type="dxa"/>
              <w:bottom w:w="80" w:type="dxa"/>
              <w:right w:w="100" w:type="dxa"/>
            </w:tcMar>
          </w:tcPr>
          <w:p>
            <w:pPr>
              <w:keepNext/>
              <w:jc w:val="center"/>
            </w:pPr>
            <w:r>
              <w:rPr>
                <w:sz w:val="22"/>
                <w:szCs w:val="22"/>
              </w:rPr>
              <w:t xml:space="preserve">0</w:t>
            </w:r>
          </w:p>
        </w:tc>
      </w:tr>
    </w:tbl>
    <w:p>
      <w:pPr>
        <w:spacing w:before="120" w:after="300"/>
        <w:jc w:val="center"/>
      </w:pPr>
      <w:r>
        <w:rPr>
          <w:i/>
          <w:iCs/>
          <w:sz w:val="22"/>
          <w:szCs w:val="22"/>
        </w:rPr>
        <w:t xml:space="preserve">Tabela 5 – Dose recomendada no 1º cultivo (kg/ha) para o rendimento esperado mediano de três mesorregiões, por classe de teor do solo. Fonte: elaboração própria a partir de Embrapa/CQFS-RS/SC (2026).</w:t>
      </w:r>
    </w:p>
    <w:p>
      <w:pPr>
        <w:keepNext/>
      </w:pPr>
      <w:r>
        <w:rPr>
          <w:b/>
          <w:bCs/>
          <w:sz w:val="28"/>
          <w:szCs w:val="28"/>
        </w:rPr>
        <w:t>7. Discussão e Limitações</w:t>
      </w:r>
    </w:p>
    <w:p>
      <w:pPr>
        <w:spacing w:after="200" w:line="276" w:lineRule="auto"/>
        <w:ind w:firstLine="720"/>
        <w:jc w:val="both"/>
      </w:pPr>
      <w:r>
        <w:rPr>
          <w:sz w:val="24"/>
          <w:szCs w:val="24"/>
        </w:rPr>
        <w:t xml:space="preserve">Ao contrário do que sugerem estudos com bases maiores (Jeong et al., 2016; Von Bloh et al., 2023), a regressão linear superou Random Forest e Gradient Boosting. Dois fatores explicam o resultado: a base tem cerca de 5 mil linhas e 21 safras, pouco para modelos mais flexíveis; e as secas recentes foram mais extremas que qualquer safra do treino – 2022 teve 44 dias de calor em dez–fev, contra no máximo 33 até 2020 –, e modelos de árvores não extrapolam além dos valores observados no treino. A não linearidade relevante (perda que se acelera na seca extrema) foi capturada por termos de limiar explícitos, mantendo o modelo interpretável.</w:t>
      </w:r>
    </w:p>
    <w:p>
      <w:pPr>
        <w:spacing w:after="200" w:line="276" w:lineRule="auto"/>
        <w:ind w:firstLine="720"/>
        <w:jc w:val="both"/>
      </w:pPr>
      <w:r>
        <w:rPr>
          <w:sz w:val="24"/>
          <w:szCs w:val="24"/>
        </w:rPr>
        <w:t xml:space="preserve">O erro remanescente (≈20% por município) reflete principalmente limites de informação: metade dos pares município–safra com rendimento não tem clima do INMET com cobertura suficiente; o clima de cada município vem da estação mais próxima, que pode estar a dezenas de quilômetros; e fatores como pragas, doenças, data de semeadura e manejo não estão nos dados. O próprio rendimento municipal da PAM é uma estimativa, e alguns municípios apresentam valores idênticos em safras consecutivas. Hipóteses declaradas: CAD única de 75 mm e coeficiente de cultura igual a 1 no balanço hídrico; e, na adubação, uso de recomendação normativa (não de dose aplicada), com rendimento esperado que inclui três secas recentes e pode estar abaixo do potencial do produtor. Como extensões, a inclusão de clima em grade (ex.: NASA POWER) ampliaria a cobertura e aproximaria o clima das lavouras, e índices de vegetação por satélite (NDVI) poderiam captar perdas que o clima não explica, como a de 2020.</w:t>
      </w:r>
    </w:p>
    <w:p>
      <w:pPr>
        <w:keepNext/>
      </w:pPr>
      <w:r>
        <w:rPr>
          <w:b/>
          <w:bCs/>
          <w:sz w:val="28"/>
          <w:szCs w:val="28"/>
        </w:rPr>
        <w:t>8. Conclusão</w:t>
      </w:r>
    </w:p>
    <w:p>
      <w:pPr>
        <w:spacing w:after="200" w:line="276" w:lineRule="auto"/>
        <w:ind w:firstLine="720"/>
        <w:jc w:val="both"/>
      </w:pPr>
      <w:r>
        <w:rPr>
          <w:sz w:val="24"/>
          <w:szCs w:val="24"/>
        </w:rPr>
        <w:t xml:space="preserve">O trabalho construiu uma base municipal integrada e reprodutível e um modelo que prevê, ao fim de março, o rendimento da soja de cada município do RS com erro ≈14–22% menor que a média histórica do município. Os resultados mostram que, para este problema, a forma de representar o clima e o patamar de produtividade pesou mais do que a escolha do algoritmo: resumir a chuva por subperíodo, calcular o patamar apenas com o passado e representar explicitamente a seca extrema trouxeram os ganhos, enquanto modelos de árvores não superaram a regressão linear. A chuva, a umidade e o déficit hídrico de dezembro a fevereiro concentram o efeito do clima. A aplicação em adubação mostra como a previsão pode apoiar uma decisão agronômica concreta, mantendo a análise de solo do produtor como referência.</w:t>
      </w:r>
    </w:p>
    <w:p w14:paraId="7D4E3F12" w14:textId="77777777" w:rsidR="00137179" w:rsidRDefault="00000000">
      <w:pPr>
        <w:spacing w:after="300" w:line="276" w:lineRule="auto"/>
        <w:jc w:val="both"/>
      </w:pPr>
      <w:r>
        <w:rPr>
          <w:b/>
          <w:bCs/>
          <w:sz w:val="24"/>
          <w:szCs w:val="24"/>
        </w:rPr>
        <w:t xml:space="preserve">Endereço GitHub: </w:t>
      </w:r>
      <w:r>
        <w:rPr>
          <w:sz w:val="24"/>
          <w:szCs w:val="24"/>
        </w:rPr>
        <w:t>https://github.com/isah5/Projeto_Safra_de_Soja</w:t>
      </w:r>
    </w:p>
    <w:p>
      <w:pPr>
        <w:keepNext/>
      </w:pPr>
      <w:r>
        <w:rPr>
          <w:b/>
          <w:bCs/>
          <w:sz w:val="28"/>
          <w:szCs w:val="28"/>
        </w:rPr>
        <w:t>9. Referências</w:t>
      </w:r>
    </w:p>
    <w:p>
      <w:pPr>
        <w:spacing w:after="160" w:line="276" w:lineRule="auto"/>
        <w:ind w:left="431" w:hanging="431"/>
        <w:jc w:val="left"/>
      </w:pPr>
      <w:r>
        <w:rPr>
          <w:sz w:val="22"/>
          <w:szCs w:val="22"/>
        </w:rPr>
        <w:t xml:space="preserve">ALLEN, R. G.; PEREIRA, L. S.; RAES, D.; SMITH, M. Crop evapotranspiration: guidelines for computing crop water requirements. FAO Irrigation and Drainage Paper 56. Roma: FAO, 1998.</w:t>
      </w:r>
    </w:p>
    <w:p>
      <w:pPr>
        <w:spacing w:after="160" w:line="276" w:lineRule="auto"/>
        <w:ind w:left="431" w:hanging="431"/>
        <w:jc w:val="left"/>
      </w:pPr>
      <w:r>
        <w:rPr>
          <w:sz w:val="22"/>
          <w:szCs w:val="22"/>
        </w:rPr>
        <w:t xml:space="preserve">BREIMAN, L. Random forests. Machine Learning, v. 45, p. 5–32, 2001.</w:t>
      </w:r>
    </w:p>
    <w:p>
      <w:pPr>
        <w:spacing w:after="160" w:line="276" w:lineRule="auto"/>
        <w:ind w:left="431" w:hanging="431"/>
        <w:jc w:val="left"/>
      </w:pPr>
      <w:r>
        <w:rPr>
          <w:sz w:val="22"/>
          <w:szCs w:val="22"/>
        </w:rPr>
        <w:t xml:space="preserve">FRIEDMAN, J. H. Greedy function approximation: a gradient boosting machine. The Annals of Statistics, v. 29, n. 5, p. 1189–1232, 2001.</w:t>
      </w:r>
    </w:p>
    <w:p>
      <w:pPr>
        <w:spacing w:after="160" w:line="276" w:lineRule="auto"/>
        <w:ind w:left="431" w:hanging="431"/>
        <w:jc w:val="left"/>
      </w:pPr>
      <w:r>
        <w:rPr>
          <w:sz w:val="22"/>
          <w:szCs w:val="22"/>
        </w:rPr>
        <w:t xml:space="preserve">HARGREAVES, G. H.; SAMANI, Z. A. Reference crop evapotranspiration from temperature. Applied Engineering in Agriculture, v. 1, n. 2, p. 96–99, 1985.</w:t>
      </w:r>
    </w:p>
    <w:p>
      <w:pPr>
        <w:spacing w:after="160" w:line="276" w:lineRule="auto"/>
        <w:ind w:left="431" w:hanging="431"/>
        <w:jc w:val="left"/>
      </w:pPr>
      <w:r>
        <w:rPr>
          <w:sz w:val="22"/>
          <w:szCs w:val="22"/>
        </w:rPr>
        <w:t xml:space="preserve">IBGE – INSTITUTO BRASILEIRO DE GEOGRAFIA E ESTATÍSTICA. Produção Agrícola Municipal: tabela 1612 – lavouras temporárias. Rio de Janeiro: IBGE/SIDRA. Disponível em: https://sidra.ibge.gov.br/tabela/1612. Acesso em: 25 set. 2026.</w:t>
      </w:r>
    </w:p>
    <w:p>
      <w:pPr>
        <w:spacing w:after="160" w:line="276" w:lineRule="auto"/>
        <w:ind w:left="431" w:hanging="431"/>
        <w:jc w:val="left"/>
      </w:pPr>
      <w:r>
        <w:rPr>
          <w:sz w:val="22"/>
          <w:szCs w:val="22"/>
        </w:rPr>
        <w:t xml:space="preserve">IBGE – INSTITUTO BRASILEIRO DE GEOGRAFIA E ESTATÍSTICA. API de Localidades: municípios do Rio Grande do Sul. Disponível em: https://servicodados.ibge.gov.br/api/v1/localidades/estados/43/municipios. Acesso em: 22 out. 2026.</w:t>
      </w:r>
    </w:p>
    <w:p>
      <w:pPr>
        <w:spacing w:after="160" w:line="276" w:lineRule="auto"/>
        <w:ind w:left="431" w:hanging="431"/>
        <w:jc w:val="left"/>
      </w:pPr>
      <w:r>
        <w:rPr>
          <w:sz w:val="22"/>
          <w:szCs w:val="22"/>
        </w:rPr>
        <w:t xml:space="preserve">INMET – INSTITUTO NACIONAL DE METEOROLOGIA. BDMEP – Banco de Dados Meteorológicos. Brasília, DF. Disponível em: https://bdmep.inmet.gov.br/. Acesso em: 25 set. 2026.</w:t>
      </w:r>
    </w:p>
    <w:p>
      <w:pPr>
        <w:spacing w:after="160" w:line="276" w:lineRule="auto"/>
        <w:ind w:left="431" w:hanging="431"/>
        <w:jc w:val="left"/>
      </w:pPr>
      <w:r>
        <w:rPr>
          <w:sz w:val="22"/>
          <w:szCs w:val="22"/>
        </w:rPr>
        <w:t xml:space="preserve">JEONG, J. H. et al. Random forests for global and regional crop yield predictions. PLOS ONE, v. 11, n. 6, e0156571, 2016.</w:t>
      </w:r>
    </w:p>
    <w:p>
      <w:pPr>
        <w:spacing w:after="160" w:line="276" w:lineRule="auto"/>
        <w:ind w:left="431" w:hanging="431"/>
        <w:jc w:val="left"/>
      </w:pPr>
      <w:r>
        <w:rPr>
          <w:sz w:val="22"/>
          <w:szCs w:val="22"/>
        </w:rPr>
        <w:t xml:space="preserve">LUNDBERG, S. M.; LEE, S.-I. A unified approach to interpreting model predictions. In: Advances in Neural Information Processing Systems 30 (NIPS 2017). p. 4765–4774, 2017.</w:t>
      </w:r>
    </w:p>
    <w:p>
      <w:pPr>
        <w:spacing w:after="160" w:line="276" w:lineRule="auto"/>
        <w:ind w:left="431" w:hanging="431"/>
        <w:jc w:val="left"/>
      </w:pPr>
      <w:r>
        <w:rPr>
          <w:sz w:val="22"/>
          <w:szCs w:val="22"/>
        </w:rPr>
        <w:t xml:space="preserve">NOAA – NATIONAL OCEANIC AND ATMOSPHERIC ADMINISTRATION. Climate Prediction Center. Oceanic Niño Index (ONI): Cold &amp; Warm Episodes by Season. Disponível em: https://origin.cpc.ncep.noaa.gov/products/analysis_monitoring/ensostuff/ONI_v5.php. Acesso em: 25 set. 2026.</w:t>
      </w:r>
    </w:p>
    <w:p>
      <w:pPr>
        <w:spacing w:after="160" w:line="276" w:lineRule="auto"/>
        <w:ind w:left="431" w:hanging="431"/>
        <w:jc w:val="left"/>
      </w:pPr>
      <w:r>
        <w:rPr>
          <w:sz w:val="22"/>
          <w:szCs w:val="22"/>
        </w:rPr>
        <w:t xml:space="preserve">NÓIA JÚNIOR, R. S. et al. Effects of the El Niño Southern Oscillation phenomenon and sowing dates on soybean yield and on the occurrence of extreme weather events in southern Brazil. Agricultural and Forest Meteorology, v. 290, 108038, 2020.</w:t>
      </w:r>
    </w:p>
    <w:p>
      <w:pPr>
        <w:spacing w:after="160" w:line="276" w:lineRule="auto"/>
        <w:ind w:left="431" w:hanging="431"/>
        <w:jc w:val="left"/>
      </w:pPr>
      <w:r>
        <w:rPr>
          <w:sz w:val="22"/>
          <w:szCs w:val="22"/>
        </w:rPr>
        <w:t xml:space="preserve">PEDREGOSA, F. et al. Scikit-learn: machine learning in Python. Journal of Machine Learning Research, v. 12, p. 2825–2830, 2011.</w:t>
      </w:r>
    </w:p>
    <w:p>
      <w:pPr>
        <w:spacing w:after="160" w:line="276" w:lineRule="auto"/>
        <w:ind w:left="431" w:hanging="431"/>
        <w:jc w:val="left"/>
      </w:pPr>
      <w:r>
        <w:rPr>
          <w:sz w:val="22"/>
          <w:szCs w:val="22"/>
        </w:rPr>
        <w:t xml:space="preserve">PILAU, F. G. et al. Impact of ENSO-related rainfall variability on soybean yield in the state of Rio Grande do Sul, Brazil. Agrometeoros, v. 30, e027115, 2022.</w:t>
      </w:r>
    </w:p>
    <w:p>
      <w:pPr>
        <w:spacing w:after="160" w:line="276" w:lineRule="auto"/>
        <w:ind w:left="431" w:hanging="431"/>
        <w:jc w:val="left"/>
      </w:pPr>
      <w:r>
        <w:rPr>
          <w:sz w:val="22"/>
          <w:szCs w:val="22"/>
        </w:rPr>
        <w:t xml:space="preserve">REUNIÃO DE PESQUISA DE SOJA DA REGIÃO SUL. Indicações técnicas para a cultura da soja no Rio Grande do Sul e em Santa Catarina, safras 2014/2015 e 2015/2016. Disponível em: https://www.infoteca.cnptia.embrapa.br/infoteca/handle/doc/1011192. Acesso em: 22 out. 2026.</w:t>
      </w:r>
    </w:p>
    <w:p>
      <w:pPr>
        <w:spacing w:after="160" w:line="276" w:lineRule="auto"/>
        <w:ind w:left="431" w:hanging="431"/>
        <w:jc w:val="left"/>
      </w:pPr>
      <w:r>
        <w:rPr>
          <w:sz w:val="22"/>
          <w:szCs w:val="22"/>
        </w:rPr>
        <w:t xml:space="preserve">SOCIEDADE BRASILEIRA DE CIÊNCIA DO SOLO – NÚCLEO REGIONAL SUL / COMISSÃO DE QUÍMICA E FERTILIDADE DO SOLO – RS/SC. Manual de Calagem e Adubação para os Estados do Rio Grande do Sul e de Santa Catarina. Porto Alegre, 2016.</w:t>
      </w:r>
    </w:p>
    <w:p>
      <w:pPr>
        <w:spacing w:after="160" w:line="276" w:lineRule="auto"/>
        <w:ind w:left="431" w:hanging="431"/>
        <w:jc w:val="left"/>
      </w:pPr>
      <w:r>
        <w:rPr>
          <w:sz w:val="22"/>
          <w:szCs w:val="22"/>
        </w:rPr>
        <w:t xml:space="preserve">VAN KLOMPENBURG, T.; KASSAHUN, A.; CATAL, C. Crop yield prediction using machine learning: a systematic literature review. Computers and Electronics in Agriculture, v. 177, 105709, 2020.</w:t>
      </w:r>
    </w:p>
    <w:p>
      <w:pPr>
        <w:spacing w:after="160" w:line="276" w:lineRule="auto"/>
        <w:ind w:left="431" w:hanging="431"/>
        <w:jc w:val="left"/>
      </w:pPr>
      <w:r>
        <w:rPr>
          <w:sz w:val="22"/>
          <w:szCs w:val="22"/>
        </w:rPr>
        <w:t xml:space="preserve">VON BLOH, M. et al. Machine learning for soybean yield forecasting in Brazil. Agricultural and Forest Meteorology, v. 341, 109670, 2023.</w:t>
      </w:r>
    </w:p>
    <w:sectPr w:rsidR="00137179">
      <w:headerReference w:type="default" r:id="rId10"/>
      <w:pgSz w:w="11906" w:h="16838"/>
      <w:pgMar w:top="1418" w:right="1701"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7710D" w14:textId="77777777" w:rsidR="006E3776" w:rsidRDefault="006E3776">
      <w:r>
        <w:separator/>
      </w:r>
    </w:p>
  </w:endnote>
  <w:endnote w:type="continuationSeparator" w:id="0">
    <w:p w14:paraId="73494FBB" w14:textId="77777777" w:rsidR="006E3776" w:rsidRDefault="006E3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5DF6C" w14:textId="77777777" w:rsidR="006E3776" w:rsidRDefault="006E3776">
      <w:r>
        <w:separator/>
      </w:r>
    </w:p>
  </w:footnote>
  <w:footnote w:type="continuationSeparator" w:id="0">
    <w:p w14:paraId="4B550F0A" w14:textId="77777777" w:rsidR="006E3776" w:rsidRDefault="006E3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98EB1" w14:textId="77777777" w:rsidR="00137179" w:rsidRDefault="00000000">
    <w:pPr>
      <w:pBdr>
        <w:bottom w:val="single" w:sz="12" w:space="4" w:color="C00000"/>
      </w:pBdr>
    </w:pPr>
    <w:r>
      <w:rPr>
        <w:noProof/>
      </w:rPr>
      <w:drawing>
        <wp:inline distT="0" distB="0" distL="0" distR="0" wp14:anchorId="057A7C70" wp14:editId="47049400">
          <wp:extent cx="1809750" cy="400050"/>
          <wp:effectExtent l="0" t="0" r="0" b="0"/>
          <wp:docPr id="304085632" name="Imagem 30408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80975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5B4A"/>
    <w:multiLevelType w:val="hybridMultilevel"/>
    <w:tmpl w:val="CC580118"/>
    <w:lvl w:ilvl="0" w:tplc="62D4B526">
      <w:start w:val="1"/>
      <w:numFmt w:val="bullet"/>
      <w:lvlText w:val="●"/>
      <w:lvlJc w:val="left"/>
      <w:pPr>
        <w:ind w:left="720" w:hanging="360"/>
      </w:pPr>
    </w:lvl>
    <w:lvl w:ilvl="1" w:tplc="E5103DF8">
      <w:start w:val="1"/>
      <w:numFmt w:val="bullet"/>
      <w:lvlText w:val="○"/>
      <w:lvlJc w:val="left"/>
      <w:pPr>
        <w:ind w:left="1440" w:hanging="360"/>
      </w:pPr>
    </w:lvl>
    <w:lvl w:ilvl="2" w:tplc="B6B0F43A">
      <w:start w:val="1"/>
      <w:numFmt w:val="bullet"/>
      <w:lvlText w:val="■"/>
      <w:lvlJc w:val="left"/>
      <w:pPr>
        <w:ind w:left="2160" w:hanging="360"/>
      </w:pPr>
    </w:lvl>
    <w:lvl w:ilvl="3" w:tplc="0D722D28">
      <w:start w:val="1"/>
      <w:numFmt w:val="bullet"/>
      <w:lvlText w:val="●"/>
      <w:lvlJc w:val="left"/>
      <w:pPr>
        <w:ind w:left="2880" w:hanging="360"/>
      </w:pPr>
    </w:lvl>
    <w:lvl w:ilvl="4" w:tplc="B238B0C6">
      <w:start w:val="1"/>
      <w:numFmt w:val="bullet"/>
      <w:lvlText w:val="○"/>
      <w:lvlJc w:val="left"/>
      <w:pPr>
        <w:ind w:left="3600" w:hanging="360"/>
      </w:pPr>
    </w:lvl>
    <w:lvl w:ilvl="5" w:tplc="2F3A3C8E">
      <w:start w:val="1"/>
      <w:numFmt w:val="bullet"/>
      <w:lvlText w:val="■"/>
      <w:lvlJc w:val="left"/>
      <w:pPr>
        <w:ind w:left="4320" w:hanging="360"/>
      </w:pPr>
    </w:lvl>
    <w:lvl w:ilvl="6" w:tplc="6442B97A">
      <w:start w:val="1"/>
      <w:numFmt w:val="bullet"/>
      <w:lvlText w:val="●"/>
      <w:lvlJc w:val="left"/>
      <w:pPr>
        <w:ind w:left="5040" w:hanging="360"/>
      </w:pPr>
    </w:lvl>
    <w:lvl w:ilvl="7" w:tplc="0E122474">
      <w:start w:val="1"/>
      <w:numFmt w:val="bullet"/>
      <w:lvlText w:val="●"/>
      <w:lvlJc w:val="left"/>
      <w:pPr>
        <w:ind w:left="5760" w:hanging="360"/>
      </w:pPr>
    </w:lvl>
    <w:lvl w:ilvl="8" w:tplc="B8CA8E08">
      <w:start w:val="1"/>
      <w:numFmt w:val="bullet"/>
      <w:lvlText w:val="●"/>
      <w:lvlJc w:val="left"/>
      <w:pPr>
        <w:ind w:left="6480" w:hanging="360"/>
      </w:pPr>
    </w:lvl>
  </w:abstractNum>
  <w:abstractNum w:abstractNumId="1" w15:restartNumberingAfterBreak="0">
    <w:nsid w:val="685D7868"/>
    <w:multiLevelType w:val="hybridMultilevel"/>
    <w:tmpl w:val="F6188B3A"/>
    <w:lvl w:ilvl="0" w:tplc="AEA8EA12">
      <w:start w:val="1"/>
      <w:numFmt w:val="bullet"/>
      <w:lvlText w:val="•"/>
      <w:lvlJc w:val="left"/>
      <w:pPr>
        <w:ind w:left="1080" w:hanging="360"/>
      </w:pPr>
    </w:lvl>
    <w:lvl w:ilvl="1" w:tplc="5E4AB240">
      <w:numFmt w:val="decimal"/>
      <w:lvlText w:val=""/>
      <w:lvlJc w:val="left"/>
    </w:lvl>
    <w:lvl w:ilvl="2" w:tplc="ECD09934">
      <w:numFmt w:val="decimal"/>
      <w:lvlText w:val=""/>
      <w:lvlJc w:val="left"/>
    </w:lvl>
    <w:lvl w:ilvl="3" w:tplc="D8AA970A">
      <w:numFmt w:val="decimal"/>
      <w:lvlText w:val=""/>
      <w:lvlJc w:val="left"/>
    </w:lvl>
    <w:lvl w:ilvl="4" w:tplc="01567B68">
      <w:numFmt w:val="decimal"/>
      <w:lvlText w:val=""/>
      <w:lvlJc w:val="left"/>
    </w:lvl>
    <w:lvl w:ilvl="5" w:tplc="D91EE3FC">
      <w:numFmt w:val="decimal"/>
      <w:lvlText w:val=""/>
      <w:lvlJc w:val="left"/>
    </w:lvl>
    <w:lvl w:ilvl="6" w:tplc="B7D4AF7C">
      <w:numFmt w:val="decimal"/>
      <w:lvlText w:val=""/>
      <w:lvlJc w:val="left"/>
    </w:lvl>
    <w:lvl w:ilvl="7" w:tplc="AD1A6F86">
      <w:numFmt w:val="decimal"/>
      <w:lvlText w:val=""/>
      <w:lvlJc w:val="left"/>
    </w:lvl>
    <w:lvl w:ilvl="8" w:tplc="027CCE6C">
      <w:numFmt w:val="decimal"/>
      <w:lvlText w:val=""/>
      <w:lvlJc w:val="left"/>
    </w:lvl>
  </w:abstractNum>
  <w:num w:numId="1" w16cid:durableId="52392009">
    <w:abstractNumId w:val="0"/>
    <w:lvlOverride w:ilvl="0">
      <w:startOverride w:val="1"/>
    </w:lvlOverride>
  </w:num>
  <w:num w:numId="2" w16cid:durableId="11422380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179"/>
    <w:rsid w:val="00137179"/>
    <w:rsid w:val="006E3776"/>
    <w:rsid w:val="00771D2C"/>
    <w:rsid w:val="007F6D9A"/>
    <w:rsid w:val="00AE3C56"/>
    <w:rsid w:val="00AF1A9D"/>
    <w:rsid w:val="00B00211"/>
    <w:rsid w:val="00E978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54B4B"/>
  <w15:docId w15:val="{7385C491-F407-4019-9583-1676812C6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3409</Words>
  <Characters>18411</Characters>
  <Application>Microsoft Office Word</Application>
  <DocSecurity>0</DocSecurity>
  <Lines>153</Lines>
  <Paragraphs>43</Paragraphs>
  <ScaleCrop>false</ScaleCrop>
  <Company/>
  <LinksUpToDate>false</LinksUpToDate>
  <CharactersWithSpaces>21777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revision>9</cp:revision>
  <dcterms:created xsi:type="dcterms:W3CDTF">2026-09-25T14:48:00Z</dcterms:created>
  <dcterms:modified xsi:type="dcterms:W3CDTF">2026-10-22T18:10:53Z</dcterms:modified>
</cp:coreProperties>
</file>