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87E4" w14:textId="77777777" w:rsidR="00AF1A9D" w:rsidRDefault="00AF1A9D">
      <w:pPr>
        <w:spacing w:after="100"/>
        <w:jc w:val="center"/>
        <w:rPr>
          <w:b/>
          <w:bCs/>
          <w:sz w:val="32"/>
          <w:szCs w:val="32"/>
        </w:rPr>
      </w:pPr>
    </w:p>
    <w:p w14:paraId="07EB9232" w14:textId="5702FADB" w:rsidR="007F6D9A" w:rsidRDefault="00AF1A9D">
      <w:pPr>
        <w:spacing w:after="100"/>
        <w:jc w:val="center"/>
        <w:rPr>
          <w:b/>
          <w:bCs/>
          <w:sz w:val="32"/>
          <w:szCs w:val="32"/>
        </w:rPr>
      </w:pPr>
      <w:r>
        <w:rPr>
          <w:b/>
          <w:bCs/>
          <w:sz w:val="32"/>
          <w:szCs w:val="32"/>
        </w:rPr>
        <w:t>Modelagem preditiva da produtividade da safra de soja com uso de aprendizado de máquina e dados agrometeorológicos</w:t>
      </w:r>
    </w:p>
    <w:p w14:paraId="615D6545" w14:textId="77777777" w:rsidR="00AF1A9D" w:rsidRDefault="00AF1A9D">
      <w:pPr>
        <w:spacing w:after="100"/>
        <w:jc w:val="center"/>
        <w:rPr>
          <w:b/>
          <w:bCs/>
          <w:sz w:val="24"/>
          <w:szCs w:val="24"/>
        </w:rPr>
      </w:pPr>
    </w:p>
    <w:p>
      <w:pPr>
        <w:spacing w:after="40"/>
        <w:jc w:val="center"/>
      </w:pPr>
      <w:r>
        <w:rPr>
          <w:i/>
          <w:iCs/>
          <w:sz w:val="22"/>
          <w:szCs w:val="22"/>
        </w:rPr>
        <w:t xml:space="preserve">Nome do Integrante 1, Nome do Integrante 2, Nome do Integrante 3</w:t>
      </w:r>
    </w:p>
    <w:p w14:paraId="07432228" w14:textId="77777777" w:rsidR="00137179" w:rsidRDefault="00000000">
      <w:pPr>
        <w:spacing w:after="200"/>
        <w:jc w:val="center"/>
      </w:pPr>
    </w:p>
    <w:p w14:paraId="1374FD09" w14:textId="77777777" w:rsidR="007F6D9A" w:rsidRDefault="007F6D9A">
      <w:pPr>
        <w:spacing w:after="40"/>
        <w:jc w:val="center"/>
        <w:rPr>
          <w:i/>
          <w:iCs/>
          <w:sz w:val="22"/>
          <w:szCs w:val="22"/>
        </w:rPr>
      </w:pPr>
    </w:p>
    <w:p w14:paraId="6F8F7C75" w14:textId="77777777" w:rsidR="007F6D9A" w:rsidRDefault="007F6D9A">
      <w:pPr>
        <w:spacing w:after="40"/>
        <w:jc w:val="center"/>
        <w:rPr>
          <w:i/>
          <w:iCs/>
          <w:sz w:val="22"/>
          <w:szCs w:val="22"/>
        </w:rPr>
      </w:pPr>
    </w:p>
    <w:p w14:paraId="35821274" w14:textId="0A1C0243" w:rsidR="00137179" w:rsidRDefault="00000000">
      <w:pPr>
        <w:spacing w:after="40"/>
        <w:jc w:val="center"/>
      </w:pPr>
      <w:r>
        <w:rPr>
          <w:i/>
          <w:iCs/>
          <w:sz w:val="22"/>
          <w:szCs w:val="22"/>
        </w:rPr>
        <w:t xml:space="preserve">Faculdade de Computação e Informática (FCI)</w:t>
      </w:r>
    </w:p>
    <w:p w14:paraId="5A0AAF46" w14:textId="77777777" w:rsidR="00137179" w:rsidRDefault="00000000">
      <w:pPr>
        <w:spacing w:after="200"/>
        <w:jc w:val="center"/>
      </w:pPr>
      <w:r>
        <w:rPr>
          <w:i/>
          <w:iCs/>
          <w:sz w:val="22"/>
          <w:szCs w:val="22"/>
        </w:rPr>
        <w:t>Universidade Presbiteriana Mackenzie – São Paulo, SP – Brasil</w:t>
      </w:r>
    </w:p>
    <w:p w14:paraId="3D4A61BA" w14:textId="77777777" w:rsidR="00137179" w:rsidRDefault="00000000">
      <w:pPr>
        <w:spacing w:after="300"/>
        <w:jc w:val="center"/>
      </w:pPr>
      <w:r>
        <w:rPr>
          <w:sz w:val="22"/>
          <w:szCs w:val="22"/>
        </w:rPr>
        <w:t xml:space="preserve">integrante1@mackenzie.br, integrante2@mackenzie.br, integrante3@mackenzie.br</w:t>
      </w:r>
    </w:p>
    <w:p w14:paraId="753F4951" w14:textId="77777777" w:rsidR="007F6D9A" w:rsidRDefault="007F6D9A">
      <w:pPr>
        <w:spacing w:after="160"/>
        <w:jc w:val="center"/>
        <w:rPr>
          <w:b/>
          <w:bCs/>
          <w:sz w:val="26"/>
          <w:szCs w:val="26"/>
        </w:rPr>
      </w:pPr>
    </w:p>
    <w:p w14:paraId="6B2DEFC1" w14:textId="77777777" w:rsidR="007F6D9A" w:rsidRDefault="007F6D9A">
      <w:pPr>
        <w:spacing w:after="160"/>
        <w:jc w:val="center"/>
        <w:rPr>
          <w:b/>
          <w:bCs/>
          <w:sz w:val="26"/>
          <w:szCs w:val="26"/>
        </w:rPr>
      </w:pPr>
    </w:p>
    <w:p w14:paraId="6993DEF4" w14:textId="17EC9C1E" w:rsidR="00137179" w:rsidRDefault="00000000">
      <w:pPr>
        <w:keepNext/>
        <w:spacing w:after="160"/>
        <w:jc w:val="center"/>
      </w:pPr>
      <w:r>
        <w:rPr>
          <w:b/>
          <w:bCs/>
          <w:sz w:val="26"/>
          <w:szCs w:val="26"/>
        </w:rPr>
        <w:t>Resumo</w:t>
      </w:r>
    </w:p>
    <w:p w14:paraId="68DD344B" w14:textId="77777777" w:rsidR="00137179" w:rsidRDefault="00000000">
      <w:pPr>
        <w:spacing w:after="200" w:line="276" w:lineRule="auto"/>
        <w:jc w:val="both"/>
      </w:pPr>
      <w:r>
        <w:rPr>
          <w:b/>
          <w:bCs/>
          <w:i/>
          <w:iCs/>
          <w:sz w:val="22"/>
          <w:szCs w:val="22"/>
        </w:rPr>
        <w:t xml:space="preserve">Resumo.  </w:t>
      </w:r>
      <w:r>
        <w:rPr>
          <w:i/>
          <w:iCs/>
          <w:sz w:val="22"/>
          <w:szCs w:val="22"/>
        </w:rPr>
        <w:t xml:space="preserve">A produtividade da soja no Rio Grande do Sul varia muito entre safras, sobretudo por secas de verão. Este trabalho prevê o rendimento municipal da soja em 31 de março, só com dados publicados até essa data: o rendimento do IBGE (até a safra Y−2, pela defasagem de publicação), o clima diário do INMET por subperíodo do ciclo, um balanço hídrico e o ONI. Cada previsão soma à média das cinco últimas safras publicadas do município um desvio explicado pelo clima. Uma regressão linear com déficit hídrico e limiares de seca extrema superou os modelos de árvores e reduziu o RMSE em 22% frente à média histórica na validação deixando uma safra de fora, mas só empatou com ela no teste 2021–2025, de secas consecutivas. O rendimento esperado também gerou recomendações de adubação.</w:t>
      </w:r>
      <w:r>
        <w:rPr>
          <w:i/>
          <w:iCs/>
          <w:sz w:val="22"/>
          <w:szCs w:val="22"/>
          <w:vertAlign w:val="superscript"/>
        </w:rPr>
        <w:t xml:space="preserve"/>
      </w:r>
      <w:r>
        <w:rPr>
          <w:i/>
          <w:iCs/>
          <w:sz w:val="22"/>
          <w:szCs w:val="22"/>
        </w:rPr>
        <w:t xml:space="preserve"/>
      </w:r>
    </w:p>
    <w:p w14:paraId="092C128B" w14:textId="77777777" w:rsidR="00137179" w:rsidRDefault="00000000">
      <w:pPr>
        <w:spacing w:after="300" w:line="276" w:lineRule="auto"/>
        <w:jc w:val="both"/>
      </w:pPr>
      <w:r>
        <w:rPr>
          <w:b/>
          <w:bCs/>
          <w:sz w:val="22"/>
          <w:szCs w:val="22"/>
        </w:rPr>
        <w:t xml:space="preserve">Palavras-chave: </w:t>
      </w:r>
      <w:r>
        <w:rPr>
          <w:sz w:val="22"/>
          <w:szCs w:val="22"/>
        </w:rPr>
        <w:t xml:space="preserve">soja; previsão de produtividade; aprendizado de máquina; balanço hídrico; adubação.</w:t>
      </w:r>
    </w:p>
    <w:p w14:paraId="1CC4B9A7" w14:textId="77777777" w:rsidR="007F6D9A" w:rsidRDefault="007F6D9A">
      <w:pPr>
        <w:spacing w:after="160"/>
        <w:jc w:val="center"/>
        <w:rPr>
          <w:b/>
          <w:bCs/>
          <w:sz w:val="26"/>
          <w:szCs w:val="26"/>
        </w:rPr>
      </w:pPr>
    </w:p>
    <w:p w14:paraId="5C158857" w14:textId="77777777" w:rsidR="007F6D9A" w:rsidRDefault="007F6D9A" w:rsidP="00AE3C56">
      <w:pPr>
        <w:spacing w:after="160"/>
        <w:rPr>
          <w:b/>
          <w:bCs/>
          <w:sz w:val="26"/>
          <w:szCs w:val="26"/>
        </w:rPr>
      </w:pPr>
    </w:p>
    <w:p w14:paraId="7AD0042F" w14:textId="24368EEB" w:rsidR="00137179" w:rsidRDefault="00000000">
      <w:pPr>
        <w:keepNext/>
        <w:spacing w:after="160"/>
        <w:jc w:val="center"/>
      </w:pPr>
      <w:r>
        <w:rPr>
          <w:b/>
          <w:bCs/>
          <w:sz w:val="26"/>
          <w:szCs w:val="26"/>
        </w:rPr>
        <w:lastRenderedPageBreak/>
        <w:t>Abstract</w:t>
      </w:r>
    </w:p>
    <w:p w14:paraId="193D66ED" w14:textId="77777777" w:rsidR="00137179" w:rsidRDefault="00000000">
      <w:pPr>
        <w:spacing w:after="200" w:line="276" w:lineRule="auto"/>
        <w:jc w:val="both"/>
      </w:pPr>
      <w:r>
        <w:rPr>
          <w:b/>
          <w:bCs/>
          <w:i/>
          <w:iCs/>
          <w:sz w:val="22"/>
          <w:szCs w:val="22"/>
        </w:rPr>
        <w:t xml:space="preserve">Abstract.  </w:t>
      </w:r>
      <w:r>
        <w:rPr>
          <w:i/>
          <w:iCs/>
          <w:sz w:val="22"/>
          <w:szCs w:val="22"/>
        </w:rPr>
        <w:t xml:space="preserve">Soybean yields in Rio Grande do Sul vary widely between seasons, mainly due to summer droughts. This work forecasts municipal soybean yield on March 31, using only data published by then: IBGE municipal yields (up to season Y−2, due to the publication lag), daily INMET weather aggregated by crop sub-period, a soil water balance and the ONI. Each forecast adds a climate-driven deviation to the mean of the municipality's five latest published seasons. A linear regression with water deficit and extreme-drought thresholds outperformed tree-based models and reduced RMSE by 22% relative to the historical mean in leave-one-season-out validation, but only matched it in the 2021–2025 test, marked by consecutive droughts. Expected yields also supported fertilization recommendations.</w:t>
      </w:r>
      <w:r>
        <w:rPr>
          <w:i/>
          <w:iCs/>
          <w:sz w:val="22"/>
          <w:szCs w:val="22"/>
          <w:vertAlign w:val="superscript"/>
        </w:rPr>
        <w:t xml:space="preserve"/>
      </w:r>
      <w:r>
        <w:rPr>
          <w:i/>
          <w:iCs/>
          <w:sz w:val="22"/>
          <w:szCs w:val="22"/>
        </w:rPr>
        <w:t xml:space="preserve"/>
      </w:r>
    </w:p>
    <w:p w14:paraId="63A262A5" w14:textId="77777777" w:rsidR="00137179" w:rsidRDefault="00000000">
      <w:pPr>
        <w:spacing w:after="200" w:line="276" w:lineRule="auto"/>
        <w:jc w:val="both"/>
      </w:pPr>
      <w:r>
        <w:rPr>
          <w:b/>
          <w:bCs/>
          <w:sz w:val="22"/>
          <w:szCs w:val="22"/>
        </w:rPr>
        <w:t xml:space="preserve">Keywords: </w:t>
      </w:r>
      <w:r>
        <w:rPr>
          <w:sz w:val="22"/>
          <w:szCs w:val="22"/>
        </w:rPr>
        <w:t xml:space="preserve">soybean; crop yield forecasting; machine learning; water balance; fertilization.</w:t>
      </w:r>
    </w:p>
    <w:p>
      <w:pPr>
        <w:keepNext/>
      </w:pPr>
      <w:r>
        <w:rPr>
          <w:b/>
          <w:bCs/>
          <w:sz w:val="28"/>
          <w:szCs w:val="28"/>
        </w:rPr>
        <w:t>1. Introdução</w:t>
      </w:r>
    </w:p>
    <w:p>
      <w:pPr>
        <w:keepNext/>
        <w:spacing w:before="280" w:after="160"/>
      </w:pPr>
      <w:r>
        <w:rPr>
          <w:b/>
          <w:bCs/>
          <w:sz w:val="24"/>
          <w:szCs w:val="24"/>
        </w:rPr>
        <w:t>1.1 Contextualização</w:t>
      </w:r>
    </w:p>
    <w:p>
      <w:pPr>
        <w:spacing w:after="200" w:line="276" w:lineRule="auto"/>
        <w:ind w:firstLine="720"/>
        <w:jc w:val="both"/>
      </w:pPr>
      <w:r>
        <w:rPr>
          <w:sz w:val="24"/>
          <w:szCs w:val="24"/>
        </w:rPr>
        <w:t xml:space="preserve">A soja é uma das principais commodities do agronegócio brasileiro, e o Rio Grande do Sul é um dos estados mais expressivos nessa cultura. A produtividade varia significativamente entre municípios e safras, condicionada pela interação entre regime de chuvas, temperatura, ocorrência de veranicos, fenômenos climáticos de larga escala (El Niño/La Niña) e práticas de manejo do solo – em especial a adubação fosfatada, relevante para os solos ácidos e historicamente pobres em fósforo do RS. A Pesquisa Agrícola Municipal (PAM) do IBGE, disponibilizada pela Tabela 1612 do SIDRA, oferece uma série histórica municipal de rendimento, área e produção desde 1974, o que permite trabalhar com uma amostra ampla (muitos municípios × muitas safras) mantendo uma única granularidade geográfica – o município – dentro de um único estado.</w:t>
      </w:r>
    </w:p>
    <w:p>
      <w:pPr>
        <w:keepNext/>
        <w:spacing w:before="280" w:after="160"/>
      </w:pPr>
      <w:r>
        <w:rPr>
          <w:b/>
          <w:bCs/>
          <w:sz w:val="24"/>
          <w:szCs w:val="24"/>
        </w:rPr>
        <w:t>1.2 Justificativa</w:t>
      </w:r>
    </w:p>
    <w:p>
      <w:pPr>
        <w:spacing w:after="200" w:line="276" w:lineRule="auto"/>
        <w:ind w:firstLine="720"/>
        <w:jc w:val="both"/>
      </w:pPr>
      <w:r>
        <w:rPr>
          <w:sz w:val="24"/>
          <w:szCs w:val="24"/>
        </w:rPr>
        <w:t xml:space="preserve">Modelos de Machine Learning como Random Forest e Gradient Boosting são candidatos naturais a este problema, porque podem capturar relações não lineares entre clima e produtividade que projeções estatísticas lineares tradicionais não representam – hipótese que este trabalho testa contra uma regressão linear. Complementar o histórico produtivo com o clima observado durante a safra e com o ONI permite testar se informações conhecidas </w:t>
      </w:r>
      <w:r>
        <w:rPr>
          <w:i/>
          <w:iCs/>
          <w:sz w:val="24"/>
          <w:szCs w:val="24"/>
        </w:rPr>
        <w:t xml:space="preserve">antes</w:t>
      </w:r>
      <w:r>
        <w:rPr>
          <w:sz w:val="24"/>
          <w:szCs w:val="24"/>
        </w:rPr>
        <w:t xml:space="preserve"> do fim da safra carregam sinal preditivo útil – e não apenas reproduzir, a posteriori, o que já é sabido pela própria série de rendimento. Estimativas antecipadas e municipais de produtividade podem apoiar o planejamento de cooperativas, produtores e órgãos públicos, sinalizando com maior granularidade geográfica municípios sob risco de rendimento abaixo da referência histórica – sem pretender substituir avaliações agronômicas locais nem prever o resultado de uma propriedade específica; o objetivo é um indicador regional, transparente e reprodutível, construído inteiramente a partir de dados públicos.</w:t>
      </w:r>
    </w:p>
    <w:p>
      <w:pPr>
        <w:spacing w:after="200" w:line="276" w:lineRule="auto"/>
        <w:ind w:firstLine="720"/>
        <w:jc w:val="both"/>
      </w:pPr>
      <w:r>
        <w:rPr>
          <w:sz w:val="24"/>
          <w:szCs w:val="24"/>
        </w:rPr>
        <w:t xml:space="preserve">O trabalho se alinha aos Objetivos de Desenvolvimento Sustentável (ODS) da ONU: ao ODS 2 (Fome Zero e Agricultura Sustentável), em especial à meta 2.4, que trata de sistemas de produção de alimentos sustentáveis e resilientes, capazes de se adaptar a secas e a condições climáticas extremas; e ao ODS 13 (Ação Contra a Mudança Global do Clima), meta 13.1, de fortalecer a capacidade de adaptação a riscos relacionados ao clima. Uma estimativa antecipada da quebra de safra por município, somada a uma recomendação de adubação proporcional ao rendimento esperado, contribui para essas metas ao apoiar o planejamento diante da seca e o uso de fertilizantes ajustado ao potencial produtivo.</w:t>
      </w:r>
    </w:p>
    <w:p>
      <w:pPr>
        <w:keepNext/>
        <w:spacing w:before="280" w:after="160"/>
      </w:pPr>
      <w:r>
        <w:rPr>
          <w:b/>
          <w:bCs/>
          <w:sz w:val="24"/>
          <w:szCs w:val="24"/>
        </w:rPr>
        <w:t>1.3 Objetivo</w:t>
      </w:r>
    </w:p>
    <w:p>
      <w:pPr>
        <w:spacing w:after="200" w:line="276" w:lineRule="auto"/>
        <w:ind w:firstLine="720"/>
        <w:jc w:val="both"/>
      </w:pPr>
      <w:r>
        <w:rPr>
          <w:sz w:val="24"/>
          <w:szCs w:val="24"/>
        </w:rPr>
        <w:t xml:space="preserve">O objetivo geral é desenvolver e avaliar uma abordagem de aprendizado de máquina supervisionado capaz de prever a produtividade da soja (kg/ha) por município do Rio Grande do Sul e por safra, com previsão emitida em 31 de março (cerca de um mês antes da colheita) e usando apenas informações publicadas até essa data, a partir do histórico produtivo do município, de variáveis climáticas observadas e do sinal ENOS (ONI), comparando o desempenho dos modelos contra linhas de base históricas simples, e aplicar a previsão à recomendação de adubação fosfatada e potássica.</w:t>
      </w:r>
    </w:p>
    <w:p>
      <w:pPr>
        <w:spacing w:after="200" w:line="276" w:lineRule="auto"/>
        <w:ind w:firstLine="720"/>
        <w:jc w:val="both"/>
      </w:pPr>
      <w:r>
        <w:rPr>
          <w:sz w:val="24"/>
          <w:szCs w:val="24"/>
        </w:rPr>
        <w:t xml:space="preserve">Como objetivos específicos, pretende-se:</w:t>
      </w:r>
    </w:p>
    <w:p>
      <w:pPr>
        <w:pStyle w:val="PargrafodaLista"/>
        <w:numPr>
          <w:ilvl w:val="0"/>
          <w:numId w:val="2"/>
        </w:numPr>
        <w:spacing w:after="120" w:line="276" w:lineRule="auto"/>
        <w:jc w:val="both"/>
      </w:pPr>
      <w:r>
        <w:rPr>
          <w:sz w:val="24"/>
          <w:szCs w:val="24"/>
        </w:rPr>
        <w:t xml:space="preserve">consolidar uma base analítica integrada em nível município–safra, cobrindo os municípios do RS e as safras disponíveis na Tabela 1612 do IBGE/SIDRA (2000–2025);</w:t>
      </w:r>
    </w:p>
    <w:p>
      <w:pPr>
        <w:pStyle w:val="PargrafodaLista"/>
        <w:numPr>
          <w:ilvl w:val="0"/>
          <w:numId w:val="2"/>
        </w:numPr>
        <w:spacing w:after="120" w:line="276" w:lineRule="auto"/>
        <w:jc w:val="both"/>
      </w:pPr>
      <w:r>
        <w:rPr>
          <w:sz w:val="24"/>
          <w:szCs w:val="24"/>
        </w:rPr>
        <w:t xml:space="preserve">construir atributos climáticos por subperíodo do ciclo da soja e de balanço hídrico a partir dos dados diários do INMET, além do ONI por safra;</w:t>
      </w:r>
    </w:p>
    <w:p>
      <w:pPr>
        <w:pStyle w:val="PargrafodaLista"/>
        <w:numPr>
          <w:ilvl w:val="0"/>
          <w:numId w:val="2"/>
        </w:numPr>
        <w:spacing w:after="120" w:line="276" w:lineRule="auto"/>
        <w:jc w:val="both"/>
      </w:pPr>
      <w:r>
        <w:rPr>
          <w:sz w:val="24"/>
          <w:szCs w:val="24"/>
        </w:rPr>
        <w:t xml:space="preserve">treinar e comparar Regressão Linear, Random Forest e Gradient Boosting contra linhas de base históricas (média histórica do município e rendimento da última safra publicada), com validação temporal e deixando uma safra de fora;</w:t>
      </w:r>
    </w:p>
    <w:p>
      <w:pPr>
        <w:pStyle w:val="PargrafodaLista"/>
        <w:numPr>
          <w:ilvl w:val="0"/>
          <w:numId w:val="2"/>
        </w:numPr>
        <w:spacing w:after="120" w:line="276" w:lineRule="auto"/>
        <w:jc w:val="both"/>
      </w:pPr>
      <w:r>
        <w:rPr>
          <w:sz w:val="24"/>
          <w:szCs w:val="24"/>
        </w:rPr>
        <w:t xml:space="preserve">identificar os fatores climáticos mais associados à variação da produtividade, pelos coeficientes do modelo e pela decomposição das previsões em contribuições por variável (equivalente ao SHAP);</w:t>
      </w:r>
    </w:p>
    <w:p>
      <w:pPr>
        <w:pStyle w:val="PargrafodaLista"/>
        <w:numPr>
          <w:ilvl w:val="0"/>
          <w:numId w:val="2"/>
        </w:numPr>
        <w:spacing w:after="120" w:line="276" w:lineRule="auto"/>
        <w:jc w:val="both"/>
      </w:pPr>
      <w:r>
        <w:rPr>
          <w:sz w:val="24"/>
          <w:szCs w:val="24"/>
        </w:rPr>
        <w:t xml:space="preserve">combinar o rendimento esperado com as recomendações agronômicas da Embrapa/CQFS-RS/SC para gerar a dose de adubação fosfatada e potássica por classe de teor do solo.</w:t>
      </w:r>
    </w:p>
    <w:p>
      <w:pPr>
        <w:keepNext/>
        <w:spacing w:before="280" w:after="160"/>
      </w:pPr>
      <w:r>
        <w:rPr>
          <w:b/>
          <w:bCs/>
          <w:sz w:val="24"/>
          <w:szCs w:val="24"/>
        </w:rPr>
        <w:t>1.4 Opção do projeto</w:t>
      </w:r>
    </w:p>
    <w:p>
      <w:pPr>
        <w:spacing w:after="200" w:line="276" w:lineRule="auto"/>
        <w:ind w:firstLine="720"/>
        <w:jc w:val="both"/>
      </w:pPr>
      <w:r>
        <w:rPr>
          <w:sz w:val="24"/>
          <w:szCs w:val="24"/>
        </w:rPr>
        <w:t xml:space="preserve">A opção escolhida é Framework. A solução foi implementada em Python, utilizando bibliotecas de ciência de dados e aprendizado de máquina, com destaque para pandas e NumPy no tratamento dos dados, Matplotlib na análise exploratória e scikit-learn [Pedregosa et al. 2011] na preparação, treinamento e avaliação dos modelos (Regressão Linear, Random Forest e Gradient Boosting) e SciPy nos testes estatísticos dos coeficientes. A interpretabilidade foi obtida pelos coeficientes do modelo linear e pela decomposição de cada previsão em contribuições por variável, que para modelos lineares coincide com os valores SHAP [Lundberg e Lee 2017]. O problema é tratado como regressão supervisionada, já que a variável-alvo é a produtividade em kg/ha.</w:t>
      </w:r>
    </w:p>
    <w:p>
      <w:pPr>
        <w:keepNext/>
      </w:pPr>
      <w:r>
        <w:rPr>
          <w:b/>
          <w:bCs/>
          <w:sz w:val="28"/>
          <w:szCs w:val="28"/>
        </w:rPr>
        <w:t>2. Descrição do Problema</w:t>
      </w:r>
    </w:p>
    <w:p>
      <w:pPr>
        <w:spacing w:after="200" w:line="276" w:lineRule="auto"/>
        <w:ind w:firstLine="720"/>
        <w:jc w:val="both"/>
      </w:pPr>
      <w:r>
        <w:rPr>
          <w:sz w:val="24"/>
          <w:szCs w:val="24"/>
        </w:rPr>
        <w:t xml:space="preserve">O problema consiste em estimar a produtividade da soja para cada combinação município–safra no Rio Grande do Sul a partir de informações climáticas associadas àquela safra. A variável-alvo é o rendimento médio municipal da soja, expresso em kg/ha; as variáveis explicativas são formadas pelo histórico produtivo do município (patamar esperado), por variáveis climáticas por subperíodo do ciclo e de balanço hídrico (INMET) e pelo estado do ENOS (índice ONI). Área plantada, área colhida e produção da própria safra não são usadas como preditores, pois só são conhecidas depois da colheita e o rendimento é a razão entre elas.</w:t>
      </w:r>
    </w:p>
    <w:p>
      <w:pPr>
        <w:spacing w:after="200" w:line="276" w:lineRule="auto"/>
        <w:ind w:firstLine="720"/>
        <w:jc w:val="both"/>
      </w:pPr>
      <w:r>
        <w:rPr>
          <w:sz w:val="24"/>
          <w:szCs w:val="24"/>
        </w:rPr>
        <w:t xml:space="preserve">A previsão da safra Y é emitida em 31 de março de Y, e só entram informações já disponíveis nessa data. O clima vai de outubro a março (a chuva de março é a última variável) e o ONI, de outubro a março. O histórico produtivo exige um cuidado adicional: a PAM é divulgada em setembro do ano seguinte à colheita – a PAM 2024, por exemplo, saiu em 11 de setembro de 2025 [IBGE 2025] –, de modo que em março de Y a última safra publicada é Y−2. Assim, a previsão da safra 2026 usa os rendimentos de 2020–2024; a de 2027, os de 2021–2025; e a de 2028, os de 2022–2026. Usar a safra Y−1 daria ao modelo um dado que só existirá seis meses depois da previsão.</w:t>
      </w:r>
    </w:p>
    <w:p>
      <w:pPr>
        <w:spacing w:after="200" w:line="276" w:lineRule="auto"/>
        <w:ind w:firstLine="720"/>
        <w:jc w:val="both"/>
      </w:pPr>
      <w:r>
        <w:rPr>
          <w:sz w:val="24"/>
          <w:szCs w:val="24"/>
        </w:rPr>
        <w:t xml:space="preserve">Os dados nunca são divididos de forma aleatória, para evitar vazamento de informação futura: o patamar de cada safra usa apenas safras já publicadas, e os modelos são avaliados com corte temporal (treino com safras mais antigas, teste com as mais recentes) e deixando uma safra de fora. Os hiperparâmetros dos modelos de árvores foram fixados a priori, sem ajuste fino, para que as safras de teste não influenciem a escolha do modelo. Optou-se por tratar o problema como uma regressão em painel (municípios empilhados, com o patamar histórico do município como referência) em vez de um modelo de série temporal clássico por município, porque a série de cada município cobre cerca de 26 safras (2000–2025) – abaixo do mínimo prático para ajustar um ARIMA ou uma rede recorrente de forma confiável, agravado pela criação de novos municípios por desmembramento ao longo do período.</w:t>
      </w:r>
    </w:p>
    <w:p>
      <w:pPr>
        <w:spacing w:after="200" w:line="276" w:lineRule="auto"/>
        <w:ind w:firstLine="720"/>
        <w:jc w:val="both"/>
      </w:pPr>
      <w:r>
        <w:rPr>
          <w:sz w:val="24"/>
          <w:szCs w:val="24"/>
        </w:rPr>
        <w:t xml:space="preserve">O problema é formulado como regressão supervisionada. Foram comparados três modelos: Regressão Linear, interpretável; Random Forest [Breiman 2001], um ensemble de árvores de decisão por </w:t>
      </w:r>
      <w:r>
        <w:rPr>
          <w:i/>
          <w:iCs/>
          <w:sz w:val="24"/>
          <w:szCs w:val="24"/>
        </w:rPr>
        <w:t xml:space="preserve">bagging</w:t>
      </w:r>
      <w:r>
        <w:rPr>
          <w:sz w:val="24"/>
          <w:szCs w:val="24"/>
        </w:rPr>
        <w:t xml:space="preserve">, adequado para capturar interações não lineares entre variáveis climáticas; e Gradient Boosting [Friedman 2001], que constrói árvores sequencialmente para corrigir os erros residuais do conjunto anterior, geralmente com bom desempenho em dados tabulares. Para interpretar as previsões foi usado o conceito de SHAP (SHapley Additive exPlanations), técnica de Inteligência Artificial Explicável (XAI) que atribui a cada variável uma contribuição para a previsão individual. Como o melhor modelo é linear, os valores SHAP têm forma exata – coeficiente × (valor da variável − sua média) [Lundberg e Lee 2017] –, permitindo identificar quais fatores climáticos mais pesam na previsão de cada safra. Essas contribuições descrevem como o modelo chega à previsão e indicam associação estatística, não efeito causal: variáveis correlacionadas entre si (chuva, umidade e déficit hídrico medem a mesma seca) podem dividir o mesmo efeito de formas diferentes.</w:t>
      </w:r>
    </w:p>
    <w:p>
      <w:pPr>
        <w:spacing w:after="200" w:line="276" w:lineRule="auto"/>
        <w:ind w:firstLine="720"/>
        <w:jc w:val="both"/>
      </w:pPr>
      <w:r>
        <w:rPr>
          <w:sz w:val="24"/>
          <w:szCs w:val="24"/>
        </w:rPr>
        <w:t xml:space="preserve">Diversos estudos aplicam aprendizado de máquina à previsão de produtividade agrícola. [Jeong et al. 2016] mostraram que Random Forest supera modelos de regressão múltipla na previsão de produtividade de grãos em múltiplas regiões do mundo. [van Klompenburg et al. 2020], em revisão sistemática, identificam Random Forest e redes neurais como os algoritmos mais utilizados para previsão de safra, destacando a importância de variáveis climáticas e a necessidade de validação temporal para evitar vazamento de dados. Especificamente para a soja no Sul do Brasil, [Pilau et al. 2022, Nóia Júnior et al. 2020] documentam efeito negativo consistente da fase fria do ENOS (La Niña) sobre a produtividade da soja no Rio Grande do Sul, o que justifica a inclusão do ONI como atributo. [von Bloh et al. 2023] comparam modelos de machine learning para previsão de produtividade de soja no Brasil e reforçam a vantagem de modelos baseados em árvores frente a baselines lineares quando há relações não lineares entre clima e rendimento. Este trabalho testa essa vantagem num cenário de dados limitados (cerca de 5 mil pares município–safra), com o patamar de produtividade calculado apenas com safras já publicadas na data da previsão, e liga a previsão municipal a uma aplicação prática: a recomendação de adubação fosfatada e potássica.</w:t>
      </w:r>
    </w:p>
    <w:p>
      <w:pPr>
        <w:keepNext/>
      </w:pPr>
      <w:r>
        <w:rPr>
          <w:b/>
          <w:bCs/>
          <w:sz w:val="28"/>
          <w:szCs w:val="28"/>
        </w:rPr>
        <w:t>3. Aspectos Éticos do Uso da IA e Responsabilidade</w:t>
      </w:r>
    </w:p>
    <w:p>
      <w:pPr>
        <w:spacing w:after="200" w:line="276" w:lineRule="auto"/>
        <w:ind w:firstLine="720"/>
        <w:jc w:val="both"/>
      </w:pPr>
      <w:r>
        <w:rPr>
          <w:sz w:val="24"/>
          <w:szCs w:val="24"/>
        </w:rPr>
        <w:t xml:space="preserve">O projeto utiliza exclusivamente dados públicos e agregados em nível municipal, sem dados pessoais ou identificação de indivíduos, o que o mantém aderente à LGPD e dispensa submissão a Comitê de Ética. O principal risco ético está na interpretação do indicador: ele não deve ser tomado como recomendação automática de crédito, seguro ou decisão de plantio, e decisões com impacto econômico devem continuar envolvendo avaliação agronômica humana. Municípios com séries curtas ou estações meteorológicas com falhas podem apresentar desempenho inferior do modelo – essa limitação está documentada, assim como a natureza normativa (e não observacional) dos dados de adubação usados, já que não existe base pública do volume efetivamente aplicado por produtor. Pelo mesmo motivo, a recomendação de adubação gerada pelo modelo é apresentada por classe de teor do solo, para ser confrontada com a análise de solo de cada lavoura, e não como dose automática por município; as doses são a recomendação normativa das tabelas aplicada ao rendimento esperado, e não a adubação efetivamente usada pelos produtores. Toda previsão deve ser comunicada com a sua incerteza: o erro absoluto médio é de ≈550 kg/ha por município–safra (≈21% do rendimento médio do município, chegando a 40% em municípios da fronteira oeste), e o modelo não antecipa quebras que não aparecem nas variáveis climáticas, como a de 2020. Código, versões das bases e parâmetros dos modelos estão versionados no GitHub do projeto para permitir auditoria e reprodução.</w:t>
      </w:r>
    </w:p>
    <w:p>
      <w:pPr>
        <w:keepNext/>
      </w:pPr>
      <w:r>
        <w:rPr>
          <w:b/>
          <w:bCs/>
          <w:sz w:val="28"/>
          <w:szCs w:val="28"/>
        </w:rPr>
        <w:t>4. Dataset, Análise Exploratória e Preparação dos Dados</w:t>
      </w:r>
    </w:p>
    <w:p>
      <w:pPr>
        <w:keepNext/>
        <w:spacing w:before="280" w:after="160"/>
      </w:pPr>
      <w:r>
        <w:rPr>
          <w:b/>
          <w:bCs/>
          <w:sz w:val="24"/>
          <w:szCs w:val="24"/>
        </w:rPr>
        <w:t>4.1 Origem e conteúdo das bases</w:t>
      </w:r>
    </w:p>
    <w:p>
      <w:pPr>
        <w:spacing w:after="200" w:line="276" w:lineRule="auto"/>
        <w:ind w:firstLine="720"/>
        <w:jc w:val="both"/>
      </w:pPr>
      <w:r>
        <w:rPr>
          <w:sz w:val="24"/>
          <w:szCs w:val="24"/>
        </w:rPr>
        <w:t xml:space="preserve">Os dados foram capturados pelo grupo em fontes públicas e oficiais. A unidade final da base é município–safra, de modo que cada linha representa um município do Rio Grande do Sul em uma safra. A Tabela 1 apresenta as fontes utilizadas e a função de cada conjunto de dados no projeto.</w:t>
      </w:r>
    </w:p>
    <w:p>
      <w:pPr>
        <w:keepNext/>
        <w:spacing w:before="120" w:after="300"/>
        <w:jc w:val="center"/>
      </w:pPr>
      <w:r>
        <w:rPr>
          <w:i/>
          <w:iCs/>
          <w:sz w:val="22"/>
          <w:szCs w:val="22"/>
        </w:rPr>
        <w:t xml:space="preserve">Tabela 1 – Fontes de dados utilizadas no projeto.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00"/>
        <w:gridCol w:w="3400"/>
        <w:gridCol w:w="2800"/>
      </w:tblGrid>
      <w:tr>
        <w:trPr>
          <w:cantSplit/>
          <w:tblHeader/>
        </w:trPr>
        <w:tc>
          <w:tcPr>
            <w:tcW w:w="2300" w:type="dxa"/>
            <w:shd w:val="clear" w:color="auto" w:fill="D9D9D9"/>
            <w:tcMar>
              <w:top w:w="80" w:type="dxa"/>
              <w:left w:w="100" w:type="dxa"/>
              <w:bottom w:w="80" w:type="dxa"/>
              <w:right w:w="100" w:type="dxa"/>
            </w:tcMar>
          </w:tcPr>
          <w:p>
            <w:pPr>
              <w:keepNext/>
            </w:pPr>
            <w:r>
              <w:rPr>
                <w:b/>
                <w:bCs/>
                <w:sz w:val="22"/>
                <w:szCs w:val="22"/>
              </w:rPr>
              <w:t xml:space="preserve">Fonte</w:t>
            </w:r>
          </w:p>
        </w:tc>
        <w:tc>
          <w:tcPr>
            <w:tcW w:w="3400" w:type="dxa"/>
            <w:shd w:val="clear" w:color="auto" w:fill="D9D9D9"/>
            <w:tcMar>
              <w:top w:w="80" w:type="dxa"/>
              <w:left w:w="100" w:type="dxa"/>
              <w:bottom w:w="80" w:type="dxa"/>
              <w:right w:w="100" w:type="dxa"/>
            </w:tcMar>
          </w:tcPr>
          <w:p>
            <w:pPr>
              <w:keepNext/>
            </w:pPr>
            <w:r>
              <w:rPr>
                <w:b/>
                <w:bCs/>
                <w:sz w:val="22"/>
                <w:szCs w:val="22"/>
              </w:rPr>
              <w:t xml:space="preserve">Conteúdo</w:t>
            </w:r>
          </w:p>
        </w:tc>
        <w:tc>
          <w:tcPr>
            <w:tcW w:w="2800" w:type="dxa"/>
            <w:shd w:val="clear" w:color="auto" w:fill="D9D9D9"/>
            <w:tcMar>
              <w:top w:w="80" w:type="dxa"/>
              <w:left w:w="100" w:type="dxa"/>
              <w:bottom w:w="80" w:type="dxa"/>
              <w:right w:w="100" w:type="dxa"/>
            </w:tcMar>
          </w:tcPr>
          <w:p>
            <w:pPr>
              <w:keepNext/>
            </w:pPr>
            <w:r>
              <w:rPr>
                <w:b/>
                <w:bCs/>
                <w:sz w:val="22"/>
                <w:szCs w:val="22"/>
              </w:rPr>
              <w:t xml:space="preserve">Uso no projeto</w:t>
            </w:r>
          </w:p>
        </w:tc>
      </w:tr>
      <w:tr>
        <w:trPr>
          <w:cantSplit/>
        </w:trPr>
        <w:tc>
          <w:tcPr>
            <w:tcW w:w="2300" w:type="dxa"/>
            <w:tcMar>
              <w:top w:w="80" w:type="dxa"/>
              <w:left w:w="100" w:type="dxa"/>
              <w:bottom w:w="80" w:type="dxa"/>
              <w:right w:w="100" w:type="dxa"/>
            </w:tcMar>
          </w:tcPr>
          <w:p>
            <w:pPr>
              <w:keepNext/>
            </w:pPr>
            <w:r>
              <w:rPr>
                <w:sz w:val="22"/>
                <w:szCs w:val="22"/>
              </w:rPr>
              <w:t xml:space="preserve">IBGE/SIDRA – Tabela 1612</w:t>
            </w:r>
          </w:p>
        </w:tc>
        <w:tc>
          <w:tcPr>
            <w:tcW w:w="3400" w:type="dxa"/>
            <w:tcMar>
              <w:top w:w="80" w:type="dxa"/>
              <w:left w:w="100" w:type="dxa"/>
              <w:bottom w:w="80" w:type="dxa"/>
              <w:right w:w="100" w:type="dxa"/>
            </w:tcMar>
          </w:tcPr>
          <w:p>
            <w:pPr>
              <w:keepNext/>
            </w:pPr>
            <w:r>
              <w:rPr>
                <w:sz w:val="22"/>
                <w:szCs w:val="22"/>
              </w:rPr>
              <w:t xml:space="preserve">Rendimento (kg/ha), área plantada/colhida e produção de soja, por município do RS, 2000–2025.</w:t>
            </w:r>
          </w:p>
        </w:tc>
        <w:tc>
          <w:tcPr>
            <w:tcW w:w="2800" w:type="dxa"/>
            <w:tcMar>
              <w:top w:w="80" w:type="dxa"/>
              <w:left w:w="100" w:type="dxa"/>
              <w:bottom w:w="80" w:type="dxa"/>
              <w:right w:w="100" w:type="dxa"/>
            </w:tcMar>
          </w:tcPr>
          <w:p>
            <w:pPr>
              <w:keepNext/>
            </w:pPr>
            <w:r>
              <w:rPr>
                <w:sz w:val="22"/>
                <w:szCs w:val="22"/>
              </w:rPr>
              <w:t xml:space="preserve">Variável-alvo e histórico produtivo.</w:t>
            </w:r>
          </w:p>
        </w:tc>
      </w:tr>
      <w:tr>
        <w:trPr>
          <w:cantSplit/>
        </w:trPr>
        <w:tc>
          <w:tcPr>
            <w:tcW w:w="2300" w:type="dxa"/>
            <w:tcMar>
              <w:top w:w="80" w:type="dxa"/>
              <w:left w:w="100" w:type="dxa"/>
              <w:bottom w:w="80" w:type="dxa"/>
              <w:right w:w="100" w:type="dxa"/>
            </w:tcMar>
          </w:tcPr>
          <w:p>
            <w:pPr>
              <w:keepNext/>
            </w:pPr>
            <w:r>
              <w:rPr>
                <w:sz w:val="22"/>
                <w:szCs w:val="22"/>
              </w:rPr>
              <w:t xml:space="preserve">NOAA/CPC – ONI</w:t>
            </w:r>
          </w:p>
        </w:tc>
        <w:tc>
          <w:tcPr>
            <w:tcW w:w="3400" w:type="dxa"/>
            <w:tcMar>
              <w:top w:w="80" w:type="dxa"/>
              <w:left w:w="100" w:type="dxa"/>
              <w:bottom w:w="80" w:type="dxa"/>
              <w:right w:w="100" w:type="dxa"/>
            </w:tcMar>
          </w:tcPr>
          <w:p>
            <w:pPr>
              <w:keepNext/>
            </w:pPr>
            <w:r>
              <w:rPr>
                <w:sz w:val="22"/>
                <w:szCs w:val="22"/>
              </w:rPr>
              <w:t xml:space="preserve">Índice trimestral do ENOS (El Niño/La Niña).</w:t>
            </w:r>
          </w:p>
        </w:tc>
        <w:tc>
          <w:tcPr>
            <w:tcW w:w="2800" w:type="dxa"/>
            <w:tcMar>
              <w:top w:w="80" w:type="dxa"/>
              <w:left w:w="100" w:type="dxa"/>
              <w:bottom w:w="80" w:type="dxa"/>
              <w:right w:w="100" w:type="dxa"/>
            </w:tcMar>
          </w:tcPr>
          <w:p>
            <w:pPr>
              <w:keepNext/>
            </w:pPr>
            <w:r>
              <w:rPr>
                <w:sz w:val="22"/>
                <w:szCs w:val="22"/>
              </w:rPr>
              <w:t xml:space="preserve">Sinal climático de grande escala, disponível antes e durante a safra.</w:t>
            </w:r>
          </w:p>
        </w:tc>
      </w:tr>
      <w:tr>
        <w:trPr>
          <w:cantSplit/>
        </w:trPr>
        <w:tc>
          <w:tcPr>
            <w:tcW w:w="2300" w:type="dxa"/>
            <w:tcMar>
              <w:top w:w="80" w:type="dxa"/>
              <w:left w:w="100" w:type="dxa"/>
              <w:bottom w:w="80" w:type="dxa"/>
              <w:right w:w="100" w:type="dxa"/>
            </w:tcMar>
          </w:tcPr>
          <w:p>
            <w:pPr>
              <w:keepNext/>
            </w:pPr>
            <w:r>
              <w:rPr>
                <w:sz w:val="22"/>
                <w:szCs w:val="22"/>
              </w:rPr>
              <w:t xml:space="preserve">INMET / BDMEP</w:t>
            </w:r>
          </w:p>
        </w:tc>
        <w:tc>
          <w:tcPr>
            <w:tcW w:w="3400" w:type="dxa"/>
            <w:tcMar>
              <w:top w:w="80" w:type="dxa"/>
              <w:left w:w="100" w:type="dxa"/>
              <w:bottom w:w="80" w:type="dxa"/>
              <w:right w:w="100" w:type="dxa"/>
            </w:tcMar>
          </w:tcPr>
          <w:p>
            <w:pPr>
              <w:keepNext/>
            </w:pPr>
            <w:r>
              <w:rPr>
                <w:sz w:val="22"/>
                <w:szCs w:val="22"/>
              </w:rPr>
              <w:t xml:space="preserve">Chuva, temperatura máxima e mínima e umidade relativa diárias observadas em 45 estações automáticas do RS.</w:t>
            </w:r>
          </w:p>
        </w:tc>
        <w:tc>
          <w:tcPr>
            <w:tcW w:w="2800" w:type="dxa"/>
            <w:tcMar>
              <w:top w:w="80" w:type="dxa"/>
              <w:left w:w="100" w:type="dxa"/>
              <w:bottom w:w="80" w:type="dxa"/>
              <w:right w:w="100" w:type="dxa"/>
            </w:tcMar>
          </w:tcPr>
          <w:p>
            <w:pPr>
              <w:keepNext/>
            </w:pPr>
            <w:r>
              <w:rPr>
                <w:sz w:val="22"/>
                <w:szCs w:val="22"/>
              </w:rPr>
              <w:t xml:space="preserve">Variáveis climáticas por subperíodo do ciclo e balanço hídrico.</w:t>
            </w:r>
          </w:p>
        </w:tc>
      </w:tr>
      <w:tr>
        <w:trPr>
          <w:cantSplit/>
        </w:trPr>
        <w:tc>
          <w:tcPr>
            <w:tcW w:w="2300" w:type="dxa"/>
            <w:tcMar>
              <w:top w:w="80" w:type="dxa"/>
              <w:left w:w="100" w:type="dxa"/>
              <w:bottom w:w="80" w:type="dxa"/>
              <w:right w:w="100" w:type="dxa"/>
            </w:tcMar>
          </w:tcPr>
          <w:p>
            <w:pPr>
              <w:keepNext/>
            </w:pPr>
            <w:r>
              <w:rPr>
                <w:sz w:val="22"/>
                <w:szCs w:val="22"/>
              </w:rPr>
              <w:t xml:space="preserve">Embrapa / CQFS-RS/SC</w:t>
            </w:r>
          </w:p>
        </w:tc>
        <w:tc>
          <w:tcPr>
            <w:tcW w:w="3400" w:type="dxa"/>
            <w:tcMar>
              <w:top w:w="80" w:type="dxa"/>
              <w:left w:w="100" w:type="dxa"/>
              <w:bottom w:w="80" w:type="dxa"/>
              <w:right w:w="100" w:type="dxa"/>
            </w:tcMar>
          </w:tcPr>
          <w:p>
            <w:pPr>
              <w:keepNext/>
            </w:pPr>
            <w:r>
              <w:rPr>
                <w:sz w:val="22"/>
                <w:szCs w:val="22"/>
              </w:rPr>
              <w:t xml:space="preserve">Interpretação do teor de P e K no solo e dose recomendada de P</w:t>
            </w:r>
            <w:r>
              <w:rPr>
                <w:sz w:val="22"/>
                <w:szCs w:val="22"/>
                <w:vertAlign w:val="subscript"/>
              </w:rPr>
              <w:t xml:space="preserve">2</w:t>
            </w:r>
            <w:r>
              <w:rPr>
                <w:sz w:val="22"/>
                <w:szCs w:val="22"/>
              </w:rPr>
              <w:t xml:space="preserve">O</w:t>
            </w:r>
            <w:r>
              <w:rPr>
                <w:sz w:val="22"/>
                <w:szCs w:val="22"/>
                <w:vertAlign w:val="subscript"/>
              </w:rPr>
              <w:t xml:space="preserve">5</w:t>
            </w:r>
            <w:r>
              <w:rPr>
                <w:sz w:val="22"/>
                <w:szCs w:val="22"/>
              </w:rPr>
              <w:t xml:space="preserve"> e K</w:t>
            </w:r>
            <w:r>
              <w:rPr>
                <w:sz w:val="22"/>
                <w:szCs w:val="22"/>
                <w:vertAlign w:val="subscript"/>
              </w:rPr>
              <w:t xml:space="preserve">2</w:t>
            </w:r>
            <w:r>
              <w:rPr>
                <w:sz w:val="22"/>
                <w:szCs w:val="22"/>
              </w:rPr>
              <w:t xml:space="preserve">O por classe de teor (Tabelas 2.3 e 2.4).</w:t>
            </w:r>
          </w:p>
        </w:tc>
        <w:tc>
          <w:tcPr>
            <w:tcW w:w="2800" w:type="dxa"/>
            <w:tcMar>
              <w:top w:w="80" w:type="dxa"/>
              <w:left w:w="100" w:type="dxa"/>
              <w:bottom w:w="80" w:type="dxa"/>
              <w:right w:w="100" w:type="dxa"/>
            </w:tcMar>
          </w:tcPr>
          <w:p>
            <w:pPr>
              <w:keepNext/>
            </w:pPr>
            <w:r>
              <w:rPr>
                <w:sz w:val="22"/>
                <w:szCs w:val="22"/>
              </w:rPr>
              <w:t xml:space="preserve">Aplicação: recomendação de adubação a partir do rendimento esperado.</w:t>
            </w:r>
          </w:p>
        </w:tc>
      </w:tr>
      <w:tr>
        <w:trPr>
          <w:cantSplit/>
        </w:trPr>
        <w:tc>
          <w:tcPr>
            <w:tcW w:w="2300" w:type="dxa"/>
            <w:tcMar>
              <w:top w:w="80" w:type="dxa"/>
              <w:left w:w="100" w:type="dxa"/>
              <w:bottom w:w="80" w:type="dxa"/>
              <w:right w:w="100" w:type="dxa"/>
            </w:tcMar>
          </w:tcPr>
          <w:p>
            <w:pPr>
              <w:keepNext/>
            </w:pPr>
            <w:r>
              <w:rPr>
                <w:sz w:val="22"/>
                <w:szCs w:val="22"/>
              </w:rPr>
              <w:t xml:space="preserve">IBGE – Localidades</w:t>
            </w:r>
          </w:p>
        </w:tc>
        <w:tc>
          <w:tcPr>
            <w:tcW w:w="3400" w:type="dxa"/>
            <w:tcMar>
              <w:top w:w="80" w:type="dxa"/>
              <w:left w:w="100" w:type="dxa"/>
              <w:bottom w:w="80" w:type="dxa"/>
              <w:right w:w="100" w:type="dxa"/>
            </w:tcMar>
          </w:tcPr>
          <w:p>
            <w:pPr>
              <w:keepNext/>
            </w:pPr>
            <w:r>
              <w:rPr>
                <w:sz w:val="22"/>
                <w:szCs w:val="22"/>
              </w:rPr>
              <w:t xml:space="preserve">Mesorregião de cada município do RS [IBGE 2026b].</w:t>
            </w:r>
          </w:p>
        </w:tc>
        <w:tc>
          <w:tcPr>
            <w:tcW w:w="2800" w:type="dxa"/>
            <w:tcMar>
              <w:top w:w="80" w:type="dxa"/>
              <w:left w:w="100" w:type="dxa"/>
              <w:bottom w:w="80" w:type="dxa"/>
              <w:right w:w="100" w:type="dxa"/>
            </w:tcMar>
          </w:tcPr>
          <w:p>
            <w:pPr>
              <w:keepNext/>
            </w:pPr>
            <w:r>
              <w:rPr>
                <w:sz w:val="22"/>
                <w:szCs w:val="22"/>
              </w:rPr>
              <w:t xml:space="preserve">Erro do modelo por região.</w:t>
            </w:r>
          </w:p>
        </w:tc>
      </w:tr>
    </w:tbl>
    <w:p>
      <w:pPr>
        <w:keepNext/>
        <w:spacing w:before="280" w:after="160"/>
      </w:pPr>
      <w:r>
        <w:rPr>
          <w:b/>
          <w:bCs/>
          <w:sz w:val="24"/>
          <w:szCs w:val="24"/>
        </w:rPr>
        <w:t>4.2 Estrutura da base integrada</w:t>
      </w:r>
    </w:p>
    <w:p>
      <w:pPr>
        <w:spacing w:after="200" w:line="276" w:lineRule="auto"/>
        <w:ind w:firstLine="720"/>
        <w:jc w:val="both"/>
      </w:pPr>
      <w:r>
        <w:rPr>
          <w:sz w:val="24"/>
          <w:szCs w:val="24"/>
        </w:rPr>
        <w:t xml:space="preserve">A base final tem como chave primária o código IBGE do município e a safra (ano_safra). A Tabela 2 resume as principais variáveis do painel município–safra resultante da integração das quatro fontes.</w:t>
      </w:r>
    </w:p>
    <w:p>
      <w:pPr>
        <w:keepNext/>
        <w:spacing w:before="120" w:after="300"/>
        <w:jc w:val="center"/>
      </w:pPr>
      <w:r>
        <w:rPr>
          <w:i/>
          <w:iCs/>
          <w:sz w:val="22"/>
          <w:szCs w:val="22"/>
        </w:rPr>
        <w:t xml:space="preserve">Tabela 2 – Dicionário resumido da base integrada e das principais variáveis derivadas para a modelagem.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900"/>
        <w:gridCol w:w="3000"/>
        <w:gridCol w:w="1200"/>
        <w:gridCol w:w="1400"/>
      </w:tblGrid>
      <w:tr>
        <w:trPr>
          <w:cantSplit/>
          <w:tblHeader/>
        </w:trPr>
        <w:tc>
          <w:tcPr>
            <w:tcW w:w="2900" w:type="dxa"/>
            <w:shd w:val="clear" w:color="auto" w:fill="D9D9D9"/>
            <w:tcMar>
              <w:top w:w="80" w:type="dxa"/>
              <w:left w:w="100" w:type="dxa"/>
              <w:bottom w:w="80" w:type="dxa"/>
              <w:right w:w="100" w:type="dxa"/>
            </w:tcMar>
          </w:tcPr>
          <w:p>
            <w:pPr>
              <w:keepNext/>
            </w:pPr>
            <w:r>
              <w:rPr>
                <w:b/>
                <w:bCs/>
                <w:sz w:val="22"/>
                <w:szCs w:val="22"/>
              </w:rPr>
              <w:t xml:space="preserve">Coluna</w:t>
            </w:r>
          </w:p>
        </w:tc>
        <w:tc>
          <w:tcPr>
            <w:tcW w:w="3000" w:type="dxa"/>
            <w:shd w:val="clear" w:color="auto" w:fill="D9D9D9"/>
            <w:tcMar>
              <w:top w:w="80" w:type="dxa"/>
              <w:left w:w="100" w:type="dxa"/>
              <w:bottom w:w="80" w:type="dxa"/>
              <w:right w:w="100" w:type="dxa"/>
            </w:tcMar>
          </w:tcPr>
          <w:p>
            <w:pPr>
              <w:keepNext/>
            </w:pPr>
            <w:r>
              <w:rPr>
                <w:b/>
                <w:bCs/>
                <w:sz w:val="22"/>
                <w:szCs w:val="22"/>
              </w:rPr>
              <w:t xml:space="preserve">Descrição</w:t>
            </w:r>
          </w:p>
        </w:tc>
        <w:tc>
          <w:tcPr>
            <w:tcW w:w="1200" w:type="dxa"/>
            <w:shd w:val="clear" w:color="auto" w:fill="D9D9D9"/>
            <w:tcMar>
              <w:top w:w="80" w:type="dxa"/>
              <w:left w:w="100" w:type="dxa"/>
              <w:bottom w:w="80" w:type="dxa"/>
              <w:right w:w="100" w:type="dxa"/>
            </w:tcMar>
          </w:tcPr>
          <w:p>
            <w:pPr>
              <w:keepNext/>
            </w:pPr>
            <w:r>
              <w:rPr>
                <w:b/>
                <w:bCs/>
                <w:sz w:val="22"/>
                <w:szCs w:val="22"/>
              </w:rPr>
              <w:t xml:space="preserve">Unidade</w:t>
            </w:r>
          </w:p>
        </w:tc>
        <w:tc>
          <w:tcPr>
            <w:tcW w:w="1400" w:type="dxa"/>
            <w:shd w:val="clear" w:color="auto" w:fill="D9D9D9"/>
            <w:tcMar>
              <w:top w:w="80" w:type="dxa"/>
              <w:left w:w="100" w:type="dxa"/>
              <w:bottom w:w="80" w:type="dxa"/>
              <w:right w:w="100" w:type="dxa"/>
            </w:tcMar>
          </w:tcPr>
          <w:p>
            <w:pPr>
              <w:keepNext/>
            </w:pPr>
            <w:r>
              <w:rPr>
                <w:b/>
                <w:bCs/>
                <w:sz w:val="22"/>
                <w:szCs w:val="22"/>
              </w:rPr>
              <w:t xml:space="preserve">Fonte</w:t>
            </w:r>
          </w:p>
        </w:tc>
      </w:tr>
      <w:tr>
        <w:trPr>
          <w:cantSplit/>
        </w:trPr>
        <w:tc>
          <w:tcPr>
            <w:tcW w:w="2900" w:type="dxa"/>
            <w:tcMar>
              <w:top w:w="80" w:type="dxa"/>
              <w:left w:w="100" w:type="dxa"/>
              <w:bottom w:w="80" w:type="dxa"/>
              <w:right w:w="100" w:type="dxa"/>
            </w:tcMar>
          </w:tcPr>
          <w:p>
            <w:pPr>
              <w:keepNext/>
            </w:pPr>
            <w:r>
              <w:rPr>
                <w:sz w:val="22"/>
                <w:szCs w:val="22"/>
              </w:rPr>
              <w:t xml:space="preserve">codigo_ibge_municipio / municipio</w:t>
            </w:r>
          </w:p>
        </w:tc>
        <w:tc>
          <w:tcPr>
            <w:tcW w:w="3000" w:type="dxa"/>
            <w:tcMar>
              <w:top w:w="80" w:type="dxa"/>
              <w:left w:w="100" w:type="dxa"/>
              <w:bottom w:w="80" w:type="dxa"/>
              <w:right w:w="100" w:type="dxa"/>
            </w:tcMar>
          </w:tcPr>
          <w:p>
            <w:pPr>
              <w:keepNext/>
            </w:pPr>
            <w:r>
              <w:rPr>
                <w:sz w:val="22"/>
                <w:szCs w:val="22"/>
              </w:rPr>
              <w:t xml:space="preserve">Identificação do município</w:t>
            </w:r>
          </w:p>
        </w:tc>
        <w:tc>
          <w:tcPr>
            <w:tcW w:w="1200" w:type="dxa"/>
            <w:tcMar>
              <w:top w:w="80" w:type="dxa"/>
              <w:left w:w="100" w:type="dxa"/>
              <w:bottom w:w="80" w:type="dxa"/>
              <w:right w:w="100" w:type="dxa"/>
            </w:tcMar>
          </w:tcPr>
          <w:p>
            <w:pPr>
              <w:keepNext/>
            </w:pPr>
            <w:r>
              <w:rPr>
                <w:sz w:val="22"/>
                <w:szCs w:val="22"/>
              </w:rPr>
              <w:t xml:space="preserve">código / texto</w:t>
            </w:r>
          </w:p>
        </w:tc>
        <w:tc>
          <w:tcPr>
            <w:tcW w:w="1400" w:type="dxa"/>
            <w:tcMar>
              <w:top w:w="80" w:type="dxa"/>
              <w:left w:w="100" w:type="dxa"/>
              <w:bottom w:w="80" w:type="dxa"/>
              <w:right w:w="100" w:type="dxa"/>
            </w:tcMar>
          </w:tcPr>
          <w:p>
            <w:pPr>
              <w:keepNext/>
            </w:pPr>
            <w:r>
              <w:rPr>
                <w:sz w:val="22"/>
                <w:szCs w:val="22"/>
              </w:rPr>
              <w:t xml:space="preserve">IBGE</w:t>
            </w:r>
          </w:p>
        </w:tc>
      </w:tr>
      <w:tr>
        <w:trPr>
          <w:cantSplit/>
        </w:trPr>
        <w:tc>
          <w:tcPr>
            <w:tcW w:w="2900" w:type="dxa"/>
            <w:tcMar>
              <w:top w:w="80" w:type="dxa"/>
              <w:left w:w="100" w:type="dxa"/>
              <w:bottom w:w="80" w:type="dxa"/>
              <w:right w:w="100" w:type="dxa"/>
            </w:tcMar>
          </w:tcPr>
          <w:p>
            <w:pPr>
              <w:keepNext/>
            </w:pPr>
            <w:r>
              <w:rPr>
                <w:sz w:val="22"/>
                <w:szCs w:val="22"/>
              </w:rPr>
              <w:t xml:space="preserve">ano_safra</w:t>
            </w:r>
          </w:p>
        </w:tc>
        <w:tc>
          <w:tcPr>
            <w:tcW w:w="3000" w:type="dxa"/>
            <w:tcMar>
              <w:top w:w="80" w:type="dxa"/>
              <w:left w:w="100" w:type="dxa"/>
              <w:bottom w:w="80" w:type="dxa"/>
              <w:right w:w="100" w:type="dxa"/>
            </w:tcMar>
          </w:tcPr>
          <w:p>
            <w:pPr>
              <w:keepNext/>
            </w:pPr>
            <w:r>
              <w:rPr>
                <w:sz w:val="22"/>
                <w:szCs w:val="22"/>
              </w:rPr>
              <w:t xml:space="preserve">Ano da safra</w:t>
            </w:r>
          </w:p>
        </w:tc>
        <w:tc>
          <w:tcPr>
            <w:tcW w:w="1200" w:type="dxa"/>
            <w:tcMar>
              <w:top w:w="80" w:type="dxa"/>
              <w:left w:w="100" w:type="dxa"/>
              <w:bottom w:w="80" w:type="dxa"/>
              <w:right w:w="100" w:type="dxa"/>
            </w:tcMar>
          </w:tcPr>
          <w:p>
            <w:pPr>
              <w:keepNext/>
            </w:pPr>
            <w:r>
              <w:rPr>
                <w:sz w:val="22"/>
                <w:szCs w:val="22"/>
              </w:rPr>
              <w:t xml:space="preserve">ano</w:t>
            </w:r>
          </w:p>
        </w:tc>
        <w:tc>
          <w:tcPr>
            <w:tcW w:w="1400" w:type="dxa"/>
            <w:tcMar>
              <w:top w:w="80" w:type="dxa"/>
              <w:left w:w="100" w:type="dxa"/>
              <w:bottom w:w="80" w:type="dxa"/>
              <w:right w:w="100" w:type="dxa"/>
            </w:tcMar>
          </w:tcPr>
          <w:p>
            <w:pPr>
              <w:keepNext/>
            </w:pPr>
            <w:r>
              <w:rPr>
                <w:sz w:val="22"/>
                <w:szCs w:val="22"/>
              </w:rPr>
              <w:t xml:space="preserve">IBGE</w:t>
            </w:r>
          </w:p>
        </w:tc>
      </w:tr>
      <w:tr>
        <w:trPr>
          <w:cantSplit/>
        </w:trPr>
        <w:tc>
          <w:tcPr>
            <w:tcW w:w="2900" w:type="dxa"/>
            <w:tcMar>
              <w:top w:w="80" w:type="dxa"/>
              <w:left w:w="100" w:type="dxa"/>
              <w:bottom w:w="80" w:type="dxa"/>
              <w:right w:w="100" w:type="dxa"/>
            </w:tcMar>
          </w:tcPr>
          <w:p>
            <w:pPr>
              <w:keepNext/>
            </w:pPr>
            <w:r>
              <w:rPr>
                <w:sz w:val="22"/>
                <w:szCs w:val="22"/>
              </w:rPr>
              <w:t xml:space="preserve">rendimento_kg_ha</w:t>
            </w:r>
          </w:p>
        </w:tc>
        <w:tc>
          <w:tcPr>
            <w:tcW w:w="3000" w:type="dxa"/>
            <w:tcMar>
              <w:top w:w="80" w:type="dxa"/>
              <w:left w:w="100" w:type="dxa"/>
              <w:bottom w:w="80" w:type="dxa"/>
              <w:right w:w="100" w:type="dxa"/>
            </w:tcMar>
          </w:tcPr>
          <w:p>
            <w:pPr>
              <w:keepNext/>
            </w:pPr>
            <w:r>
              <w:rPr>
                <w:sz w:val="22"/>
                <w:szCs w:val="22"/>
              </w:rPr>
              <w:t xml:space="preserve">Rendimento médio (variável-alvo)</w:t>
            </w:r>
          </w:p>
        </w:tc>
        <w:tc>
          <w:tcPr>
            <w:tcW w:w="1200" w:type="dxa"/>
            <w:tcMar>
              <w:top w:w="80" w:type="dxa"/>
              <w:left w:w="100" w:type="dxa"/>
              <w:bottom w:w="80" w:type="dxa"/>
              <w:right w:w="100" w:type="dxa"/>
            </w:tcMar>
          </w:tcPr>
          <w:p>
            <w:pPr>
              <w:keepNext/>
            </w:pPr>
            <w:r>
              <w:rPr>
                <w:sz w:val="22"/>
                <w:szCs w:val="22"/>
              </w:rPr>
              <w:t xml:space="preserve">kg/ha</w:t>
            </w:r>
          </w:p>
        </w:tc>
        <w:tc>
          <w:tcPr>
            <w:tcW w:w="1400" w:type="dxa"/>
            <w:tcMar>
              <w:top w:w="80" w:type="dxa"/>
              <w:left w:w="100" w:type="dxa"/>
              <w:bottom w:w="80" w:type="dxa"/>
              <w:right w:w="100" w:type="dxa"/>
            </w:tcMar>
          </w:tcPr>
          <w:p>
            <w:pPr>
              <w:keepNext/>
            </w:pPr>
            <w:r>
              <w:rPr>
                <w:sz w:val="22"/>
                <w:szCs w:val="22"/>
              </w:rPr>
              <w:t xml:space="preserve">IBGE/SIDRA</w:t>
            </w:r>
          </w:p>
        </w:tc>
      </w:tr>
      <w:tr>
        <w:trPr>
          <w:cantSplit/>
        </w:trPr>
        <w:tc>
          <w:tcPr>
            <w:tcW w:w="2900" w:type="dxa"/>
            <w:tcMar>
              <w:top w:w="80" w:type="dxa"/>
              <w:left w:w="100" w:type="dxa"/>
              <w:bottom w:w="80" w:type="dxa"/>
              <w:right w:w="100" w:type="dxa"/>
            </w:tcMar>
          </w:tcPr>
          <w:p>
            <w:pPr>
              <w:keepNext/>
            </w:pPr>
            <w:r>
              <w:rPr>
                <w:sz w:val="22"/>
                <w:szCs w:val="22"/>
              </w:rPr>
              <w:t xml:space="preserve">area_plantada_ha / producao_ton</w:t>
            </w:r>
          </w:p>
        </w:tc>
        <w:tc>
          <w:tcPr>
            <w:tcW w:w="3000" w:type="dxa"/>
            <w:tcMar>
              <w:top w:w="80" w:type="dxa"/>
              <w:left w:w="100" w:type="dxa"/>
              <w:bottom w:w="80" w:type="dxa"/>
              <w:right w:w="100" w:type="dxa"/>
            </w:tcMar>
          </w:tcPr>
          <w:p>
            <w:pPr>
              <w:keepNext/>
            </w:pPr>
            <w:r>
              <w:rPr>
                <w:sz w:val="22"/>
                <w:szCs w:val="22"/>
              </w:rPr>
              <w:t xml:space="preserve">Área plantada e produção total</w:t>
            </w:r>
          </w:p>
        </w:tc>
        <w:tc>
          <w:tcPr>
            <w:tcW w:w="1200" w:type="dxa"/>
            <w:tcMar>
              <w:top w:w="80" w:type="dxa"/>
              <w:left w:w="100" w:type="dxa"/>
              <w:bottom w:w="80" w:type="dxa"/>
              <w:right w:w="100" w:type="dxa"/>
            </w:tcMar>
          </w:tcPr>
          <w:p>
            <w:pPr>
              <w:keepNext/>
            </w:pPr>
            <w:r>
              <w:rPr>
                <w:sz w:val="22"/>
                <w:szCs w:val="22"/>
              </w:rPr>
              <w:t xml:space="preserve">ha / t</w:t>
            </w:r>
          </w:p>
        </w:tc>
        <w:tc>
          <w:tcPr>
            <w:tcW w:w="1400" w:type="dxa"/>
            <w:tcMar>
              <w:top w:w="80" w:type="dxa"/>
              <w:left w:w="100" w:type="dxa"/>
              <w:bottom w:w="80" w:type="dxa"/>
              <w:right w:w="100" w:type="dxa"/>
            </w:tcMar>
          </w:tcPr>
          <w:p>
            <w:pPr>
              <w:keepNext/>
            </w:pPr>
            <w:r>
              <w:rPr>
                <w:sz w:val="22"/>
                <w:szCs w:val="22"/>
              </w:rPr>
              <w:t xml:space="preserve">IBGE/SIDRA</w:t>
            </w:r>
          </w:p>
        </w:tc>
      </w:tr>
      <w:tr>
        <w:trPr>
          <w:cantSplit/>
        </w:trPr>
        <w:tc>
          <w:tcPr>
            <w:tcW w:w="2900" w:type="dxa"/>
            <w:tcMar>
              <w:top w:w="80" w:type="dxa"/>
              <w:left w:w="100" w:type="dxa"/>
              <w:bottom w:w="80" w:type="dxa"/>
              <w:right w:w="100" w:type="dxa"/>
            </w:tcMar>
          </w:tcPr>
          <w:p>
            <w:pPr>
              <w:keepNext/>
            </w:pPr>
            <w:r>
              <w:rPr>
                <w:sz w:val="22"/>
                <w:szCs w:val="22"/>
              </w:rPr>
              <w:t xml:space="preserve">oni_media_safra</w:t>
            </w:r>
          </w:p>
        </w:tc>
        <w:tc>
          <w:tcPr>
            <w:tcW w:w="3000" w:type="dxa"/>
            <w:tcMar>
              <w:top w:w="80" w:type="dxa"/>
              <w:left w:w="100" w:type="dxa"/>
              <w:bottom w:w="80" w:type="dxa"/>
              <w:right w:w="100" w:type="dxa"/>
            </w:tcMar>
          </w:tcPr>
          <w:p>
            <w:pPr>
              <w:keepNext/>
            </w:pPr>
            <w:r>
              <w:rPr>
                <w:sz w:val="22"/>
                <w:szCs w:val="22"/>
              </w:rPr>
              <w:t xml:space="preserve">ONI médio na janela semeadura–colheita</w:t>
            </w:r>
          </w:p>
        </w:tc>
        <w:tc>
          <w:tcPr>
            <w:tcW w:w="1200" w:type="dxa"/>
            <w:tcMar>
              <w:top w:w="80" w:type="dxa"/>
              <w:left w:w="100" w:type="dxa"/>
              <w:bottom w:w="80" w:type="dxa"/>
              <w:right w:w="100" w:type="dxa"/>
            </w:tcMar>
          </w:tcPr>
          <w:p>
            <w:pPr>
              <w:keepNext/>
            </w:pPr>
            <w:r>
              <w:rPr>
                <w:sz w:val="22"/>
                <w:szCs w:val="22"/>
              </w:rPr>
              <w:t xml:space="preserve">índice</w:t>
            </w:r>
          </w:p>
        </w:tc>
        <w:tc>
          <w:tcPr>
            <w:tcW w:w="1400" w:type="dxa"/>
            <w:tcMar>
              <w:top w:w="80" w:type="dxa"/>
              <w:left w:w="100" w:type="dxa"/>
              <w:bottom w:w="80" w:type="dxa"/>
              <w:right w:w="100" w:type="dxa"/>
            </w:tcMar>
          </w:tcPr>
          <w:p>
            <w:pPr>
              <w:keepNext/>
            </w:pPr>
            <w:r>
              <w:rPr>
                <w:sz w:val="22"/>
                <w:szCs w:val="22"/>
              </w:rPr>
              <w:t xml:space="preserve">NOAA/CPC</w:t>
            </w:r>
          </w:p>
        </w:tc>
      </w:tr>
      <w:tr>
        <w:trPr>
          <w:cantSplit/>
        </w:trPr>
        <w:tc>
          <w:tcPr>
            <w:tcW w:w="2900" w:type="dxa"/>
            <w:tcMar>
              <w:top w:w="80" w:type="dxa"/>
              <w:left w:w="100" w:type="dxa"/>
              <w:bottom w:w="80" w:type="dxa"/>
              <w:right w:w="100" w:type="dxa"/>
            </w:tcMar>
          </w:tcPr>
          <w:p>
            <w:pPr>
              <w:keepNext/>
            </w:pPr>
            <w:r>
              <w:rPr>
                <w:sz w:val="22"/>
                <w:szCs w:val="22"/>
              </w:rPr>
              <w:t xml:space="preserve">precipitacao_total_safra_mm</w:t>
            </w:r>
          </w:p>
        </w:tc>
        <w:tc>
          <w:tcPr>
            <w:tcW w:w="3000" w:type="dxa"/>
            <w:tcMar>
              <w:top w:w="80" w:type="dxa"/>
              <w:left w:w="100" w:type="dxa"/>
              <w:bottom w:w="80" w:type="dxa"/>
              <w:right w:w="100" w:type="dxa"/>
            </w:tcMar>
          </w:tcPr>
          <w:p>
            <w:pPr>
              <w:keepNext/>
            </w:pPr>
            <w:r>
              <w:rPr>
                <w:sz w:val="22"/>
                <w:szCs w:val="22"/>
              </w:rPr>
              <w:t xml:space="preserve">Precipitação acumulada na janela de safra (estação mais próxima)</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 xml:space="preserve">INMET</w:t>
            </w:r>
          </w:p>
        </w:tc>
      </w:tr>
      <w:tr>
        <w:trPr>
          <w:cantSplit/>
        </w:trPr>
        <w:tc>
          <w:tcPr>
            <w:tcW w:w="2900" w:type="dxa"/>
            <w:tcMar>
              <w:top w:w="80" w:type="dxa"/>
              <w:left w:w="100" w:type="dxa"/>
              <w:bottom w:w="80" w:type="dxa"/>
              <w:right w:w="100" w:type="dxa"/>
            </w:tcMar>
          </w:tcPr>
          <w:p>
            <w:pPr>
              <w:keepNext/>
            </w:pPr>
            <w:r>
              <w:rPr>
                <w:sz w:val="22"/>
                <w:szCs w:val="22"/>
              </w:rPr>
              <w:t xml:space="preserve">temperatura_media_safra_c</w:t>
            </w:r>
          </w:p>
        </w:tc>
        <w:tc>
          <w:tcPr>
            <w:tcW w:w="3000" w:type="dxa"/>
            <w:tcMar>
              <w:top w:w="80" w:type="dxa"/>
              <w:left w:w="100" w:type="dxa"/>
              <w:bottom w:w="80" w:type="dxa"/>
              <w:right w:w="100" w:type="dxa"/>
            </w:tcMar>
          </w:tcPr>
          <w:p>
            <w:pPr>
              <w:keepNext/>
            </w:pPr>
            <w:r>
              <w:rPr>
                <w:sz w:val="22"/>
                <w:szCs w:val="22"/>
              </w:rPr>
              <w:t xml:space="preserve">Temperatura média diária na janela de safra</w:t>
            </w:r>
          </w:p>
        </w:tc>
        <w:tc>
          <w:tcPr>
            <w:tcW w:w="1200" w:type="dxa"/>
            <w:tcMar>
              <w:top w:w="80" w:type="dxa"/>
              <w:left w:w="100" w:type="dxa"/>
              <w:bottom w:w="80" w:type="dxa"/>
              <w:right w:w="100" w:type="dxa"/>
            </w:tcMar>
          </w:tcPr>
          <w:p>
            <w:pPr>
              <w:keepNext/>
            </w:pPr>
            <w:r>
              <w:rPr>
                <w:sz w:val="22"/>
                <w:szCs w:val="22"/>
              </w:rPr>
              <w:t xml:space="preserve">°C</w:t>
            </w:r>
          </w:p>
        </w:tc>
        <w:tc>
          <w:tcPr>
            <w:tcW w:w="1400" w:type="dxa"/>
            <w:tcMar>
              <w:top w:w="80" w:type="dxa"/>
              <w:left w:w="100" w:type="dxa"/>
              <w:bottom w:w="80" w:type="dxa"/>
              <w:right w:w="100" w:type="dxa"/>
            </w:tcMar>
          </w:tcPr>
          <w:p>
            <w:pPr>
              <w:keepNext/>
            </w:pPr>
            <w:r>
              <w:rPr>
                <w:sz w:val="22"/>
                <w:szCs w:val="22"/>
              </w:rPr>
              <w:t xml:space="preserve">INMET</w:t>
            </w:r>
          </w:p>
        </w:tc>
      </w:tr>
      <w:tr>
        <w:trPr>
          <w:cantSplit/>
        </w:trPr>
        <w:tc>
          <w:tcPr>
            <w:tcW w:w="2900" w:type="dxa"/>
            <w:tcMar>
              <w:top w:w="80" w:type="dxa"/>
              <w:left w:w="100" w:type="dxa"/>
              <w:bottom w:w="80" w:type="dxa"/>
              <w:right w:w="100" w:type="dxa"/>
            </w:tcMar>
          </w:tcPr>
          <w:p>
            <w:pPr>
              <w:keepNext/>
            </w:pPr>
            <w:r>
              <w:rPr>
                <w:sz w:val="22"/>
                <w:szCs w:val="22"/>
              </w:rPr>
              <w:t xml:space="preserve">chuva_out_nov, chuva_dez_fev, chuva_mar</w:t>
            </w:r>
          </w:p>
        </w:tc>
        <w:tc>
          <w:tcPr>
            <w:tcW w:w="3000" w:type="dxa"/>
            <w:tcMar>
              <w:top w:w="80" w:type="dxa"/>
              <w:left w:w="100" w:type="dxa"/>
              <w:bottom w:w="80" w:type="dxa"/>
              <w:right w:w="100" w:type="dxa"/>
            </w:tcMar>
          </w:tcPr>
          <w:p>
            <w:pPr>
              <w:keepNext/>
            </w:pPr>
            <w:r>
              <w:rPr>
                <w:sz w:val="22"/>
                <w:szCs w:val="22"/>
              </w:rPr>
              <w:t xml:space="preserve">Chuva acumulada por subperíodo do ciclo</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 xml:space="preserve">INMET</w:t>
            </w:r>
          </w:p>
        </w:tc>
      </w:tr>
      <w:tr>
        <w:trPr>
          <w:cantSplit/>
        </w:trPr>
        <w:tc>
          <w:tcPr>
            <w:tcW w:w="2900" w:type="dxa"/>
            <w:tcMar>
              <w:top w:w="80" w:type="dxa"/>
              <w:left w:w="100" w:type="dxa"/>
              <w:bottom w:w="80" w:type="dxa"/>
              <w:right w:w="100" w:type="dxa"/>
            </w:tcMar>
          </w:tcPr>
          <w:p>
            <w:pPr>
              <w:keepNext/>
            </w:pPr>
            <w:r>
              <w:rPr>
                <w:sz w:val="22"/>
                <w:szCs w:val="22"/>
              </w:rPr>
              <w:t xml:space="preserve">urmin_dez_fev / dias_calor_dez_fev</w:t>
            </w:r>
          </w:p>
        </w:tc>
        <w:tc>
          <w:tcPr>
            <w:tcW w:w="3000" w:type="dxa"/>
            <w:tcMar>
              <w:top w:w="80" w:type="dxa"/>
              <w:left w:w="100" w:type="dxa"/>
              <w:bottom w:w="80" w:type="dxa"/>
              <w:right w:w="100" w:type="dxa"/>
            </w:tcMar>
          </w:tcPr>
          <w:p>
            <w:pPr>
              <w:keepNext/>
            </w:pPr>
            <w:r>
              <w:rPr>
                <w:sz w:val="22"/>
                <w:szCs w:val="22"/>
              </w:rPr>
              <w:t xml:space="preserve">Umidade relativa mínima média / dias com máxima ≥ 32 °C em dez–fev</w:t>
            </w:r>
          </w:p>
        </w:tc>
        <w:tc>
          <w:tcPr>
            <w:tcW w:w="1200" w:type="dxa"/>
            <w:tcMar>
              <w:top w:w="80" w:type="dxa"/>
              <w:left w:w="100" w:type="dxa"/>
              <w:bottom w:w="80" w:type="dxa"/>
              <w:right w:w="100" w:type="dxa"/>
            </w:tcMar>
          </w:tcPr>
          <w:p>
            <w:pPr>
              <w:keepNext/>
            </w:pPr>
            <w:r>
              <w:rPr>
                <w:sz w:val="22"/>
                <w:szCs w:val="22"/>
              </w:rPr>
              <w:t xml:space="preserve">% / dias</w:t>
            </w:r>
          </w:p>
        </w:tc>
        <w:tc>
          <w:tcPr>
            <w:tcW w:w="1400" w:type="dxa"/>
            <w:tcMar>
              <w:top w:w="80" w:type="dxa"/>
              <w:left w:w="100" w:type="dxa"/>
              <w:bottom w:w="80" w:type="dxa"/>
              <w:right w:w="100" w:type="dxa"/>
            </w:tcMar>
          </w:tcPr>
          <w:p>
            <w:pPr>
              <w:keepNext/>
            </w:pPr>
            <w:r>
              <w:rPr>
                <w:sz w:val="22"/>
                <w:szCs w:val="22"/>
              </w:rPr>
              <w:t xml:space="preserve">INMET</w:t>
            </w:r>
          </w:p>
        </w:tc>
      </w:tr>
      <w:tr>
        <w:trPr>
          <w:cantSplit/>
        </w:trPr>
        <w:tc>
          <w:tcPr>
            <w:tcW w:w="2900" w:type="dxa"/>
            <w:tcMar>
              <w:top w:w="80" w:type="dxa"/>
              <w:left w:w="100" w:type="dxa"/>
              <w:bottom w:w="80" w:type="dxa"/>
              <w:right w:w="100" w:type="dxa"/>
            </w:tcMar>
          </w:tcPr>
          <w:p>
            <w:pPr>
              <w:keepNext/>
            </w:pPr>
            <w:r>
              <w:rPr>
                <w:sz w:val="22"/>
                <w:szCs w:val="22"/>
              </w:rPr>
              <w:t xml:space="preserve">deficit_dez_fev</w:t>
            </w:r>
          </w:p>
        </w:tc>
        <w:tc>
          <w:tcPr>
            <w:tcW w:w="3000" w:type="dxa"/>
            <w:tcMar>
              <w:top w:w="80" w:type="dxa"/>
              <w:left w:w="100" w:type="dxa"/>
              <w:bottom w:w="80" w:type="dxa"/>
              <w:right w:w="100" w:type="dxa"/>
            </w:tcMar>
          </w:tcPr>
          <w:p>
            <w:pPr>
              <w:keepNext/>
            </w:pPr>
            <w:r>
              <w:rPr>
                <w:sz w:val="22"/>
                <w:szCs w:val="22"/>
              </w:rPr>
              <w:t xml:space="preserve">Déficit hídrico acumulado em dez–fev (balanço hídrico)</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 xml:space="preserve">INMET (calculado)</w:t>
            </w:r>
          </w:p>
        </w:tc>
      </w:tr>
    </w:tbl>
    <w:p>
      <w:pPr>
        <w:keepNext/>
        <w:spacing w:before="280" w:after="160"/>
      </w:pPr>
      <w:r>
        <w:rPr>
          <w:b/>
          <w:bCs/>
          <w:sz w:val="24"/>
          <w:szCs w:val="24"/>
        </w:rPr>
        <w:t>4.3 Análise exploratória em Python</w:t>
      </w:r>
    </w:p>
    <w:p>
      <w:pPr>
        <w:spacing w:after="200" w:line="276" w:lineRule="auto"/>
        <w:ind w:firstLine="720"/>
        <w:jc w:val="both"/>
      </w:pPr>
      <w:r>
        <w:rPr>
          <w:sz w:val="24"/>
          <w:szCs w:val="24"/>
        </w:rPr>
        <w:t xml:space="preserve">A análise exploratória da N1 foi realizada em um notebook Python (disponível no GitHub do projeto, Seção 4.5) e cobriu: cobertura temporal dos dados (percentual de municípios com rendimento informado por safra), distribuição do rendimento, série temporal do rendimento médio estadual comparada ao ONI, rendimento por fase do ENOS e correlação entre rendimento e as demais variáveis – reproduzindo, com a base do RS, o tipo de verificação já documentado na literatura [Pilau et al. 2022]. O notebook parte da Tabela 1612 do SIDRA/IBGE, seleciona soja em grão para os municípios do RS, converte os valores numéricos e reorganiza as variáveis por município e safra; a mesma lógica é usada para integrar as fontes climáticas.</w:t>
      </w:r>
    </w:p>
    <w:p>
      <w:pPr>
        <w:keepNext/>
        <w:spacing w:before="280" w:after="160"/>
      </w:pPr>
      <w:r>
        <w:rPr>
          <w:b/>
          <w:bCs/>
          <w:sz w:val="24"/>
          <w:szCs w:val="24"/>
        </w:rPr>
        <w:t>4.4 Preparação dos dados</w:t>
      </w:r>
    </w:p>
    <w:p>
      <w:pPr>
        <w:spacing w:after="200" w:line="276" w:lineRule="auto"/>
        <w:ind w:firstLine="720"/>
        <w:jc w:val="both"/>
      </w:pPr>
      <w:r>
        <w:rPr>
          <w:sz w:val="24"/>
          <w:szCs w:val="24"/>
        </w:rPr>
        <w:t xml:space="preserve">Os dados brutos do SIDRA foram obtidos via API pública do IBGE [IBGE 2026a] (tabela 1612, variáveis de área plantada, área colhida, produção e rendimento médio, categoria soja em grão) para os 497 municípios do RS, 2000–2025 (26 safras), e reorganizados para o formato município × ano. O ONI [NOAA 2026] foi agregado por janela de safra (outubro do ano anterior a março do ano da safra), também disponível até 2025. Os dados diários do INMET [INMET 2026] (45 estações automáticas do RS, 2000–2025, obtidos via BDMEP em duas etapas) foram associados a cada município pela estação mais próxima (distância de Haversine) e agregados na mesma janela de safra (soma de precipitação, média de temperatura), com combinações estação–safra de janela incompleta (menos de 150 dos ~182 dias esperados, por falha de equipamento ou estação recém-instalada) tratadas como ausentes em vez de soma parcial. Os dados de adubação fosfatada (Embrapa/CQFS-RS/SC) não foram integrados ao painel como variável, por serem uma tabela de referência por classe de solo, e não uma série observada por município; seu uso, como aplicação do modelo, é descrito na Seção 6.6.</w:t>
      </w:r>
    </w:p>
    <w:p>
      <w:pPr>
        <w:keepNext/>
        <w:spacing w:before="280" w:after="160"/>
      </w:pPr>
      <w:r>
        <w:rPr>
          <w:b/>
          <w:bCs/>
          <w:sz w:val="24"/>
          <w:szCs w:val="24"/>
        </w:rPr>
        <w:t>4.5 Resultados iniciais da análise exploratória</w:t>
      </w:r>
    </w:p>
    <w:p>
      <w:pPr>
        <w:spacing w:after="200" w:line="276" w:lineRule="auto"/>
        <w:ind w:firstLine="720"/>
        <w:jc w:val="both"/>
      </w:pPr>
      <w:r>
        <w:rPr>
          <w:sz w:val="24"/>
          <w:szCs w:val="24"/>
        </w:rPr>
        <w:t xml:space="preserve">Até o momento, as quatro fontes de dados descritas na Seção 4.1 foram efetivamente coletadas e documentadas, e o painel município–safra foi construído e analisado em um notebook Python, reunindo 12.922 pares município-safra (497 municípios do Rio Grande do Sul entre 2000 e 2025). Nem todos têm a variável-alvo. Os símbolos do SIDRA – “-” (zero absoluto) e “...” (dado não disponível) – permitem separar ausência de cultivo de dado ausente (Tabela 3). Os pares sem cultivo não são dados faltantes: o município não plantou soja naquele ano. As perdas totais (área plantada sem área colhida; 10 dos 20 casos em 2005, ano da maior seca da série, e 3 em 2024) ficam fora do modelo porque o rendimento – produção dividida pela área colhida – não é definido, mas são quebras reais. Dos 10.540 pares com rendimento, 5.236 (safras 2006–2025) têm também clima do INMET com cobertura suficiente e patamar calculável, e formam a base de modelagem (Seção 5). O percentual de municípios do RS com produção de soja registrada na safra cresce de 70,4% em 2000 para 87,3% em 2025, refletindo a expansão histórica da cultura no estado – um ponto de atenção para a interpretação de médias estaduais nos anos iniciais da série.</w:t>
      </w:r>
    </w:p>
    <w:p>
      <w:pPr>
        <w:keepNext/>
        <w:spacing w:before="120" w:after="300"/>
        <w:jc w:val="center"/>
      </w:pPr>
      <w:r>
        <w:rPr>
          <w:i/>
          <w:iCs/>
          <w:sz w:val="22"/>
          <w:szCs w:val="22"/>
        </w:rPr>
        <w:t xml:space="preserve">Tabela 3 – Situação dos 12.922 pares município–safra segundo os símbolos do SIDRA. Fonte: elaboração própria a partir de IBGE/SIDRA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00"/>
        <w:gridCol w:w="3400"/>
        <w:gridCol w:w="2800"/>
      </w:tblGrid>
      <w:tr>
        <w:trPr>
          <w:cantSplit/>
          <w:tblHeader/>
        </w:trPr>
        <w:tc>
          <w:tcPr>
            <w:tcW w:w="2300" w:type="dxa"/>
            <w:shd w:val="clear" w:color="auto" w:fill="D9D9D9"/>
            <w:tcMar>
              <w:top w:w="80" w:type="dxa"/>
              <w:left w:w="100" w:type="dxa"/>
              <w:bottom w:w="80" w:type="dxa"/>
              <w:right w:w="100" w:type="dxa"/>
            </w:tcMar>
          </w:tcPr>
          <w:p>
            <w:pPr>
              <w:keepNext/>
            </w:pPr>
            <w:r>
              <w:rPr>
                <w:b/>
                <w:bCs/>
                <w:sz w:val="22"/>
                <w:szCs w:val="22"/>
              </w:rPr>
              <w:t xml:space="preserve">Situação</w:t>
            </w:r>
          </w:p>
        </w:tc>
        <w:tc>
          <w:tcPr>
            <w:tcW w:w="3400" w:type="dxa"/>
            <w:shd w:val="clear" w:color="auto" w:fill="D9D9D9"/>
            <w:tcMar>
              <w:top w:w="80" w:type="dxa"/>
              <w:left w:w="100" w:type="dxa"/>
              <w:bottom w:w="80" w:type="dxa"/>
              <w:right w:w="100" w:type="dxa"/>
            </w:tcMar>
          </w:tcPr>
          <w:p>
            <w:pPr>
              <w:keepNext/>
            </w:pPr>
            <w:r>
              <w:rPr>
                <w:b/>
                <w:bCs/>
                <w:sz w:val="22"/>
                <w:szCs w:val="22"/>
              </w:rPr>
              <w:t xml:space="preserve">Regra e casos</w:t>
            </w:r>
          </w:p>
        </w:tc>
        <w:tc>
          <w:tcPr>
            <w:tcW w:w="2800" w:type="dxa"/>
            <w:shd w:val="clear" w:color="auto" w:fill="D9D9D9"/>
            <w:tcMar>
              <w:top w:w="80" w:type="dxa"/>
              <w:left w:w="100" w:type="dxa"/>
              <w:bottom w:w="80" w:type="dxa"/>
              <w:right w:w="100" w:type="dxa"/>
            </w:tcMar>
          </w:tcPr>
          <w:p>
            <w:pPr>
              <w:keepNext/>
            </w:pPr>
            <w:r>
              <w:rPr>
                <w:b/>
                <w:bCs/>
                <w:sz w:val="22"/>
                <w:szCs w:val="22"/>
              </w:rPr>
              <w:t xml:space="preserve">Pares</w:t>
            </w:r>
          </w:p>
        </w:tc>
      </w:tr>
      <w:tr>
        <w:trPr>
          <w:cantSplit/>
        </w:trPr>
        <w:tc>
          <w:tcPr>
            <w:tcW w:w="2300" w:type="dxa"/>
            <w:tcMar>
              <w:top w:w="80" w:type="dxa"/>
              <w:left w:w="100" w:type="dxa"/>
              <w:bottom w:w="80" w:type="dxa"/>
              <w:right w:w="100" w:type="dxa"/>
            </w:tcMar>
          </w:tcPr>
          <w:p>
            <w:pPr>
              <w:keepNext/>
            </w:pPr>
            <w:r>
              <w:rPr>
                <w:sz w:val="22"/>
                <w:szCs w:val="22"/>
              </w:rPr>
              <w:t xml:space="preserve">Com rendimento</w:t>
            </w:r>
          </w:p>
        </w:tc>
        <w:tc>
          <w:tcPr>
            <w:tcW w:w="3400" w:type="dxa"/>
            <w:tcMar>
              <w:top w:w="80" w:type="dxa"/>
              <w:left w:w="100" w:type="dxa"/>
              <w:bottom w:w="80" w:type="dxa"/>
              <w:right w:w="100" w:type="dxa"/>
            </w:tcMar>
          </w:tcPr>
          <w:p>
            <w:pPr>
              <w:keepNext/>
            </w:pPr>
            <w:r>
              <w:rPr>
                <w:sz w:val="22"/>
                <w:szCs w:val="22"/>
              </w:rPr>
              <w:t xml:space="preserve">Rendimento numérico</w:t>
            </w:r>
          </w:p>
        </w:tc>
        <w:tc>
          <w:tcPr>
            <w:tcW w:w="2800" w:type="dxa"/>
            <w:tcMar>
              <w:top w:w="80" w:type="dxa"/>
              <w:left w:w="100" w:type="dxa"/>
              <w:bottom w:w="80" w:type="dxa"/>
              <w:right w:w="100" w:type="dxa"/>
            </w:tcMar>
          </w:tcPr>
          <w:p>
            <w:pPr>
              <w:keepNext/>
            </w:pPr>
            <w:r>
              <w:rPr>
                <w:sz w:val="22"/>
                <w:szCs w:val="22"/>
              </w:rPr>
              <w:t xml:space="preserve">10.540</w:t>
            </w:r>
          </w:p>
        </w:tc>
      </w:tr>
      <w:tr>
        <w:trPr>
          <w:cantSplit/>
        </w:trPr>
        <w:tc>
          <w:tcPr>
            <w:tcW w:w="2300" w:type="dxa"/>
            <w:tcMar>
              <w:top w:w="80" w:type="dxa"/>
              <w:left w:w="100" w:type="dxa"/>
              <w:bottom w:w="80" w:type="dxa"/>
              <w:right w:w="100" w:type="dxa"/>
            </w:tcMar>
          </w:tcPr>
          <w:p>
            <w:pPr>
              <w:keepNext/>
            </w:pPr>
            <w:r>
              <w:rPr>
                <w:sz w:val="22"/>
                <w:szCs w:val="22"/>
              </w:rPr>
              <w:t xml:space="preserve">Sem cultivo</w:t>
            </w:r>
          </w:p>
        </w:tc>
        <w:tc>
          <w:tcPr>
            <w:tcW w:w="3400" w:type="dxa"/>
            <w:tcMar>
              <w:top w:w="80" w:type="dxa"/>
              <w:left w:w="100" w:type="dxa"/>
              <w:bottom w:w="80" w:type="dxa"/>
              <w:right w:w="100" w:type="dxa"/>
            </w:tcMar>
          </w:tcPr>
          <w:p>
            <w:pPr>
              <w:keepNext/>
            </w:pPr>
            <w:r>
              <w:rPr>
                <w:sz w:val="22"/>
                <w:szCs w:val="22"/>
              </w:rPr>
              <w:t xml:space="preserve">Área plantada “-” (zero)</w:t>
            </w:r>
          </w:p>
        </w:tc>
        <w:tc>
          <w:tcPr>
            <w:tcW w:w="2800" w:type="dxa"/>
            <w:tcMar>
              <w:top w:w="80" w:type="dxa"/>
              <w:left w:w="100" w:type="dxa"/>
              <w:bottom w:w="80" w:type="dxa"/>
              <w:right w:w="100" w:type="dxa"/>
            </w:tcMar>
          </w:tcPr>
          <w:p>
            <w:pPr>
              <w:keepNext/>
            </w:pPr>
            <w:r>
              <w:rPr>
                <w:sz w:val="22"/>
                <w:szCs w:val="22"/>
              </w:rPr>
              <w:t xml:space="preserve">2.308</w:t>
            </w:r>
          </w:p>
        </w:tc>
      </w:tr>
      <w:tr>
        <w:trPr>
          <w:cantSplit/>
        </w:trPr>
        <w:tc>
          <w:tcPr>
            <w:tcW w:w="2300" w:type="dxa"/>
            <w:tcMar>
              <w:top w:w="80" w:type="dxa"/>
              <w:left w:w="100" w:type="dxa"/>
              <w:bottom w:w="80" w:type="dxa"/>
              <w:right w:w="100" w:type="dxa"/>
            </w:tcMar>
          </w:tcPr>
          <w:p>
            <w:pPr>
              <w:keepNext/>
            </w:pPr>
            <w:r>
              <w:rPr>
                <w:sz w:val="22"/>
                <w:szCs w:val="22"/>
              </w:rPr>
              <w:t xml:space="preserve">Dado não disponível</w:t>
            </w:r>
          </w:p>
        </w:tc>
        <w:tc>
          <w:tcPr>
            <w:tcW w:w="3400" w:type="dxa"/>
            <w:tcMar>
              <w:top w:w="80" w:type="dxa"/>
              <w:left w:w="100" w:type="dxa"/>
              <w:bottom w:w="80" w:type="dxa"/>
              <w:right w:w="100" w:type="dxa"/>
            </w:tcMar>
          </w:tcPr>
          <w:p>
            <w:pPr>
              <w:keepNext/>
            </w:pPr>
            <w:r>
              <w:rPr>
                <w:sz w:val="22"/>
                <w:szCs w:val="22"/>
              </w:rPr>
              <w:t xml:space="preserve">“...”: 29 municípios em 2000 (instalados em 2001), Pinto Bandeira (2000–2012), Cachoeirinha (2014–2025) e Imbé (2020)</w:t>
            </w:r>
          </w:p>
        </w:tc>
        <w:tc>
          <w:tcPr>
            <w:tcW w:w="2800" w:type="dxa"/>
            <w:tcMar>
              <w:top w:w="80" w:type="dxa"/>
              <w:left w:w="100" w:type="dxa"/>
              <w:bottom w:w="80" w:type="dxa"/>
              <w:right w:w="100" w:type="dxa"/>
            </w:tcMar>
          </w:tcPr>
          <w:p>
            <w:pPr>
              <w:keepNext/>
            </w:pPr>
            <w:r>
              <w:rPr>
                <w:sz w:val="22"/>
                <w:szCs w:val="22"/>
              </w:rPr>
              <w:t xml:space="preserve">54</w:t>
            </w:r>
          </w:p>
        </w:tc>
      </w:tr>
      <w:tr>
        <w:trPr>
          <w:cantSplit/>
        </w:trPr>
        <w:tc>
          <w:tcPr>
            <w:tcW w:w="2300" w:type="dxa"/>
            <w:tcMar>
              <w:top w:w="80" w:type="dxa"/>
              <w:left w:w="100" w:type="dxa"/>
              <w:bottom w:w="80" w:type="dxa"/>
              <w:right w:w="100" w:type="dxa"/>
            </w:tcMar>
          </w:tcPr>
          <w:p>
            <w:r>
              <w:rPr>
                <w:sz w:val="22"/>
                <w:szCs w:val="22"/>
              </w:rPr>
              <w:t xml:space="preserve">Perda total</w:t>
            </w:r>
          </w:p>
        </w:tc>
        <w:tc>
          <w:tcPr>
            <w:tcW w:w="3400" w:type="dxa"/>
            <w:tcMar>
              <w:top w:w="80" w:type="dxa"/>
              <w:left w:w="100" w:type="dxa"/>
              <w:bottom w:w="80" w:type="dxa"/>
              <w:right w:w="100" w:type="dxa"/>
            </w:tcMar>
          </w:tcPr>
          <w:p>
            <w:r>
              <w:rPr>
                <w:sz w:val="22"/>
                <w:szCs w:val="22"/>
              </w:rPr>
              <w:t xml:space="preserve">Área plantada &gt; 0 e área colhida zero</w:t>
            </w:r>
            <w:r>
              <w:rPr>
                <w:sz w:val="22"/>
                <w:szCs w:val="22"/>
                <w:vertAlign w:val="subscript"/>
              </w:rPr>
              <w:t xml:space="preserve"/>
            </w:r>
            <w:r>
              <w:rPr>
                <w:sz w:val="22"/>
                <w:szCs w:val="22"/>
              </w:rPr>
              <w:t xml:space="preserve"/>
            </w:r>
            <w:r>
              <w:rPr>
                <w:sz w:val="22"/>
                <w:szCs w:val="22"/>
                <w:vertAlign w:val="subscript"/>
              </w:rPr>
              <w:t xml:space="preserve"/>
            </w:r>
            <w:r>
              <w:rPr>
                <w:sz w:val="22"/>
                <w:szCs w:val="22"/>
              </w:rPr>
              <w:t xml:space="preserve"/>
            </w:r>
            <w:r>
              <w:rPr>
                <w:sz w:val="22"/>
                <w:szCs w:val="22"/>
                <w:vertAlign w:val="subscript"/>
              </w:rPr>
              <w:t xml:space="preserve"/>
            </w:r>
            <w:r>
              <w:rPr>
                <w:sz w:val="22"/>
                <w:szCs w:val="22"/>
              </w:rPr>
              <w:t xml:space="preserve"/>
            </w:r>
          </w:p>
        </w:tc>
        <w:tc>
          <w:tcPr>
            <w:tcW w:w="2800" w:type="dxa"/>
            <w:tcMar>
              <w:top w:w="80" w:type="dxa"/>
              <w:left w:w="100" w:type="dxa"/>
              <w:bottom w:w="80" w:type="dxa"/>
              <w:right w:w="100" w:type="dxa"/>
            </w:tcMar>
          </w:tcPr>
          <w:p>
            <w:r>
              <w:rPr>
                <w:sz w:val="22"/>
                <w:szCs w:val="22"/>
              </w:rPr>
              <w:t xml:space="preserve">20</w:t>
            </w:r>
          </w:p>
        </w:tc>
      </w:tr>
    </w:tbl>
    <w:p>
      <w:pPr>
        <w:keepNext/>
        <w:spacing w:before="200" w:after="60"/>
        <w:jc w:val="center"/>
      </w:pPr>
      <w:r>
        <w:drawing>
          <wp:inline distT="0" distB="0" distL="0" distR="0">
            <wp:extent cx="5400040" cy="2700020"/>
            <wp:effectExtent l="0" t="0" r="0" b="0"/>
            <wp:docPr id="901" name="Imagem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7"/>
                    <a:stretch>
                      <a:fillRect/>
                    </a:stretch>
                  </pic:blipFill>
                  <pic:spPr>
                    <a:xfrm>
                      <a:off x="0" y="0"/>
                      <a:ext cx="5400040" cy="2700020"/>
                    </a:xfrm>
                    <a:prstGeom prst="rect">
                      <a:avLst/>
                    </a:prstGeom>
                  </pic:spPr>
                </pic:pic>
              </a:graphicData>
            </a:graphic>
          </wp:inline>
        </w:drawing>
      </w:r>
    </w:p>
    <w:p>
      <w:pPr>
        <w:spacing w:before="120" w:after="300"/>
        <w:jc w:val="center"/>
      </w:pPr>
      <w:r>
        <w:rPr>
          <w:i/>
          <w:iCs/>
          <w:sz w:val="22"/>
          <w:szCs w:val="22"/>
        </w:rPr>
        <w:t xml:space="preserve">Figura 1 – Rendimento médio da soja nos municípios do RS, por safra (2000–2025). Fonte: elaboração própria a partir de IBGE/SIDRA (2026).</w:t>
      </w:r>
    </w:p>
    <w:p>
      <w:pPr>
        <w:spacing w:after="200" w:line="276" w:lineRule="auto"/>
        <w:ind w:firstLine="720"/>
        <w:jc w:val="both"/>
      </w:pPr>
      <w:r>
        <w:rPr>
          <w:sz w:val="24"/>
          <w:szCs w:val="24"/>
        </w:rPr>
        <w:t xml:space="preserve">A série de rendimento médio estadual reproduz corretamente eventos climáticos conhecidos, com destaque para a quebra de safra de 2004/2005 (rendimento médio de apenas 662 kg/ha, o menor da série), coincidindo com a grande seca histórica registrada no Rio Grande do Sul naquele período.</w:t>
      </w:r>
    </w:p>
    <w:p>
      <w:pPr>
        <w:keepNext/>
        <w:spacing w:before="200" w:after="60"/>
        <w:jc w:val="center"/>
      </w:pPr>
      <w:r>
        <w:drawing>
          <wp:inline distT="0" distB="0" distL="0" distR="0">
            <wp:extent cx="5400040" cy="3780028"/>
            <wp:effectExtent l="0" t="0" r="0" b="0"/>
            <wp:docPr id="902" name="Imagem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pic:cNvPicPr/>
                  </pic:nvPicPr>
                  <pic:blipFill>
                    <a:blip r:embed="rId8"/>
                    <a:stretch>
                      <a:fillRect/>
                    </a:stretch>
                  </pic:blipFill>
                  <pic:spPr>
                    <a:xfrm>
                      <a:off x="0" y="0"/>
                      <a:ext cx="5400040" cy="3780028"/>
                    </a:xfrm>
                    <a:prstGeom prst="rect">
                      <a:avLst/>
                    </a:prstGeom>
                  </pic:spPr>
                </pic:pic>
              </a:graphicData>
            </a:graphic>
          </wp:inline>
        </w:drawing>
      </w:r>
    </w:p>
    <w:p>
      <w:pPr>
        <w:spacing w:before="120" w:after="300"/>
        <w:jc w:val="center"/>
      </w:pPr>
      <w:r>
        <w:rPr>
          <w:i/>
          <w:iCs/>
          <w:sz w:val="22"/>
          <w:szCs w:val="22"/>
        </w:rPr>
        <w:t xml:space="preserve">Figura 2 – Rendimento médio da soja por fase do ENOS, classificada pelo ONI médio da safra (RS, 2000–2025). Fonte: elaboração própria a partir de IBGE/SIDRA e NOAA/CPC (2026).</w:t>
      </w:r>
    </w:p>
    <w:p>
      <w:pPr>
        <w:spacing w:after="200" w:line="276" w:lineRule="auto"/>
        <w:ind w:firstLine="720"/>
        <w:jc w:val="both"/>
      </w:pPr>
      <w:r>
        <w:rPr>
          <w:sz w:val="24"/>
          <w:szCs w:val="24"/>
        </w:rPr>
        <w:t xml:space="preserve">Considerando todos os pares município-safra, o rendimento médio observado sob La Niña (≈2.151 kg/ha) é inferior ao observado em safras neutras (≈2.432 kg/ha) e sob El Niño (≈2.395 kg/ha). Esse resultado é compatível com [Pilau et al. 2022, Nóia Júnior et al. 2020], que descrevem efeitos negativos consistentes da fase fria do ENOS sobre a produtividade da soja no sul do Brasil, e reforça o uso do ONI como atributo do modelo.</w:t>
      </w:r>
    </w:p>
    <w:p>
      <w:pPr>
        <w:keepNext/>
        <w:spacing w:before="200" w:after="60"/>
        <w:jc w:val="center"/>
      </w:pPr>
      <w:r>
        <w:drawing>
          <wp:inline distT="0" distB="0" distL="0" distR="0">
            <wp:extent cx="5400040" cy="3960029"/>
            <wp:effectExtent l="0" t="0" r="0" b="0"/>
            <wp:docPr id="903" name="Imagem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
                    <pic:cNvPicPr/>
                  </pic:nvPicPr>
                  <pic:blipFill>
                    <a:blip r:embed="rId9"/>
                    <a:stretch>
                      <a:fillRect/>
                    </a:stretch>
                  </pic:blipFill>
                  <pic:spPr>
                    <a:xfrm>
                      <a:off x="0" y="0"/>
                      <a:ext cx="5400040" cy="3960029"/>
                    </a:xfrm>
                    <a:prstGeom prst="rect">
                      <a:avLst/>
                    </a:prstGeom>
                  </pic:spPr>
                </pic:pic>
              </a:graphicData>
            </a:graphic>
          </wp:inline>
        </w:drawing>
      </w:r>
    </w:p>
    <w:p>
      <w:pPr>
        <w:spacing w:before="120" w:after="300"/>
        <w:jc w:val="center"/>
      </w:pPr>
      <w:r>
        <w:rPr>
          <w:i/>
          <w:iCs/>
          <w:sz w:val="22"/>
          <w:szCs w:val="22"/>
        </w:rPr>
        <w:t xml:space="preserve">Figura 3 – Matriz de correlação entre as variáveis do painel município–safra (RS, 2000–2025). Fonte: elaboração própria (2026).</w:t>
      </w:r>
    </w:p>
    <w:p>
      <w:pPr>
        <w:spacing w:after="200" w:line="276" w:lineRule="auto"/>
        <w:ind w:firstLine="720"/>
        <w:jc w:val="both"/>
      </w:pPr>
      <w:r>
        <w:rPr>
          <w:sz w:val="24"/>
          <w:szCs w:val="24"/>
        </w:rPr>
        <w:t xml:space="preserve">No nível município-safra (sem separar por município), a correlação entre rendimento e ONI médio da safra é fraca (≈0,22) e entre rendimento e precipitação acumulada na safra é moderada (≈0,38) – coerente com a literatura, mas mostra que variáveis agregadas simples não bastam sozinhas. A hipótese de que Random Forest e Gradient Boosting capturariam melhor as interações não lineares é avaliada na Seção 6. Limitações identificadas na base: (i) a janela do ONI usada é uma primeira aproximação; (ii) municípios distantes das 45 estações do INMET têm o clima estimado por uma estação potencialmente distante; (iii) períodos em que a estação estava em pane geram dados ausentes; (iv) a adubação fosfatada não é uma série observada (Seção 6.6).</w:t>
      </w:r>
    </w:p>
    <w:p>
      <w:pPr>
        <w:keepNext/>
      </w:pPr>
      <w:r>
        <w:rPr>
          <w:b/>
          <w:bCs/>
          <w:sz w:val="28"/>
          <w:szCs w:val="28"/>
        </w:rPr>
        <w:t>5. Metodologia</w:t>
      </w:r>
    </w:p>
    <w:p>
      <w:pPr>
        <w:spacing w:after="200" w:line="276" w:lineRule="auto"/>
        <w:ind w:firstLine="720"/>
        <w:jc w:val="both"/>
      </w:pPr>
      <w:r>
        <w:rPr>
          <w:sz w:val="24"/>
          <w:szCs w:val="24"/>
        </w:rPr>
        <w:t xml:space="preserve">A pesquisa é aplicada, quantitativa e preditiva, com unidade de análise município–safra, restrita ao Rio Grande do Sul. A modelagem foi conduzida em quatro etapas, cada uma motivada pelo diagnóstico dos erros da anterior; todas estão em notebooks Python no GitHub do projeto. Duas alternativas de série temporal foram consideradas e descartadas: uma série agregada por estado (eliminaria a granularidade municipal) e um modelo de série temporal global (ex.: DeepAR, N-BEATS), por desproporção entre esforço e prazo e pelo tamanho reduzido da base.</w:t>
      </w:r>
    </w:p>
    <w:p>
      <w:pPr>
        <w:keepNext/>
        <w:spacing w:before="280" w:after="160"/>
      </w:pPr>
      <w:r>
        <w:rPr>
          <w:b/>
          <w:bCs/>
          <w:sz w:val="24"/>
          <w:szCs w:val="24"/>
        </w:rPr>
        <w:t>5.1 Variáveis climáticas por subperíodo e balanço hídrico</w:t>
      </w:r>
    </w:p>
    <w:p>
      <w:pPr>
        <w:spacing w:after="200" w:line="276" w:lineRule="auto"/>
        <w:ind w:firstLine="720"/>
        <w:jc w:val="both"/>
      </w:pPr>
      <w:r>
        <w:rPr>
          <w:sz w:val="24"/>
          <w:szCs w:val="24"/>
        </w:rPr>
        <w:t xml:space="preserve">A primeira versão dos modelos usou apenas a chuva total e a temperatura média de outubro a março. Como esse resumo não distingue </w:t>
      </w:r>
      <w:r>
        <w:rPr>
          <w:i/>
          <w:iCs/>
          <w:sz w:val="24"/>
          <w:szCs w:val="24"/>
        </w:rPr>
        <w:t xml:space="preserve">quando</w:t>
      </w:r>
      <w:r>
        <w:rPr>
          <w:sz w:val="24"/>
          <w:szCs w:val="24"/>
        </w:rPr>
        <w:t xml:space="preserve"> a chuva ocorreu, o clima diário do INMET foi reagregado em subperíodos do ciclo da soja no RS: out–nov (semeadura), dez–fev (floração e enchimento de grãos, período crítico) e março (maturação). Para dez–fev foram calculados também a maior sequência de dias secos (&lt; 1 mm), o número de dias com temperatura máxima ≥ 32 °C, a média da temperatura máxima e a média da umidade relativa mínima. Cada variável só é calculada se a estação tiver dado em pelo menos 80% dos dias do subperíodo.</w:t>
      </w:r>
    </w:p>
    <w:p>
      <w:pPr>
        <w:spacing w:after="200" w:line="276" w:lineRule="auto"/>
        <w:ind w:firstLine="720"/>
        <w:jc w:val="both"/>
      </w:pPr>
      <w:r>
        <w:rPr>
          <w:sz w:val="24"/>
          <w:szCs w:val="24"/>
        </w:rPr>
        <w:t xml:space="preserve">Como chuva e umidade não medem diretamente a falta de água no solo, foi calculado um balanço hídrico diário por estação. A evapotranspiração de referência foi estimada pelo método de Hargreaves–Samani [Hargreaves e Samani 1985], recomendado pela FAO quando não há medição de radiação solar [Allen et al. 1998]:</w:t>
      </w:r>
    </w:p>
    <w:p>
      <w:pPr>
        <w:spacing w:before="120" w:after="200"/>
        <w:jc w:val="center"/>
      </w:pPr>
      <w:r>
        <w:rPr>
          <w:i/>
          <w:iCs/>
          <w:sz w:val="24"/>
          <w:szCs w:val="24"/>
        </w:rPr>
        <w:t xml:space="preserve">ET</w:t>
      </w:r>
      <w:r>
        <w:rPr>
          <w:i/>
          <w:iCs/>
          <w:sz w:val="24"/>
          <w:szCs w:val="24"/>
          <w:vertAlign w:val="subscript"/>
        </w:rPr>
        <w:t xml:space="preserve">o</w:t>
      </w:r>
      <w:r>
        <w:rPr>
          <w:i/>
          <w:iCs/>
          <w:sz w:val="24"/>
          <w:szCs w:val="24"/>
        </w:rPr>
        <w:t xml:space="preserve"> = 0,0023 · 0,408 R</w:t>
      </w:r>
      <w:r>
        <w:rPr>
          <w:i/>
          <w:iCs/>
          <w:sz w:val="24"/>
          <w:szCs w:val="24"/>
          <w:vertAlign w:val="subscript"/>
        </w:rPr>
        <w:t xml:space="preserve">a</w:t>
      </w:r>
      <w:r>
        <w:rPr>
          <w:i/>
          <w:iCs/>
          <w:sz w:val="24"/>
          <w:szCs w:val="24"/>
        </w:rPr>
        <w:t xml:space="preserve"> · (T</w:t>
      </w:r>
      <w:r>
        <w:rPr>
          <w:i/>
          <w:iCs/>
          <w:sz w:val="24"/>
          <w:szCs w:val="24"/>
          <w:vertAlign w:val="subscript"/>
        </w:rPr>
        <w:t xml:space="preserve">med</w:t>
      </w:r>
      <w:r>
        <w:rPr>
          <w:i/>
          <w:iCs/>
          <w:sz w:val="24"/>
          <w:szCs w:val="24"/>
        </w:rPr>
        <w:t xml:space="preserve"> + 17,8) · √(T</w:t>
      </w:r>
      <w:r>
        <w:rPr>
          <w:i/>
          <w:iCs/>
          <w:sz w:val="24"/>
          <w:szCs w:val="24"/>
          <w:vertAlign w:val="subscript"/>
        </w:rPr>
        <w:t xml:space="preserve">max</w:t>
      </w:r>
      <w:r>
        <w:rPr>
          <w:i/>
          <w:iCs/>
          <w:sz w:val="24"/>
          <w:szCs w:val="24"/>
        </w:rPr>
        <w:t xml:space="preserve"> − T</w:t>
      </w:r>
      <w:r>
        <w:rPr>
          <w:i/>
          <w:iCs/>
          <w:sz w:val="24"/>
          <w:szCs w:val="24"/>
          <w:vertAlign w:val="subscript"/>
        </w:rPr>
        <w:t xml:space="preserve">min</w:t>
      </w:r>
      <w:r>
        <w:rPr>
          <w:i/>
          <w:iCs/>
          <w:sz w:val="24"/>
          <w:szCs w:val="24"/>
        </w:rPr>
        <w:t xml:space="preserve">)</w:t>
      </w:r>
    </w:p>
    <w:p>
      <w:pPr>
        <w:spacing w:after="200" w:line="276" w:lineRule="auto"/>
        <w:jc w:val="both"/>
      </w:pPr>
      <w:r>
        <w:rPr>
          <w:sz w:val="24"/>
          <w:szCs w:val="24"/>
        </w:rPr>
        <w:t xml:space="preserve">em que R</w:t>
      </w:r>
      <w:r>
        <w:rPr>
          <w:sz w:val="24"/>
          <w:szCs w:val="24"/>
          <w:vertAlign w:val="subscript"/>
        </w:rPr>
        <w:t xml:space="preserve">a</w:t>
      </w:r>
      <w:r>
        <w:rPr>
          <w:sz w:val="24"/>
          <w:szCs w:val="24"/>
        </w:rPr>
        <w:t xml:space="preserve"> é a radiação no topo da atmosfera, calculada a partir da latitude da estação e do dia do ano. O solo foi representado como um reservatório (modelo de balde) com capacidade de água disponível (CAD) de 75 mm, cheio em 1º de outubro; a cada dia entra a chuva e sai a evapotranspiração, e a parcela da demanda não atendida quando o reservatório se esgota é o déficit hídrico do dia. A variável usada é o déficit acumulado em dez–fev. Duas hipóteses são declaradas: CAD única para todo o estado e coeficiente de cultura igual a 1. A sensibilidade à CAD foi testada (50 e 100 mm) e não alterou o resultado.</w:t>
      </w:r>
    </w:p>
    <w:p>
      <w:pPr>
        <w:keepNext/>
        <w:spacing w:before="280" w:after="160"/>
      </w:pPr>
      <w:r>
        <w:rPr>
          <w:b/>
          <w:bCs/>
          <w:sz w:val="24"/>
          <w:szCs w:val="24"/>
        </w:rPr>
        <w:t>5.2 Patamar esperado e modelos</w:t>
      </w:r>
    </w:p>
    <w:p>
      <w:pPr>
        <w:spacing w:after="200" w:line="276" w:lineRule="auto"/>
        <w:ind w:firstLine="720"/>
        <w:jc w:val="both"/>
      </w:pPr>
      <w:r>
        <w:rPr>
          <w:sz w:val="24"/>
          <w:szCs w:val="24"/>
        </w:rPr>
        <w:t xml:space="preserve">Cada previsão é a soma de um </w:t>
      </w:r>
      <w:r>
        <w:rPr>
          <w:b/>
          <w:bCs/>
          <w:sz w:val="24"/>
          <w:szCs w:val="24"/>
        </w:rPr>
        <w:t xml:space="preserve">patamar</w:t>
      </w:r>
      <w:r>
        <w:rPr>
          <w:sz w:val="24"/>
          <w:szCs w:val="24"/>
        </w:rPr>
        <w:t xml:space="preserve"> – o rendimento esperado do município numa safra normal – e de um </w:t>
      </w:r>
      <w:r>
        <w:rPr>
          <w:b/>
          <w:bCs/>
          <w:sz w:val="24"/>
          <w:szCs w:val="24"/>
        </w:rPr>
        <w:t xml:space="preserve">desvio</w:t>
      </w:r>
      <w:r>
        <w:rPr>
          <w:sz w:val="24"/>
          <w:szCs w:val="24"/>
        </w:rPr>
        <w:t xml:space="preserve"> explicado pelo clima. Quatro formas de patamar foram comparadas, todas calculadas apenas com as safras já publicadas na data da previsão (até Y−2): reta de tendência estadual com todo o histórico, média móvel das 5 últimas safras publicadas do município (Y−6 a Y−2), média olímpica dessas 5 safras (descartando a melhor e a pior) e reta das 10 últimas safras publicadas. A média móvel de 5 safras teve o melhor desempenho e foi adotada.</w:t>
      </w:r>
    </w:p>
    <w:p>
      <w:pPr>
        <w:spacing w:after="200" w:line="276" w:lineRule="auto"/>
        <w:ind w:firstLine="720"/>
        <w:jc w:val="both"/>
      </w:pPr>
      <w:r>
        <w:rPr>
          <w:sz w:val="24"/>
          <w:szCs w:val="24"/>
        </w:rPr>
        <w:t xml:space="preserve">O desvio foi modelado por: (F) regressão linear reduzida, com uma variável por fenômeno – chuva de out–nov, chuva de dez–fev e seu quadrado, chuva de março, dias de calor e umidade mínima de dez–fev; (H1) F acrescida do déficit hídrico; (H2) H1 acrescida de dois termos de seca extrema, max(0, U</w:t>
      </w:r>
      <w:r>
        <w:rPr>
          <w:sz w:val="24"/>
          <w:szCs w:val="24"/>
          <w:vertAlign w:val="subscript"/>
        </w:rPr>
        <w:t xml:space="preserve">20</w:t>
      </w:r>
      <w:r>
        <w:rPr>
          <w:sz w:val="24"/>
          <w:szCs w:val="24"/>
        </w:rPr>
        <w:t xml:space="preserve"> − U) e max(0, D − D</w:t>
      </w:r>
      <w:r>
        <w:rPr>
          <w:sz w:val="24"/>
          <w:szCs w:val="24"/>
          <w:vertAlign w:val="subscript"/>
        </w:rPr>
        <w:t xml:space="preserve">80</w:t>
      </w:r>
      <w:r>
        <w:rPr>
          <w:sz w:val="24"/>
          <w:szCs w:val="24"/>
        </w:rPr>
        <w:t xml:space="preserve">), em que U é a umidade mínima, D o déficit hídrico e U</w:t>
      </w:r>
      <w:r>
        <w:rPr>
          <w:sz w:val="24"/>
          <w:szCs w:val="24"/>
          <w:vertAlign w:val="subscript"/>
        </w:rPr>
        <w:t xml:space="preserve">20</w:t>
      </w:r>
      <w:r>
        <w:rPr>
          <w:sz w:val="24"/>
          <w:szCs w:val="24"/>
        </w:rPr>
        <w:t xml:space="preserve"> e D</w:t>
      </w:r>
      <w:r>
        <w:rPr>
          <w:sz w:val="24"/>
          <w:szCs w:val="24"/>
          <w:vertAlign w:val="subscript"/>
        </w:rPr>
        <w:t xml:space="preserve">80</w:t>
      </w:r>
      <w:r>
        <w:rPr>
          <w:sz w:val="24"/>
          <w:szCs w:val="24"/>
        </w:rPr>
        <w:t xml:space="preserve"> os níveis que delimitam as 20% safras mais secas do treino – esses termos valem zero em safras normais e permitem que a perda cresça mais rápido na seca forte; (GB) Gradient Boosting com todas as variáveis climáticas, o ONI e as do balanço hídrico; e a média simples de H2 e GB. Random Forest (500 árvores) foi avaliado nas primeiras etapas. Os hiperparâmetros das árvores foram fixados a priori (Gradient Boosting: taxa de aprendizado 0,05, até 500 iterações com parada antecipada). As linhas de base são a média histórica do município (todas as safras publicadas) e o rendimento da última safra publicada (Y−2), versão operacional da linha de base “safra anterior”. O modelo usa apenas informações disponíveis até 31 de março (a chuva de março é a última variável), permitindo a previsão cerca de um mês antes da colheita (abril–maio). Para medir quanto custa respeitar a defasagem de publicação, os modelos também foram avaliados com o patamar até Y−1, cenário que só seria possível com uma estimativa antecipada da safra anterior por município.</w:t>
      </w:r>
    </w:p>
    <w:p>
      <w:pPr>
        <w:keepNext/>
        <w:spacing w:before="280" w:after="160"/>
      </w:pPr>
      <w:r>
        <w:rPr>
          <w:b/>
          <w:bCs/>
          <w:sz w:val="24"/>
          <w:szCs w:val="24"/>
        </w:rPr>
        <w:t>5.3 Validação e métricas</w:t>
      </w:r>
    </w:p>
    <w:p>
      <w:pPr>
        <w:spacing w:after="200" w:line="276" w:lineRule="auto"/>
        <w:ind w:firstLine="720"/>
        <w:jc w:val="both"/>
      </w:pPr>
      <w:r>
        <w:rPr>
          <w:sz w:val="24"/>
          <w:szCs w:val="24"/>
        </w:rPr>
        <w:t xml:space="preserve">A base de modelagem tem 5.236 pares município–safra (448 municípios, safras 2006–2025) com rendimento, patamar e todas as variáveis climáticas. Foram usadas duas validações: (i) </w:t>
      </w:r>
      <w:r>
        <w:rPr>
          <w:b/>
          <w:bCs/>
          <w:sz w:val="24"/>
          <w:szCs w:val="24"/>
        </w:rPr>
        <w:t xml:space="preserve">corte temporal</w:t>
      </w:r>
      <w:r>
        <w:rPr>
          <w:sz w:val="24"/>
          <w:szCs w:val="24"/>
        </w:rPr>
        <w:t xml:space="preserve">, com treino até 2020 (3.645 linhas) e teste em 2021–2025 (1.591 linhas), que simula a previsão real nas safras mais recentes; e (ii) </w:t>
      </w:r>
      <w:r>
        <w:rPr>
          <w:b/>
          <w:bCs/>
          <w:sz w:val="24"/>
          <w:szCs w:val="24"/>
        </w:rPr>
        <w:t xml:space="preserve">deixando uma safra de fora</w:t>
      </w:r>
      <w:r>
        <w:rPr>
          <w:sz w:val="24"/>
          <w:szCs w:val="24"/>
        </w:rPr>
        <w:t xml:space="preserve">, em que cada safra de 2008 a 2025 é prevista por um modelo treinado com todas as demais (5.125 linhas avaliadas), medindo a estabilidade da relação clima–rendimento. Na segunda validação o clima é ajustado também com safras posteriores à prevista, o que é próprio dela, mas o patamar continua usando só safras publicadas. No corte temporal, a rigor, o rendimento de 2020 ainda não estaria publicado em março de 2021 e entra no treino do clima; o efeito se limita aos coeficientes do clima e a uma das cinco safras de teste. As métricas são RMSE, MAE, R</w:t>
      </w:r>
      <w:r>
        <w:rPr>
          <w:sz w:val="24"/>
          <w:szCs w:val="24"/>
          <w:vertAlign w:val="superscript"/>
        </w:rPr>
        <w:t xml:space="preserve">2</w:t>
      </w:r>
      <w:r>
        <w:rPr>
          <w:sz w:val="24"/>
          <w:szCs w:val="24"/>
        </w:rPr>
        <w:t xml:space="preserve"> e viés médio (previsto − observado). O modelo final é o de menor RMSE médio nas duas validações.</w:t>
      </w:r>
    </w:p>
    <w:p>
      <w:pPr>
        <w:keepNext/>
      </w:pPr>
      <w:r>
        <w:rPr>
          <w:b/>
          <w:bCs/>
          <w:sz w:val="28"/>
          <w:szCs w:val="28"/>
        </w:rPr>
        <w:t>6. Resultados</w:t>
      </w:r>
    </w:p>
    <w:p>
      <w:pPr>
        <w:keepNext/>
        <w:spacing w:before="280" w:after="160"/>
      </w:pPr>
      <w:r>
        <w:rPr>
          <w:b/>
          <w:bCs/>
          <w:sz w:val="24"/>
          <w:szCs w:val="24"/>
        </w:rPr>
        <w:t>6.1 Evolução da modelagem</w:t>
      </w:r>
    </w:p>
    <w:p>
      <w:pPr>
        <w:spacing w:after="200" w:line="276" w:lineRule="auto"/>
        <w:ind w:firstLine="720"/>
        <w:jc w:val="both"/>
      </w:pPr>
      <w:r>
        <w:rPr>
          <w:sz w:val="24"/>
          <w:szCs w:val="24"/>
        </w:rPr>
        <w:t xml:space="preserve">A Tabela 4 resume as quatro etapas. Na Etapa 1, nenhum modelo superou a média do período de teste (R</w:t>
      </w:r>
      <w:r>
        <w:rPr>
          <w:sz w:val="24"/>
          <w:szCs w:val="24"/>
          <w:vertAlign w:val="superscript"/>
        </w:rPr>
        <w:t xml:space="preserve">2</w:t>
      </w:r>
      <w:r>
        <w:rPr>
          <w:sz w:val="24"/>
          <w:szCs w:val="24"/>
        </w:rPr>
        <w:t xml:space="preserve"> negativo): as safras 2021 e 2022 tiveram chuva total semelhante (≈700 e ≈660 mm), mas rendimento recorde e quebra, respectivamente – a diferença estava na chuva de dez–fev (≈360 × 200 mm). Na Etapa 2, o clima por subperíodo passou a explicar as safras, mas as previsões de 2021–2025 ficaram enviesadas para cima porque a tendência ajustada até 2020 projetava mais de 3.000 kg/ha, e a média observada em 2020–2025 foi de ≈2.370 kg/ha. Uma lição metodológica dessa etapa: a validação deixando uma safra de fora indicou R</w:t>
      </w:r>
      <w:r>
        <w:rPr>
          <w:sz w:val="24"/>
          <w:szCs w:val="24"/>
          <w:vertAlign w:val="superscript"/>
        </w:rPr>
        <w:t xml:space="preserve">2</w:t>
      </w:r>
      <w:r>
        <w:rPr>
          <w:sz w:val="24"/>
          <w:szCs w:val="24"/>
        </w:rPr>
        <w:t xml:space="preserve"> de 0,44, valor otimista porque a tendência usava safras posteriores à prevista; com o patamar calculado apenas com as safras publicadas (Etapa 3), o valor realista é ≈0,20.</w:t>
      </w:r>
    </w:p>
    <w:p>
      <w:pPr>
        <w:keepNext/>
        <w:spacing w:before="120" w:after="300"/>
        <w:jc w:val="center"/>
      </w:pPr>
      <w:r>
        <w:rPr>
          <w:i/>
          <w:iCs/>
          <w:sz w:val="22"/>
          <w:szCs w:val="22"/>
        </w:rPr>
        <w:t xml:space="preserve">Tabela 4 – Evolução da modelagem por etapa. RMSE em kg/ha (corte temporal / deixando uma safra de fora).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000"/>
        <w:gridCol w:w="3200"/>
        <w:gridCol w:w="4300"/>
      </w:tblGrid>
      <w:tr>
        <w:trPr>
          <w:cantSplit/>
          <w:tblHeader/>
        </w:trPr>
        <w:tc>
          <w:tcPr>
            <w:tcW w:w="1000" w:type="dxa"/>
            <w:shd w:val="clear" w:color="auto" w:fill="D9D9D9"/>
            <w:tcMar>
              <w:top w:w="80" w:type="dxa"/>
              <w:left w:w="100" w:type="dxa"/>
              <w:bottom w:w="80" w:type="dxa"/>
              <w:right w:w="100" w:type="dxa"/>
            </w:tcMar>
          </w:tcPr>
          <w:p>
            <w:pPr>
              <w:keepNext/>
            </w:pPr>
            <w:r>
              <w:rPr>
                <w:b/>
                <w:bCs/>
                <w:sz w:val="22"/>
                <w:szCs w:val="22"/>
              </w:rPr>
              <w:t xml:space="preserve">Etapa</w:t>
            </w:r>
          </w:p>
        </w:tc>
        <w:tc>
          <w:tcPr>
            <w:tcW w:w="3200" w:type="dxa"/>
            <w:shd w:val="clear" w:color="auto" w:fill="D9D9D9"/>
            <w:tcMar>
              <w:top w:w="80" w:type="dxa"/>
              <w:left w:w="100" w:type="dxa"/>
              <w:bottom w:w="80" w:type="dxa"/>
              <w:right w:w="100" w:type="dxa"/>
            </w:tcMar>
          </w:tcPr>
          <w:p>
            <w:pPr>
              <w:keepNext/>
            </w:pPr>
            <w:r>
              <w:rPr>
                <w:b/>
                <w:bCs/>
                <w:sz w:val="22"/>
                <w:szCs w:val="22"/>
              </w:rPr>
              <w:t xml:space="preserve">Mudança</w:t>
            </w:r>
          </w:p>
        </w:tc>
        <w:tc>
          <w:tcPr>
            <w:tcW w:w="4300" w:type="dxa"/>
            <w:shd w:val="clear" w:color="auto" w:fill="D9D9D9"/>
            <w:tcMar>
              <w:top w:w="80" w:type="dxa"/>
              <w:left w:w="100" w:type="dxa"/>
              <w:bottom w:w="80" w:type="dxa"/>
              <w:right w:w="100" w:type="dxa"/>
            </w:tcMar>
          </w:tcPr>
          <w:p>
            <w:pPr>
              <w:keepNext/>
            </w:pPr>
            <w:r>
              <w:rPr>
                <w:b/>
                <w:bCs/>
                <w:sz w:val="22"/>
                <w:szCs w:val="22"/>
              </w:rPr>
              <w:t xml:space="preserve">Resultado principal</w:t>
            </w:r>
          </w:p>
        </w:tc>
      </w:tr>
      <w:tr>
        <w:trPr>
          <w:cantSplit/>
        </w:trPr>
        <w:tc>
          <w:tcPr>
            <w:tcW w:w="1000" w:type="dxa"/>
            <w:tcMar>
              <w:top w:w="80" w:type="dxa"/>
              <w:left w:w="100" w:type="dxa"/>
              <w:bottom w:w="80" w:type="dxa"/>
              <w:right w:w="100" w:type="dxa"/>
            </w:tcMar>
          </w:tcPr>
          <w:p>
            <w:pPr>
              <w:keepNext/>
            </w:pPr>
            <w:r>
              <w:rPr>
                <w:sz w:val="22"/>
                <w:szCs w:val="22"/>
              </w:rPr>
              <w:t xml:space="preserve">1</w:t>
            </w:r>
          </w:p>
        </w:tc>
        <w:tc>
          <w:tcPr>
            <w:tcW w:w="3200" w:type="dxa"/>
            <w:tcMar>
              <w:top w:w="80" w:type="dxa"/>
              <w:left w:w="100" w:type="dxa"/>
              <w:bottom w:w="80" w:type="dxa"/>
              <w:right w:w="100" w:type="dxa"/>
            </w:tcMar>
          </w:tcPr>
          <w:p>
            <w:pPr>
              <w:keepNext/>
            </w:pPr>
            <w:r>
              <w:rPr>
                <w:sz w:val="22"/>
                <w:szCs w:val="22"/>
              </w:rPr>
              <w:t xml:space="preserve">Clima agregado (out–mar)</w:t>
            </w:r>
          </w:p>
        </w:tc>
        <w:tc>
          <w:tcPr>
            <w:tcW w:w="4300" w:type="dxa"/>
            <w:tcMar>
              <w:top w:w="80" w:type="dxa"/>
              <w:left w:w="100" w:type="dxa"/>
              <w:bottom w:w="80" w:type="dxa"/>
              <w:right w:w="100" w:type="dxa"/>
            </w:tcMar>
          </w:tcPr>
          <w:p>
            <w:pPr>
              <w:keepNext/>
            </w:pPr>
            <w:r>
              <w:rPr>
                <w:sz w:val="22"/>
                <w:szCs w:val="22"/>
              </w:rPr>
              <w:t xml:space="preserve">R</w:t>
            </w:r>
            <w:r>
              <w:rPr>
                <w:sz w:val="22"/>
                <w:szCs w:val="22"/>
                <w:vertAlign w:val="superscript"/>
              </w:rPr>
              <w:t xml:space="preserve">2</w:t>
            </w:r>
            <w:r>
              <w:rPr>
                <w:sz w:val="22"/>
                <w:szCs w:val="22"/>
              </w:rPr>
              <w:t xml:space="preserve"> &lt; 0 no teste 2021–2025 para todos os modelos.</w:t>
            </w:r>
          </w:p>
        </w:tc>
      </w:tr>
      <w:tr>
        <w:trPr>
          <w:cantSplit/>
        </w:trPr>
        <w:tc>
          <w:tcPr>
            <w:tcW w:w="1000" w:type="dxa"/>
            <w:tcMar>
              <w:top w:w="80" w:type="dxa"/>
              <w:left w:w="100" w:type="dxa"/>
              <w:bottom w:w="80" w:type="dxa"/>
              <w:right w:w="100" w:type="dxa"/>
            </w:tcMar>
          </w:tcPr>
          <w:p>
            <w:pPr>
              <w:keepNext/>
            </w:pPr>
            <w:r>
              <w:rPr>
                <w:sz w:val="22"/>
                <w:szCs w:val="22"/>
              </w:rPr>
              <w:t xml:space="preserve">2</w:t>
            </w:r>
          </w:p>
        </w:tc>
        <w:tc>
          <w:tcPr>
            <w:tcW w:w="3200" w:type="dxa"/>
            <w:tcMar>
              <w:top w:w="80" w:type="dxa"/>
              <w:left w:w="100" w:type="dxa"/>
              <w:bottom w:w="80" w:type="dxa"/>
              <w:right w:w="100" w:type="dxa"/>
            </w:tcMar>
          </w:tcPr>
          <w:p>
            <w:pPr>
              <w:keepNext/>
            </w:pPr>
            <w:r>
              <w:rPr>
                <w:sz w:val="22"/>
                <w:szCs w:val="22"/>
              </w:rPr>
              <w:t xml:space="preserve">Clima por subperíodo</w:t>
            </w:r>
          </w:p>
        </w:tc>
        <w:tc>
          <w:tcPr>
            <w:tcW w:w="4300" w:type="dxa"/>
            <w:tcMar>
              <w:top w:w="80" w:type="dxa"/>
              <w:left w:w="100" w:type="dxa"/>
              <w:bottom w:w="80" w:type="dxa"/>
              <w:right w:w="100" w:type="dxa"/>
            </w:tcMar>
          </w:tcPr>
          <w:p>
            <w:pPr>
              <w:keepNext/>
            </w:pPr>
            <w:r>
              <w:rPr>
                <w:sz w:val="22"/>
                <w:szCs w:val="22"/>
              </w:rPr>
              <w:t xml:space="preserve">Clima explica as safras, mas viés de +500 a +750 kg/ha em 2021–2025 pela tendência extrapolada.</w:t>
            </w:r>
          </w:p>
        </w:tc>
      </w:tr>
      <w:tr>
        <w:trPr>
          <w:cantSplit/>
        </w:trPr>
        <w:tc>
          <w:tcPr>
            <w:tcW w:w="1000" w:type="dxa"/>
            <w:tcMar>
              <w:top w:w="80" w:type="dxa"/>
              <w:left w:w="100" w:type="dxa"/>
              <w:bottom w:w="80" w:type="dxa"/>
              <w:right w:w="100" w:type="dxa"/>
            </w:tcMar>
          </w:tcPr>
          <w:p>
            <w:pPr>
              <w:keepNext/>
            </w:pPr>
            <w:r>
              <w:rPr>
                <w:sz w:val="22"/>
                <w:szCs w:val="22"/>
              </w:rPr>
              <w:t xml:space="preserve">3</w:t>
            </w:r>
          </w:p>
        </w:tc>
        <w:tc>
          <w:tcPr>
            <w:tcW w:w="3200" w:type="dxa"/>
            <w:tcMar>
              <w:top w:w="80" w:type="dxa"/>
              <w:left w:w="100" w:type="dxa"/>
              <w:bottom w:w="80" w:type="dxa"/>
              <w:right w:w="100" w:type="dxa"/>
            </w:tcMar>
          </w:tcPr>
          <w:p>
            <w:pPr>
              <w:keepNext/>
            </w:pPr>
            <w:r>
              <w:rPr>
                <w:sz w:val="22"/>
                <w:szCs w:val="22"/>
              </w:rPr>
              <w:t xml:space="preserve">Patamar com safras publicadas (média móvel 5 safras, até Y−2)</w:t>
            </w:r>
          </w:p>
        </w:tc>
        <w:tc>
          <w:tcPr>
            <w:tcW w:w="4300" w:type="dxa"/>
            <w:tcMar>
              <w:top w:w="80" w:type="dxa"/>
              <w:left w:w="100" w:type="dxa"/>
              <w:bottom w:w="80" w:type="dxa"/>
              <w:right w:w="100" w:type="dxa"/>
            </w:tcMar>
          </w:tcPr>
          <w:p>
            <w:pPr>
              <w:keepNext/>
            </w:pPr>
            <w:r>
              <w:rPr>
                <w:sz w:val="22"/>
                <w:szCs w:val="22"/>
              </w:rPr>
              <w:t xml:space="preserve">RMSE 873 / 714; supera as linhas de base na validação deixando uma safra de fora e empata com a média histórica no corte temporal.</w:t>
            </w:r>
          </w:p>
        </w:tc>
      </w:tr>
      <w:tr>
        <w:trPr>
          <w:cantSplit/>
        </w:trPr>
        <w:tc>
          <w:tcPr>
            <w:tcW w:w="1000" w:type="dxa"/>
            <w:tcMar>
              <w:top w:w="80" w:type="dxa"/>
              <w:left w:w="100" w:type="dxa"/>
              <w:bottom w:w="80" w:type="dxa"/>
              <w:right w:w="100" w:type="dxa"/>
            </w:tcMar>
          </w:tcPr>
          <w:p>
            <w:pPr>
              <w:keepNext/>
            </w:pPr>
            <w:r>
              <w:rPr>
                <w:sz w:val="22"/>
                <w:szCs w:val="22"/>
              </w:rPr>
              <w:t xml:space="preserve">4</w:t>
            </w:r>
          </w:p>
        </w:tc>
        <w:tc>
          <w:tcPr>
            <w:tcW w:w="3200" w:type="dxa"/>
            <w:tcMar>
              <w:top w:w="80" w:type="dxa"/>
              <w:left w:w="100" w:type="dxa"/>
              <w:bottom w:w="80" w:type="dxa"/>
              <w:right w:w="100" w:type="dxa"/>
            </w:tcMar>
          </w:tcPr>
          <w:p>
            <w:pPr>
              <w:keepNext/>
            </w:pPr>
            <w:r>
              <w:rPr>
                <w:sz w:val="22"/>
                <w:szCs w:val="22"/>
              </w:rPr>
              <w:t xml:space="preserve">Balanço hídrico e limiares de seca extrema</w:t>
            </w:r>
          </w:p>
        </w:tc>
        <w:tc>
          <w:tcPr>
            <w:tcW w:w="4300" w:type="dxa"/>
            <w:tcMar>
              <w:top w:w="80" w:type="dxa"/>
              <w:left w:w="100" w:type="dxa"/>
              <w:bottom w:w="80" w:type="dxa"/>
              <w:right w:w="100" w:type="dxa"/>
            </w:tcMar>
          </w:tcPr>
          <w:p>
            <w:pPr>
              <w:keepNext/>
            </w:pPr>
            <w:r>
              <w:rPr>
                <w:sz w:val="22"/>
                <w:szCs w:val="22"/>
              </w:rPr>
              <w:t xml:space="preserve">RMSE 870 / 706 (modelo final, H2).</w:t>
            </w:r>
          </w:p>
        </w:tc>
      </w:tr>
    </w:tbl>
    <w:p>
      <w:pPr>
        <w:keepNext/>
        <w:spacing w:before="280" w:after="160"/>
      </w:pPr>
      <w:r>
        <w:rPr>
          <w:b/>
          <w:bCs/>
          <w:sz w:val="24"/>
          <w:szCs w:val="24"/>
        </w:rPr>
        <w:t>6.2 Comparação dos modelos</w:t>
      </w:r>
    </w:p>
    <w:p>
      <w:pPr>
        <w:spacing w:after="200" w:line="276" w:lineRule="auto"/>
        <w:ind w:firstLine="720"/>
        <w:jc w:val="both"/>
      </w:pPr>
      <w:r>
        <w:rPr>
          <w:sz w:val="24"/>
          <w:szCs w:val="24"/>
        </w:rPr>
        <w:t xml:space="preserve">A Tabela 5 compara os modelos nas duas validações. Na validação deixando uma safra de fora, que cobre 18 safras, o modelo final (H2) reduziu o RMSE em 22% em relação à média histórica do município (706 × 901 kg/ha; MAE de 553 kg/ha). No corte temporal 2021–2025, nenhum modelo com clima superou a média histórica: H2 ficou 1,5% acima dela (870 × 857 kg/ha; MAE de 716 kg/ha), com viés de +501 kg/ha. Esse período teve secas fortes em 2022, 2023 e 2025, e o patamar de cada safra só conhece o que foi publicado dois anos antes – para 2023, a média de 2017–2021, que ainda não inclui a quebra de 2022 –, enquanto a média histórica, que inclui as safras mais baixas do início da série, fica mais próxima do nível dessas safras ruins. Repetir o rendimento da última safra publicada foi a pior estratégia, pois propaga secas e recordes para as previsões seguintes. O déficit hídrico sozinho (H1) não melhorou o modelo, por medir a mesma seca que a chuva e a umidade de dez–fev (correlação ≈0,8 entre elas); o ganho veio dos limiares de seca extrema. Os modelos de árvores ficaram atrás da regressão linear em todos os cenários: Random Forest teve desempenho semelhante ou inferior ao do Gradient Boosting nas Etapas 1 e 2 e não foi levado adiante, e a combinação de H2 com Gradient Boosting foi melhor em uma validação e pior na outra.</w:t>
      </w:r>
    </w:p>
    <w:p>
      <w:pPr>
        <w:keepNext/>
        <w:spacing w:before="120" w:after="300"/>
        <w:jc w:val="center"/>
      </w:pPr>
      <w:r>
        <w:rPr>
          <w:i/>
          <w:iCs/>
          <w:sz w:val="22"/>
          <w:szCs w:val="22"/>
        </w:rPr>
        <w:t xml:space="preserve">Tabela 5 – Desempenho dos modelos (Etapa 4). RMSE em kg/ha.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cantSplit/>
          <w:tblHeader/>
        </w:trPr>
        <w:tc>
          <w:tcPr>
            <w:tcW w:w="3700" w:type="dxa"/>
            <w:vMerge w:val="restart"/>
            <w:shd w:val="clear" w:color="auto" w:fill="D9D9D9"/>
            <w:tcMar>
              <w:top w:w="80" w:type="dxa"/>
              <w:left w:w="100" w:type="dxa"/>
              <w:bottom w:w="80" w:type="dxa"/>
              <w:right w:w="100" w:type="dxa"/>
            </w:tcMar>
          </w:tcPr>
          <w:p>
            <w:pPr>
              <w:keepNext/>
            </w:pPr>
            <w:r>
              <w:rPr>
                <w:b/>
                <w:bCs/>
                <w:sz w:val="22"/>
                <w:szCs w:val="22"/>
              </w:rPr>
              <w:t xml:space="preserve">Modelo</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Corte 2021–2025</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Uma safra de fora</w:t>
            </w:r>
          </w:p>
        </w:tc>
      </w:tr>
      <w:tr>
        <w:trPr>
          <w:cantSplit/>
          <w:tblHeader/>
        </w:trPr>
        <w:tc>
          <w:tcPr>
            <w:tcW w:w="3700" w:type="dxa"/>
            <w:vMerge/>
            <w:shd w:val="clear" w:color="auto" w:fill="D9D9D9"/>
            <w:tcMar>
              <w:top w:w="80" w:type="dxa"/>
              <w:left w:w="100" w:type="dxa"/>
              <w:bottom w:w="80" w:type="dxa"/>
              <w:right w:w="100" w:type="dxa"/>
            </w:tcMar>
          </w:tcPr>
          <w:p>
            <w:pPr>
              <w:keepNext/>
            </w:pP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w:t>
            </w:r>
            <w:r>
              <w:rPr>
                <w:b/>
                <w:bCs/>
                <w:sz w:val="22"/>
                <w:szCs w:val="22"/>
                <w:vertAlign w:val="superscript"/>
              </w:rPr>
              <w:t xml:space="preserve">2</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w:t>
            </w:r>
            <w:r>
              <w:rPr>
                <w:b/>
                <w:bCs/>
                <w:sz w:val="22"/>
                <w:szCs w:val="22"/>
                <w:vertAlign w:val="superscript"/>
              </w:rPr>
              <w:t xml:space="preserve">2</w:t>
            </w:r>
          </w:p>
        </w:tc>
      </w:tr>
      <w:tr>
        <w:trPr>
          <w:cantSplit/>
        </w:trPr>
        <w:tc>
          <w:tcPr>
            <w:tcW w:w="3700" w:type="dxa"/>
            <w:tcMar>
              <w:top w:w="80" w:type="dxa"/>
              <w:left w:w="100" w:type="dxa"/>
              <w:bottom w:w="80" w:type="dxa"/>
              <w:right w:w="100" w:type="dxa"/>
            </w:tcMar>
          </w:tcPr>
          <w:p>
            <w:pPr>
              <w:keepNext/>
            </w:pPr>
            <w:r>
              <w:rPr>
                <w:sz w:val="22"/>
                <w:szCs w:val="22"/>
              </w:rPr>
              <w:t xml:space="preserve">Linha de base: última safra publicada</w:t>
            </w:r>
          </w:p>
        </w:tc>
        <w:tc>
          <w:tcPr>
            <w:tcW w:w="1200" w:type="dxa"/>
            <w:tcMar>
              <w:top w:w="80" w:type="dxa"/>
              <w:left w:w="100" w:type="dxa"/>
              <w:bottom w:w="80" w:type="dxa"/>
              <w:right w:w="100" w:type="dxa"/>
            </w:tcMar>
          </w:tcPr>
          <w:p>
            <w:pPr>
              <w:keepNext/>
              <w:jc w:val="center"/>
            </w:pPr>
            <w:r>
              <w:rPr>
                <w:sz w:val="22"/>
                <w:szCs w:val="22"/>
              </w:rPr>
              <w:t xml:space="preserve">1.200</w:t>
            </w:r>
          </w:p>
        </w:tc>
        <w:tc>
          <w:tcPr>
            <w:tcW w:w="1200" w:type="dxa"/>
            <w:tcMar>
              <w:top w:w="80" w:type="dxa"/>
              <w:left w:w="100" w:type="dxa"/>
              <w:bottom w:w="80" w:type="dxa"/>
              <w:right w:w="100" w:type="dxa"/>
            </w:tcMar>
          </w:tcPr>
          <w:p>
            <w:pPr>
              <w:keepNext/>
              <w:jc w:val="center"/>
            </w:pPr>
            <w:r>
              <w:rPr>
                <w:sz w:val="22"/>
                <w:szCs w:val="22"/>
              </w:rPr>
              <w:t xml:space="preserve">−0,81</w:t>
            </w:r>
          </w:p>
        </w:tc>
        <w:tc>
          <w:tcPr>
            <w:tcW w:w="1200" w:type="dxa"/>
            <w:tcMar>
              <w:top w:w="80" w:type="dxa"/>
              <w:left w:w="100" w:type="dxa"/>
              <w:bottom w:w="80" w:type="dxa"/>
              <w:right w:w="100" w:type="dxa"/>
            </w:tcMar>
          </w:tcPr>
          <w:p>
            <w:pPr>
              <w:keepNext/>
              <w:jc w:val="center"/>
            </w:pPr>
            <w:r>
              <w:rPr>
                <w:sz w:val="22"/>
                <w:szCs w:val="22"/>
              </w:rPr>
              <w:t xml:space="preserve">957</w:t>
            </w:r>
          </w:p>
        </w:tc>
        <w:tc>
          <w:tcPr>
            <w:tcW w:w="1200" w:type="dxa"/>
            <w:tcMar>
              <w:top w:w="80" w:type="dxa"/>
              <w:left w:w="100" w:type="dxa"/>
              <w:bottom w:w="80" w:type="dxa"/>
              <w:right w:w="100" w:type="dxa"/>
            </w:tcMar>
          </w:tcPr>
          <w:p>
            <w:pPr>
              <w:keepNext/>
              <w:jc w:val="center"/>
            </w:pPr>
            <w:r>
              <w:rPr>
                <w:sz w:val="22"/>
                <w:szCs w:val="22"/>
              </w:rPr>
              <w:t xml:space="preserve">−0,45</w:t>
            </w:r>
          </w:p>
        </w:tc>
      </w:tr>
      <w:tr>
        <w:trPr>
          <w:cantSplit/>
        </w:trPr>
        <w:tc>
          <w:tcPr>
            <w:tcW w:w="3700" w:type="dxa"/>
            <w:tcMar>
              <w:top w:w="80" w:type="dxa"/>
              <w:left w:w="100" w:type="dxa"/>
              <w:bottom w:w="80" w:type="dxa"/>
              <w:right w:w="100" w:type="dxa"/>
            </w:tcMar>
          </w:tcPr>
          <w:p>
            <w:pPr>
              <w:keepNext/>
            </w:pPr>
            <w:r>
              <w:rPr>
                <w:sz w:val="22"/>
                <w:szCs w:val="22"/>
              </w:rPr>
              <w:t xml:space="preserve">Linha de base: média histórica</w:t>
            </w:r>
          </w:p>
        </w:tc>
        <w:tc>
          <w:tcPr>
            <w:tcW w:w="1200" w:type="dxa"/>
            <w:tcMar>
              <w:top w:w="80" w:type="dxa"/>
              <w:left w:w="100" w:type="dxa"/>
              <w:bottom w:w="80" w:type="dxa"/>
              <w:right w:w="100" w:type="dxa"/>
            </w:tcMar>
          </w:tcPr>
          <w:p>
            <w:pPr>
              <w:keepNext/>
              <w:jc w:val="center"/>
            </w:pPr>
            <w:r>
              <w:rPr>
                <w:sz w:val="22"/>
                <w:szCs w:val="22"/>
              </w:rPr>
              <w:t xml:space="preserve">857</w:t>
            </w:r>
          </w:p>
        </w:tc>
        <w:tc>
          <w:tcPr>
            <w:tcW w:w="1200" w:type="dxa"/>
            <w:tcMar>
              <w:top w:w="80" w:type="dxa"/>
              <w:left w:w="100" w:type="dxa"/>
              <w:bottom w:w="80" w:type="dxa"/>
              <w:right w:w="100" w:type="dxa"/>
            </w:tcMar>
          </w:tcPr>
          <w:p>
            <w:pPr>
              <w:keepNext/>
              <w:jc w:val="center"/>
            </w:pPr>
            <w:r>
              <w:rPr>
                <w:sz w:val="22"/>
                <w:szCs w:val="22"/>
              </w:rPr>
              <w:t xml:space="preserve">0,08</w:t>
            </w:r>
          </w:p>
        </w:tc>
        <w:tc>
          <w:tcPr>
            <w:tcW w:w="1200" w:type="dxa"/>
            <w:tcMar>
              <w:top w:w="80" w:type="dxa"/>
              <w:left w:w="100" w:type="dxa"/>
              <w:bottom w:w="80" w:type="dxa"/>
              <w:right w:w="100" w:type="dxa"/>
            </w:tcMar>
          </w:tcPr>
          <w:p>
            <w:pPr>
              <w:keepNext/>
              <w:jc w:val="center"/>
            </w:pPr>
            <w:r>
              <w:rPr>
                <w:sz w:val="22"/>
                <w:szCs w:val="22"/>
              </w:rPr>
              <w:t xml:space="preserve">901</w:t>
            </w:r>
          </w:p>
        </w:tc>
        <w:tc>
          <w:tcPr>
            <w:tcW w:w="1200" w:type="dxa"/>
            <w:tcMar>
              <w:top w:w="80" w:type="dxa"/>
              <w:left w:w="100" w:type="dxa"/>
              <w:bottom w:w="80" w:type="dxa"/>
              <w:right w:w="100" w:type="dxa"/>
            </w:tcMar>
          </w:tcPr>
          <w:p>
            <w:pPr>
              <w:keepNext/>
              <w:jc w:val="center"/>
            </w:pPr>
            <w:r>
              <w:rPr>
                <w:sz w:val="22"/>
                <w:szCs w:val="22"/>
              </w:rPr>
              <w:t xml:space="preserve">−0,28</w:t>
            </w:r>
          </w:p>
        </w:tc>
      </w:tr>
      <w:tr>
        <w:trPr>
          <w:cantSplit/>
        </w:trPr>
        <w:tc>
          <w:tcPr>
            <w:tcW w:w="3700" w:type="dxa"/>
            <w:tcMar>
              <w:top w:w="80" w:type="dxa"/>
              <w:left w:w="100" w:type="dxa"/>
              <w:bottom w:w="80" w:type="dxa"/>
              <w:right w:w="100" w:type="dxa"/>
            </w:tcMar>
          </w:tcPr>
          <w:p>
            <w:pPr>
              <w:keepNext/>
            </w:pPr>
            <w:r>
              <w:rPr>
                <w:sz w:val="22"/>
                <w:szCs w:val="22"/>
              </w:rPr>
              <w:t xml:space="preserve">GB – Gradient Boosting</w:t>
            </w:r>
          </w:p>
        </w:tc>
        <w:tc>
          <w:tcPr>
            <w:tcW w:w="1200" w:type="dxa"/>
            <w:tcMar>
              <w:top w:w="80" w:type="dxa"/>
              <w:left w:w="100" w:type="dxa"/>
              <w:bottom w:w="80" w:type="dxa"/>
              <w:right w:w="100" w:type="dxa"/>
            </w:tcMar>
          </w:tcPr>
          <w:p>
            <w:pPr>
              <w:keepNext/>
              <w:jc w:val="center"/>
            </w:pPr>
            <w:r>
              <w:rPr>
                <w:sz w:val="22"/>
                <w:szCs w:val="22"/>
              </w:rPr>
              <w:t xml:space="preserve">939</w:t>
            </w:r>
          </w:p>
        </w:tc>
        <w:tc>
          <w:tcPr>
            <w:tcW w:w="1200" w:type="dxa"/>
            <w:tcMar>
              <w:top w:w="80" w:type="dxa"/>
              <w:left w:w="100" w:type="dxa"/>
              <w:bottom w:w="80" w:type="dxa"/>
              <w:right w:w="100" w:type="dxa"/>
            </w:tcMar>
          </w:tcPr>
          <w:p>
            <w:pPr>
              <w:keepNext/>
              <w:jc w:val="center"/>
            </w:pPr>
            <w:r>
              <w:rPr>
                <w:sz w:val="22"/>
                <w:szCs w:val="22"/>
              </w:rPr>
              <w:t xml:space="preserve">−0,11</w:t>
            </w:r>
          </w:p>
        </w:tc>
        <w:tc>
          <w:tcPr>
            <w:tcW w:w="1200" w:type="dxa"/>
            <w:tcMar>
              <w:top w:w="80" w:type="dxa"/>
              <w:left w:w="100" w:type="dxa"/>
              <w:bottom w:w="80" w:type="dxa"/>
              <w:right w:w="100" w:type="dxa"/>
            </w:tcMar>
          </w:tcPr>
          <w:p>
            <w:pPr>
              <w:keepNext/>
              <w:jc w:val="center"/>
            </w:pPr>
            <w:r>
              <w:rPr>
                <w:sz w:val="22"/>
                <w:szCs w:val="22"/>
              </w:rPr>
              <w:t xml:space="preserve">753</w:t>
            </w:r>
          </w:p>
        </w:tc>
        <w:tc>
          <w:tcPr>
            <w:tcW w:w="1200" w:type="dxa"/>
            <w:tcMar>
              <w:top w:w="80" w:type="dxa"/>
              <w:left w:w="100" w:type="dxa"/>
              <w:bottom w:w="80" w:type="dxa"/>
              <w:right w:w="100" w:type="dxa"/>
            </w:tcMar>
          </w:tcPr>
          <w:p>
            <w:pPr>
              <w:keepNext/>
              <w:jc w:val="center"/>
            </w:pPr>
            <w:r>
              <w:rPr>
                <w:sz w:val="22"/>
                <w:szCs w:val="22"/>
              </w:rPr>
              <w:t xml:space="preserve">0,11</w:t>
            </w:r>
          </w:p>
        </w:tc>
      </w:tr>
      <w:tr>
        <w:trPr>
          <w:cantSplit/>
        </w:trPr>
        <w:tc>
          <w:tcPr>
            <w:tcW w:w="3700" w:type="dxa"/>
            <w:tcMar>
              <w:top w:w="80" w:type="dxa"/>
              <w:left w:w="100" w:type="dxa"/>
              <w:bottom w:w="80" w:type="dxa"/>
              <w:right w:w="100" w:type="dxa"/>
            </w:tcMar>
          </w:tcPr>
          <w:p>
            <w:pPr>
              <w:keepNext/>
            </w:pPr>
            <w:r>
              <w:rPr>
                <w:sz w:val="22"/>
                <w:szCs w:val="22"/>
              </w:rPr>
              <w:t xml:space="preserve">H1 – F + déficit hídrico</w:t>
            </w:r>
          </w:p>
        </w:tc>
        <w:tc>
          <w:tcPr>
            <w:tcW w:w="1200" w:type="dxa"/>
            <w:tcMar>
              <w:top w:w="80" w:type="dxa"/>
              <w:left w:w="100" w:type="dxa"/>
              <w:bottom w:w="80" w:type="dxa"/>
              <w:right w:w="100" w:type="dxa"/>
            </w:tcMar>
          </w:tcPr>
          <w:p>
            <w:pPr>
              <w:keepNext/>
              <w:jc w:val="center"/>
            </w:pPr>
            <w:r>
              <w:rPr>
                <w:sz w:val="22"/>
                <w:szCs w:val="22"/>
              </w:rPr>
              <w:t xml:space="preserve">902</w:t>
            </w:r>
          </w:p>
        </w:tc>
        <w:tc>
          <w:tcPr>
            <w:tcW w:w="1200" w:type="dxa"/>
            <w:tcMar>
              <w:top w:w="80" w:type="dxa"/>
              <w:left w:w="100" w:type="dxa"/>
              <w:bottom w:w="80" w:type="dxa"/>
              <w:right w:w="100" w:type="dxa"/>
            </w:tcMar>
          </w:tcPr>
          <w:p>
            <w:pPr>
              <w:keepNext/>
              <w:jc w:val="center"/>
            </w:pPr>
            <w:r>
              <w:rPr>
                <w:sz w:val="22"/>
                <w:szCs w:val="22"/>
              </w:rPr>
              <w:t xml:space="preserve">−0,02</w:t>
            </w:r>
          </w:p>
        </w:tc>
        <w:tc>
          <w:tcPr>
            <w:tcW w:w="1200" w:type="dxa"/>
            <w:tcMar>
              <w:top w:w="80" w:type="dxa"/>
              <w:left w:w="100" w:type="dxa"/>
              <w:bottom w:w="80" w:type="dxa"/>
              <w:right w:w="100" w:type="dxa"/>
            </w:tcMar>
          </w:tcPr>
          <w:p>
            <w:pPr>
              <w:keepNext/>
              <w:jc w:val="center"/>
            </w:pPr>
            <w:r>
              <w:rPr>
                <w:sz w:val="22"/>
                <w:szCs w:val="22"/>
              </w:rPr>
              <w:t xml:space="preserve">712</w:t>
            </w:r>
          </w:p>
        </w:tc>
        <w:tc>
          <w:tcPr>
            <w:tcW w:w="1200" w:type="dxa"/>
            <w:tcMar>
              <w:top w:w="80" w:type="dxa"/>
              <w:left w:w="100" w:type="dxa"/>
              <w:bottom w:w="80" w:type="dxa"/>
              <w:right w:w="100" w:type="dxa"/>
            </w:tcMar>
          </w:tcPr>
          <w:p>
            <w:pPr>
              <w:keepNext/>
              <w:jc w:val="center"/>
            </w:pPr>
            <w:r>
              <w:rPr>
                <w:sz w:val="22"/>
                <w:szCs w:val="22"/>
              </w:rPr>
              <w:t xml:space="preserve">0,20</w:t>
            </w:r>
          </w:p>
        </w:tc>
      </w:tr>
      <w:tr>
        <w:trPr>
          <w:cantSplit/>
        </w:trPr>
        <w:tc>
          <w:tcPr>
            <w:tcW w:w="3700" w:type="dxa"/>
            <w:tcMar>
              <w:top w:w="80" w:type="dxa"/>
              <w:left w:w="100" w:type="dxa"/>
              <w:bottom w:w="80" w:type="dxa"/>
              <w:right w:w="100" w:type="dxa"/>
            </w:tcMar>
          </w:tcPr>
          <w:p>
            <w:pPr>
              <w:keepNext/>
            </w:pPr>
            <w:r>
              <w:rPr>
                <w:sz w:val="22"/>
                <w:szCs w:val="22"/>
              </w:rPr>
              <w:t xml:space="preserve">F – Regressão linear reduzida</w:t>
            </w:r>
          </w:p>
        </w:tc>
        <w:tc>
          <w:tcPr>
            <w:tcW w:w="1200" w:type="dxa"/>
            <w:tcMar>
              <w:top w:w="80" w:type="dxa"/>
              <w:left w:w="100" w:type="dxa"/>
              <w:bottom w:w="80" w:type="dxa"/>
              <w:right w:w="100" w:type="dxa"/>
            </w:tcMar>
          </w:tcPr>
          <w:p>
            <w:pPr>
              <w:keepNext/>
              <w:jc w:val="center"/>
            </w:pPr>
            <w:r>
              <w:rPr>
                <w:sz w:val="22"/>
                <w:szCs w:val="22"/>
              </w:rPr>
              <w:t xml:space="preserve">873</w:t>
            </w:r>
          </w:p>
        </w:tc>
        <w:tc>
          <w:tcPr>
            <w:tcW w:w="1200" w:type="dxa"/>
            <w:tcMar>
              <w:top w:w="80" w:type="dxa"/>
              <w:left w:w="100" w:type="dxa"/>
              <w:bottom w:w="80" w:type="dxa"/>
              <w:right w:w="100" w:type="dxa"/>
            </w:tcMar>
          </w:tcPr>
          <w:p>
            <w:pPr>
              <w:keepNext/>
              <w:jc w:val="center"/>
            </w:pPr>
            <w:r>
              <w:rPr>
                <w:sz w:val="22"/>
                <w:szCs w:val="22"/>
              </w:rPr>
              <w:t xml:space="preserve">0,04</w:t>
            </w:r>
          </w:p>
        </w:tc>
        <w:tc>
          <w:tcPr>
            <w:tcW w:w="1200" w:type="dxa"/>
            <w:tcMar>
              <w:top w:w="80" w:type="dxa"/>
              <w:left w:w="100" w:type="dxa"/>
              <w:bottom w:w="80" w:type="dxa"/>
              <w:right w:w="100" w:type="dxa"/>
            </w:tcMar>
          </w:tcPr>
          <w:p>
            <w:pPr>
              <w:keepNext/>
              <w:jc w:val="center"/>
            </w:pPr>
            <w:r>
              <w:rPr>
                <w:sz w:val="22"/>
                <w:szCs w:val="22"/>
              </w:rPr>
              <w:t xml:space="preserve">714</w:t>
            </w:r>
          </w:p>
        </w:tc>
        <w:tc>
          <w:tcPr>
            <w:tcW w:w="1200" w:type="dxa"/>
            <w:tcMar>
              <w:top w:w="80" w:type="dxa"/>
              <w:left w:w="100" w:type="dxa"/>
              <w:bottom w:w="80" w:type="dxa"/>
              <w:right w:w="100" w:type="dxa"/>
            </w:tcMar>
          </w:tcPr>
          <w:p>
            <w:pPr>
              <w:keepNext/>
              <w:jc w:val="center"/>
            </w:pPr>
            <w:r>
              <w:rPr>
                <w:sz w:val="22"/>
                <w:szCs w:val="22"/>
              </w:rPr>
              <w:t xml:space="preserve">0,20</w:t>
            </w:r>
          </w:p>
        </w:tc>
      </w:tr>
      <w:tr>
        <w:trPr>
          <w:cantSplit/>
        </w:trPr>
        <w:tc>
          <w:tcPr>
            <w:tcW w:w="3700" w:type="dxa"/>
            <w:tcMar>
              <w:top w:w="80" w:type="dxa"/>
              <w:left w:w="100" w:type="dxa"/>
              <w:bottom w:w="80" w:type="dxa"/>
              <w:right w:w="100" w:type="dxa"/>
            </w:tcMar>
          </w:tcPr>
          <w:p>
            <w:pPr>
              <w:keepNext/>
            </w:pPr>
            <w:r>
              <w:rPr>
                <w:sz w:val="22"/>
                <w:szCs w:val="22"/>
              </w:rPr>
              <w:t xml:space="preserve">Média de H2 e GB</w:t>
            </w:r>
          </w:p>
        </w:tc>
        <w:tc>
          <w:tcPr>
            <w:tcW w:w="1200" w:type="dxa"/>
            <w:tcMar>
              <w:top w:w="80" w:type="dxa"/>
              <w:left w:w="100" w:type="dxa"/>
              <w:bottom w:w="80" w:type="dxa"/>
              <w:right w:w="100" w:type="dxa"/>
            </w:tcMar>
          </w:tcPr>
          <w:p>
            <w:pPr>
              <w:keepNext/>
              <w:jc w:val="center"/>
            </w:pPr>
            <w:r>
              <w:rPr>
                <w:sz w:val="22"/>
                <w:szCs w:val="22"/>
              </w:rPr>
              <w:t xml:space="preserve">891</w:t>
            </w:r>
          </w:p>
        </w:tc>
        <w:tc>
          <w:tcPr>
            <w:tcW w:w="1200" w:type="dxa"/>
            <w:tcMar>
              <w:top w:w="80" w:type="dxa"/>
              <w:left w:w="100" w:type="dxa"/>
              <w:bottom w:w="80" w:type="dxa"/>
              <w:right w:w="100" w:type="dxa"/>
            </w:tcMar>
          </w:tcPr>
          <w:p>
            <w:pPr>
              <w:keepNext/>
              <w:jc w:val="center"/>
            </w:pPr>
            <w:r>
              <w:rPr>
                <w:sz w:val="22"/>
                <w:szCs w:val="22"/>
              </w:rPr>
              <w:t xml:space="preserve">0,00</w:t>
            </w:r>
          </w:p>
        </w:tc>
        <w:tc>
          <w:tcPr>
            <w:tcW w:w="1200" w:type="dxa"/>
            <w:tcMar>
              <w:top w:w="80" w:type="dxa"/>
              <w:left w:w="100" w:type="dxa"/>
              <w:bottom w:w="80" w:type="dxa"/>
              <w:right w:w="100" w:type="dxa"/>
            </w:tcMar>
          </w:tcPr>
          <w:p>
            <w:pPr>
              <w:keepNext/>
              <w:jc w:val="center"/>
            </w:pPr>
            <w:r>
              <w:rPr>
                <w:sz w:val="22"/>
                <w:szCs w:val="22"/>
              </w:rPr>
              <w:t xml:space="preserve">705</w:t>
            </w:r>
          </w:p>
        </w:tc>
        <w:tc>
          <w:tcPr>
            <w:tcW w:w="1200" w:type="dxa"/>
            <w:tcMar>
              <w:top w:w="80" w:type="dxa"/>
              <w:left w:w="100" w:type="dxa"/>
              <w:bottom w:w="80" w:type="dxa"/>
              <w:right w:w="100" w:type="dxa"/>
            </w:tcMar>
          </w:tcPr>
          <w:p>
            <w:pPr>
              <w:keepNext/>
              <w:jc w:val="center"/>
            </w:pPr>
            <w:r>
              <w:rPr>
                <w:sz w:val="22"/>
                <w:szCs w:val="22"/>
              </w:rPr>
              <w:t xml:space="preserve">0,22</w:t>
            </w:r>
          </w:p>
        </w:tc>
      </w:tr>
      <w:tr>
        <w:trPr>
          <w:cantSplit/>
        </w:trPr>
        <w:tc>
          <w:tcPr>
            <w:tcW w:w="3700" w:type="dxa"/>
            <w:tcMar>
              <w:top w:w="80" w:type="dxa"/>
              <w:left w:w="100" w:type="dxa"/>
              <w:bottom w:w="80" w:type="dxa"/>
              <w:right w:w="100" w:type="dxa"/>
            </w:tcMar>
          </w:tcPr>
          <w:p>
            <w:pPr>
              <w:keepNext/>
            </w:pPr>
            <w:r>
              <w:rPr>
                <w:b/>
                <w:bCs/>
                <w:sz w:val="22"/>
                <w:szCs w:val="22"/>
              </w:rPr>
              <w:t xml:space="preserve">H2 – H1 + limiares (final)</w:t>
            </w:r>
          </w:p>
        </w:tc>
        <w:tc>
          <w:tcPr>
            <w:tcW w:w="1200" w:type="dxa"/>
            <w:tcMar>
              <w:top w:w="80" w:type="dxa"/>
              <w:left w:w="100" w:type="dxa"/>
              <w:bottom w:w="80" w:type="dxa"/>
              <w:right w:w="100" w:type="dxa"/>
            </w:tcMar>
          </w:tcPr>
          <w:p>
            <w:pPr>
              <w:keepNext/>
              <w:jc w:val="center"/>
            </w:pPr>
            <w:r>
              <w:rPr>
                <w:b/>
                <w:bCs/>
                <w:sz w:val="22"/>
                <w:szCs w:val="22"/>
              </w:rPr>
              <w:t xml:space="preserve">870</w:t>
            </w:r>
          </w:p>
        </w:tc>
        <w:tc>
          <w:tcPr>
            <w:tcW w:w="1200" w:type="dxa"/>
            <w:tcMar>
              <w:top w:w="80" w:type="dxa"/>
              <w:left w:w="100" w:type="dxa"/>
              <w:bottom w:w="80" w:type="dxa"/>
              <w:right w:w="100" w:type="dxa"/>
            </w:tcMar>
          </w:tcPr>
          <w:p>
            <w:pPr>
              <w:keepNext/>
              <w:jc w:val="center"/>
            </w:pPr>
            <w:r>
              <w:rPr>
                <w:b/>
                <w:bCs/>
                <w:sz w:val="22"/>
                <w:szCs w:val="22"/>
              </w:rPr>
              <w:t xml:space="preserve">0,05</w:t>
            </w:r>
          </w:p>
        </w:tc>
        <w:tc>
          <w:tcPr>
            <w:tcW w:w="1200" w:type="dxa"/>
            <w:tcMar>
              <w:top w:w="80" w:type="dxa"/>
              <w:left w:w="100" w:type="dxa"/>
              <w:bottom w:w="80" w:type="dxa"/>
              <w:right w:w="100" w:type="dxa"/>
            </w:tcMar>
          </w:tcPr>
          <w:p>
            <w:pPr>
              <w:keepNext/>
              <w:jc w:val="center"/>
            </w:pPr>
            <w:r>
              <w:rPr>
                <w:b/>
                <w:bCs/>
                <w:sz w:val="22"/>
                <w:szCs w:val="22"/>
              </w:rPr>
              <w:t xml:space="preserve">706</w:t>
            </w:r>
          </w:p>
        </w:tc>
        <w:tc>
          <w:tcPr>
            <w:tcW w:w="1200" w:type="dxa"/>
            <w:tcMar>
              <w:top w:w="80" w:type="dxa"/>
              <w:left w:w="100" w:type="dxa"/>
              <w:bottom w:w="80" w:type="dxa"/>
              <w:right w:w="100" w:type="dxa"/>
            </w:tcMar>
          </w:tcPr>
          <w:p>
            <w:pPr>
              <w:keepNext/>
              <w:jc w:val="center"/>
            </w:pPr>
            <w:r>
              <w:rPr>
                <w:b/>
                <w:bCs/>
                <w:sz w:val="22"/>
                <w:szCs w:val="22"/>
              </w:rPr>
              <w:t xml:space="preserve">0,21</w:t>
            </w:r>
          </w:p>
        </w:tc>
      </w:tr>
    </w:tbl>
    <w:p>
      <w:pPr>
        <w:keepNext/>
        <w:spacing w:before="280" w:after="160"/>
      </w:pPr>
      <w:r>
        <w:rPr>
          <w:b/>
          <w:bCs/>
          <w:sz w:val="24"/>
          <w:szCs w:val="24"/>
        </w:rPr>
        <w:t>6.3 Custo da defasagem de publicação</w:t>
      </w:r>
    </w:p>
    <w:p>
      <w:pPr>
        <w:spacing w:after="200" w:line="276" w:lineRule="auto"/>
        <w:ind w:firstLine="720"/>
        <w:jc w:val="both"/>
      </w:pPr>
      <w:r>
        <w:rPr>
          <w:sz w:val="24"/>
          <w:szCs w:val="24"/>
        </w:rPr>
        <w:t xml:space="preserve">A Tabela 6 compara os modelos com o patamar calculado até Y−2 (o que está publicado em março) e até Y−1 (cenário hipotético, como se o rendimento da safra anterior já estivesse disponível). Respeitar a data real de publicação aumenta o RMSE de H2 em 17% no corte temporal e em 3% na validação deixando uma safra de fora. A perda se concentra nas secas seguidas de 2022–2023: sem a safra anterior, o patamar demora mais a acompanhar a queda. Com Y−1, H2 superaria a média histórica em 14% também no corte temporal. Uma estimativa antecipada do rendimento da safra anterior por município seria, portanto, a informação de maior valor para melhorar a previsão.</w:t>
      </w:r>
    </w:p>
    <w:p>
      <w:pPr>
        <w:keepNext/>
        <w:spacing w:before="120" w:after="300"/>
        <w:jc w:val="center"/>
      </w:pPr>
      <w:r>
        <w:rPr>
          <w:i/>
          <w:iCs/>
          <w:sz w:val="22"/>
          <w:szCs w:val="22"/>
        </w:rPr>
        <w:t xml:space="preserve">Tabela 6 – RMSE (kg/ha) e R² (entre parênteses) com o patamar até Y−2 (publicado) e até Y−1 (hipotético).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cantSplit/>
          <w:tblHeader/>
        </w:trPr>
        <w:tc>
          <w:tcPr>
            <w:tcW w:w="3700" w:type="dxa"/>
            <w:vMerge w:val="restart"/>
            <w:shd w:val="clear" w:color="auto" w:fill="D9D9D9"/>
            <w:tcMar>
              <w:top w:w="80" w:type="dxa"/>
              <w:left w:w="100" w:type="dxa"/>
              <w:bottom w:w="80" w:type="dxa"/>
              <w:right w:w="100" w:type="dxa"/>
            </w:tcMar>
          </w:tcPr>
          <w:p>
            <w:pPr>
              <w:keepNext/>
            </w:pPr>
            <w:r>
              <w:rPr>
                <w:b/>
                <w:bCs/>
                <w:sz w:val="22"/>
                <w:szCs w:val="22"/>
              </w:rPr>
              <w:t xml:space="preserve">Modelo</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Corte 2021–2025</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Uma safra de fora</w:t>
            </w:r>
          </w:p>
        </w:tc>
      </w:tr>
      <w:tr>
        <w:trPr>
          <w:cantSplit/>
          <w:tblHeader/>
        </w:trPr>
        <w:tc>
          <w:tcPr>
            <w:tcW w:w="3700" w:type="dxa"/>
            <w:vMerge/>
            <w:shd w:val="clear" w:color="auto" w:fill="D9D9D9"/>
            <w:tcMar>
              <w:top w:w="80" w:type="dxa"/>
              <w:left w:w="100" w:type="dxa"/>
              <w:bottom w:w="80" w:type="dxa"/>
              <w:right w:w="100" w:type="dxa"/>
            </w:tcMar>
          </w:tcPr>
          <w:p>
            <w:pPr>
              <w:keepNext/>
            </w:pP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Y−2</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Y−1</w:t>
            </w:r>
            <w:r>
              <w:rPr>
                <w:b/>
                <w:bCs/>
                <w:sz w:val="22"/>
                <w:szCs w:val="22"/>
              </w:rPr>
              <w:t xml:space="preserve"/>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Y−2</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Y−1</w:t>
            </w:r>
            <w:r>
              <w:rPr>
                <w:b/>
                <w:bCs/>
                <w:sz w:val="22"/>
                <w:szCs w:val="22"/>
              </w:rPr>
              <w:t xml:space="preserve"/>
            </w:r>
          </w:p>
        </w:tc>
      </w:tr>
      <w:tr>
        <w:trPr>
          <w:cantSplit/>
        </w:trPr>
        <w:tc>
          <w:tcPr>
            <w:tcW w:w="3700" w:type="dxa"/>
            <w:tcMar>
              <w:top w:w="80" w:type="dxa"/>
              <w:left w:w="100" w:type="dxa"/>
              <w:bottom w:w="80" w:type="dxa"/>
              <w:right w:w="100" w:type="dxa"/>
            </w:tcMar>
          </w:tcPr>
          <w:p>
            <w:pPr>
              <w:keepNext/>
            </w:pPr>
            <w:r>
              <w:rPr>
                <w:sz w:val="22"/>
                <w:szCs w:val="22"/>
              </w:rPr>
              <w:t xml:space="preserve">Média histórica</w:t>
            </w:r>
          </w:p>
        </w:tc>
        <w:tc>
          <w:tcPr>
            <w:tcW w:w="1200" w:type="dxa"/>
            <w:tcMar>
              <w:top w:w="80" w:type="dxa"/>
              <w:left w:w="100" w:type="dxa"/>
              <w:bottom w:w="80" w:type="dxa"/>
              <w:right w:w="100" w:type="dxa"/>
            </w:tcMar>
          </w:tcPr>
          <w:p>
            <w:pPr>
              <w:keepNext/>
              <w:jc w:val="center"/>
            </w:pPr>
            <w:r>
              <w:rPr>
                <w:sz w:val="22"/>
                <w:szCs w:val="22"/>
              </w:rPr>
              <w:t xml:space="preserve">857 (0,08)</w:t>
            </w:r>
          </w:p>
        </w:tc>
        <w:tc>
          <w:tcPr>
            <w:tcW w:w="1200" w:type="dxa"/>
            <w:tcMar>
              <w:top w:w="80" w:type="dxa"/>
              <w:left w:w="100" w:type="dxa"/>
              <w:bottom w:w="80" w:type="dxa"/>
              <w:right w:w="100" w:type="dxa"/>
            </w:tcMar>
          </w:tcPr>
          <w:p>
            <w:pPr>
              <w:keepNext/>
              <w:jc w:val="center"/>
            </w:pPr>
            <w:r>
              <w:rPr>
                <w:sz w:val="22"/>
                <w:szCs w:val="22"/>
              </w:rPr>
              <w:t xml:space="preserve">861 (0,07)</w:t>
            </w:r>
          </w:p>
        </w:tc>
        <w:tc>
          <w:tcPr>
            <w:tcW w:w="1200" w:type="dxa"/>
            <w:tcMar>
              <w:top w:w="80" w:type="dxa"/>
              <w:left w:w="100" w:type="dxa"/>
              <w:bottom w:w="80" w:type="dxa"/>
              <w:right w:w="100" w:type="dxa"/>
            </w:tcMar>
          </w:tcPr>
          <w:p>
            <w:pPr>
              <w:keepNext/>
              <w:jc w:val="center"/>
            </w:pPr>
            <w:r>
              <w:rPr>
                <w:sz w:val="22"/>
                <w:szCs w:val="22"/>
              </w:rPr>
              <w:t xml:space="preserve">901 (−0,28)</w:t>
            </w:r>
          </w:p>
        </w:tc>
        <w:tc>
          <w:tcPr>
            <w:tcW w:w="1200" w:type="dxa"/>
            <w:tcMar>
              <w:top w:w="80" w:type="dxa"/>
              <w:left w:w="100" w:type="dxa"/>
              <w:bottom w:w="80" w:type="dxa"/>
              <w:right w:w="100" w:type="dxa"/>
            </w:tcMar>
          </w:tcPr>
          <w:p>
            <w:pPr>
              <w:keepNext/>
              <w:jc w:val="center"/>
            </w:pPr>
            <w:r>
              <w:rPr>
                <w:sz w:val="22"/>
                <w:szCs w:val="22"/>
              </w:rPr>
              <w:t xml:space="preserve">877 (−0,21)</w:t>
            </w:r>
          </w:p>
        </w:tc>
      </w:tr>
      <w:tr>
        <w:trPr>
          <w:cantSplit/>
        </w:trPr>
        <w:tc>
          <w:tcPr>
            <w:tcW w:w="3700" w:type="dxa"/>
            <w:tcMar>
              <w:top w:w="80" w:type="dxa"/>
              <w:left w:w="100" w:type="dxa"/>
              <w:bottom w:w="80" w:type="dxa"/>
              <w:right w:w="100" w:type="dxa"/>
            </w:tcMar>
          </w:tcPr>
          <w:p>
            <w:pPr>
              <w:keepNext/>
            </w:pPr>
            <w:r>
              <w:rPr>
                <w:sz w:val="22"/>
                <w:szCs w:val="22"/>
              </w:rPr>
              <w:t xml:space="preserve">F</w:t>
            </w:r>
          </w:p>
        </w:tc>
        <w:tc>
          <w:tcPr>
            <w:tcW w:w="1200" w:type="dxa"/>
            <w:tcMar>
              <w:top w:w="80" w:type="dxa"/>
              <w:left w:w="100" w:type="dxa"/>
              <w:bottom w:w="80" w:type="dxa"/>
              <w:right w:w="100" w:type="dxa"/>
            </w:tcMar>
          </w:tcPr>
          <w:p>
            <w:pPr>
              <w:keepNext/>
              <w:jc w:val="center"/>
            </w:pPr>
            <w:r>
              <w:rPr>
                <w:sz w:val="22"/>
                <w:szCs w:val="22"/>
              </w:rPr>
              <w:t xml:space="preserve">873 (0,04)</w:t>
            </w:r>
          </w:p>
        </w:tc>
        <w:tc>
          <w:tcPr>
            <w:tcW w:w="1200" w:type="dxa"/>
            <w:tcMar>
              <w:top w:w="80" w:type="dxa"/>
              <w:left w:w="100" w:type="dxa"/>
              <w:bottom w:w="80" w:type="dxa"/>
              <w:right w:w="100" w:type="dxa"/>
            </w:tcMar>
          </w:tcPr>
          <w:p>
            <w:pPr>
              <w:keepNext/>
              <w:jc w:val="center"/>
            </w:pPr>
            <w:r>
              <w:rPr>
                <w:sz w:val="22"/>
                <w:szCs w:val="22"/>
              </w:rPr>
              <w:t xml:space="preserve">770 (0,25)</w:t>
            </w:r>
          </w:p>
        </w:tc>
        <w:tc>
          <w:tcPr>
            <w:tcW w:w="1200" w:type="dxa"/>
            <w:tcMar>
              <w:top w:w="80" w:type="dxa"/>
              <w:left w:w="100" w:type="dxa"/>
              <w:bottom w:w="80" w:type="dxa"/>
              <w:right w:w="100" w:type="dxa"/>
            </w:tcMar>
          </w:tcPr>
          <w:p>
            <w:pPr>
              <w:keepNext/>
              <w:jc w:val="center"/>
            </w:pPr>
            <w:r>
              <w:rPr>
                <w:sz w:val="22"/>
                <w:szCs w:val="22"/>
              </w:rPr>
              <w:t xml:space="preserve">714 (0,20)</w:t>
            </w:r>
          </w:p>
        </w:tc>
        <w:tc>
          <w:tcPr>
            <w:tcW w:w="1200" w:type="dxa"/>
            <w:tcMar>
              <w:top w:w="80" w:type="dxa"/>
              <w:left w:w="100" w:type="dxa"/>
              <w:bottom w:w="80" w:type="dxa"/>
              <w:right w:w="100" w:type="dxa"/>
            </w:tcMar>
          </w:tcPr>
          <w:p>
            <w:pPr>
              <w:keepNext/>
              <w:jc w:val="center"/>
            </w:pPr>
            <w:r>
              <w:rPr>
                <w:sz w:val="22"/>
                <w:szCs w:val="22"/>
              </w:rPr>
              <w:t xml:space="preserve">689 (0,25)</w:t>
            </w:r>
          </w:p>
        </w:tc>
      </w:tr>
      <w:tr>
        <w:trPr>
          <w:cantSplit/>
        </w:trPr>
        <w:tc>
          <w:tcPr>
            <w:tcW w:w="3700" w:type="dxa"/>
            <w:tcMar>
              <w:top w:w="80" w:type="dxa"/>
              <w:left w:w="100" w:type="dxa"/>
              <w:bottom w:w="80" w:type="dxa"/>
              <w:right w:w="100" w:type="dxa"/>
            </w:tcMar>
          </w:tcPr>
          <w:p>
            <w:pPr>
              <w:keepNext/>
            </w:pPr>
            <w:r>
              <w:rPr>
                <w:b/>
                <w:bCs/>
                <w:sz w:val="22"/>
                <w:szCs w:val="22"/>
              </w:rPr>
              <w:t xml:space="preserve">H2 (final)</w:t>
            </w:r>
          </w:p>
        </w:tc>
        <w:tc>
          <w:tcPr>
            <w:tcW w:w="1200" w:type="dxa"/>
            <w:tcMar>
              <w:top w:w="80" w:type="dxa"/>
              <w:left w:w="100" w:type="dxa"/>
              <w:bottom w:w="80" w:type="dxa"/>
              <w:right w:w="100" w:type="dxa"/>
            </w:tcMar>
          </w:tcPr>
          <w:p>
            <w:pPr>
              <w:keepNext/>
              <w:jc w:val="center"/>
            </w:pPr>
            <w:r>
              <w:rPr>
                <w:b/>
                <w:bCs/>
                <w:sz w:val="22"/>
                <w:szCs w:val="22"/>
              </w:rPr>
              <w:t xml:space="preserve">870 (0,05)</w:t>
            </w:r>
          </w:p>
        </w:tc>
        <w:tc>
          <w:tcPr>
            <w:tcW w:w="1200" w:type="dxa"/>
            <w:tcMar>
              <w:top w:w="80" w:type="dxa"/>
              <w:left w:w="100" w:type="dxa"/>
              <w:bottom w:w="80" w:type="dxa"/>
              <w:right w:w="100" w:type="dxa"/>
            </w:tcMar>
          </w:tcPr>
          <w:p>
            <w:pPr>
              <w:keepNext/>
              <w:jc w:val="center"/>
            </w:pPr>
            <w:r>
              <w:rPr>
                <w:b/>
                <w:bCs/>
                <w:sz w:val="22"/>
                <w:szCs w:val="22"/>
              </w:rPr>
              <w:t xml:space="preserve">743 (0,31)</w:t>
            </w:r>
          </w:p>
        </w:tc>
        <w:tc>
          <w:tcPr>
            <w:tcW w:w="1200" w:type="dxa"/>
            <w:tcMar>
              <w:top w:w="80" w:type="dxa"/>
              <w:left w:w="100" w:type="dxa"/>
              <w:bottom w:w="80" w:type="dxa"/>
              <w:right w:w="100" w:type="dxa"/>
            </w:tcMar>
          </w:tcPr>
          <w:p>
            <w:pPr>
              <w:keepNext/>
              <w:jc w:val="center"/>
            </w:pPr>
            <w:r>
              <w:rPr>
                <w:b/>
                <w:bCs/>
                <w:sz w:val="22"/>
                <w:szCs w:val="22"/>
              </w:rPr>
              <w:t xml:space="preserve">706 (0,21)</w:t>
            </w:r>
          </w:p>
        </w:tc>
        <w:tc>
          <w:tcPr>
            <w:tcW w:w="1200" w:type="dxa"/>
            <w:tcMar>
              <w:top w:w="80" w:type="dxa"/>
              <w:left w:w="100" w:type="dxa"/>
              <w:bottom w:w="80" w:type="dxa"/>
              <w:right w:w="100" w:type="dxa"/>
            </w:tcMar>
          </w:tcPr>
          <w:p>
            <w:pPr>
              <w:keepNext/>
              <w:jc w:val="center"/>
            </w:pPr>
            <w:r>
              <w:rPr>
                <w:b/>
                <w:bCs/>
                <w:sz w:val="22"/>
                <w:szCs w:val="22"/>
              </w:rPr>
              <w:t xml:space="preserve">684 (0,26)</w:t>
            </w:r>
          </w:p>
        </w:tc>
      </w:tr>
    </w:tbl>
    <w:p>
      <w:pPr>
        <w:keepNext/>
        <w:spacing w:before="280" w:after="160"/>
      </w:pPr>
      <w:r>
        <w:rPr>
          <w:b/>
          <w:bCs/>
          <w:sz w:val="24"/>
          <w:szCs w:val="24"/>
        </w:rPr>
        <w:t>6.4 Fatores climáticos</w:t>
      </w:r>
    </w:p>
    <w:p>
      <w:pPr>
        <w:spacing w:after="200" w:line="276" w:lineRule="auto"/>
        <w:ind w:firstLine="720"/>
        <w:jc w:val="both"/>
      </w:pPr>
      <w:r>
        <w:rPr>
          <w:sz w:val="24"/>
          <w:szCs w:val="24"/>
        </w:rPr>
        <w:t xml:space="preserve">Os coeficientes do modelo F, mais estáveis para interpretação, indicam (sobre o desvio em relação ao patamar): +221 kg/ha a cada 100 mm de chuva em dez–fev acima da média (≈418 mm), com ganho decrescente (termo quadrático negativo); +32 kg/ha por ponto percentual de umidade relativa mínima em dez–fev; +47 kg/ha a cada 100 mm de chuva em março; e −4,1 kg/ha por dia de calor. A chuva de out–nov não teve efeito significativo. A Figura 4 decompõe a previsão de cada safra na contribuição de cada fator: em média, a chuva de dez–fev move a previsão em ≈260 kg/ha e a umidade mínima em ≈180 kg/ha, os dias de calor em ≈55 kg/ha e a chuva de março em ≈30 kg/ha – o período de floração e enchimento concentra quase todo o efeito do clima. No modelo H2, os termos de seca extrema foram significativos: cada 100 mm de déficit acima de ≈238 mm está associado a ≈240 kg/ha a menos, e cada ponto de umidade mínima abaixo de ≈41,6% a ≈41 kg/ha a menos, indicando que a perda se acelera quando a seca passa de um limite. O déficit hídrico foi o melhor indicador isolado de seca (correlação de −0,62 com o desvio do rendimento). Os coeficientes e as contribuições medem associação, dado o modelo, e não efeito causal de cada variável. Os p-valores tendem a ser otimistas, pois linhas da mesma safra compartilham o mesmo ano climático.</w:t>
      </w:r>
    </w:p>
    <w:p>
      <w:pPr>
        <w:keepNext/>
        <w:spacing w:before="200" w:after="60"/>
        <w:jc w:val="center"/>
      </w:pPr>
      <w:r>
        <w:drawing>
          <wp:inline distT="0" distB="0" distL="0" distR="0">
            <wp:extent cx="4860036" cy="3390722"/>
            <wp:effectExtent l="0" t="0" r="0" b="0"/>
            <wp:docPr id="904" name="Imagem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
                    <pic:cNvPicPr/>
                  </pic:nvPicPr>
                  <pic:blipFill>
                    <a:blip r:embed="rId13"/>
                    <a:stretch>
                      <a:fillRect/>
                    </a:stretch>
                  </pic:blipFill>
                  <pic:spPr>
                    <a:xfrm>
                      <a:off x="0" y="0"/>
                      <a:ext cx="4860036" cy="3390722"/>
                    </a:xfrm>
                    <a:prstGeom prst="rect">
                      <a:avLst/>
                    </a:prstGeom>
                  </pic:spPr>
                </pic:pic>
              </a:graphicData>
            </a:graphic>
          </wp:inline>
        </w:drawing>
      </w:r>
    </w:p>
    <w:p>
      <w:pPr>
        <w:spacing w:before="120" w:after="300"/>
        <w:jc w:val="center"/>
      </w:pPr>
      <w:r>
        <w:rPr>
          <w:i/>
          <w:iCs/>
          <w:sz w:val="22"/>
          <w:szCs w:val="22"/>
        </w:rPr>
        <w:t xml:space="preserve">Figura 4 – Contribuição de cada fator climático para o desvio do rendimento em relação ao patamar, por safra (modelo F; equivalente aos valores SHAP). Losango: desvio previsto; círculo: desvio observado. Fonte: elaboração própria (2026).</w:t>
      </w:r>
    </w:p>
    <w:p>
      <w:pPr>
        <w:keepNext/>
        <w:spacing w:before="280" w:after="160"/>
      </w:pPr>
      <w:r>
        <w:rPr>
          <w:b/>
          <w:bCs/>
          <w:sz w:val="24"/>
          <w:szCs w:val="24"/>
        </w:rPr>
        <w:t>6.5 Safras de seca</w:t>
      </w:r>
    </w:p>
    <w:p>
      <w:pPr>
        <w:spacing w:after="200" w:line="276" w:lineRule="auto"/>
        <w:ind w:firstLine="720"/>
        <w:jc w:val="both"/>
      </w:pPr>
      <w:r>
        <w:rPr>
          <w:sz w:val="24"/>
          <w:szCs w:val="24"/>
        </w:rPr>
        <w:t xml:space="preserve">A Figura 5 mostra, para cada safra prevista sem ter sido vista pelo modelo, o desvio médio estadual em relação ao patamar. A quebra de 2012 foi antecipada por inteiro (e até superestimada); com o balanço hídrico e os limiares, a captação da quebra de 2023 passou de ≈52% para ≈62%, e a de 2022, de ≈35% para ≈47%. A quebra de 2020 (≈1.075 kg/ha abaixo do patamar) não foi captada (≈7%): pelas estações do INMET, o verão de 2020 foi apenas moderadamente seco (déficit médio de 234 mm, contra 322 mm em 2012), com primavera chuvosa. A perda de 2020 não está nas variáveis disponíveis – possivelmente por chuva concentrada em poucos eventos, estações distantes das lavouras ou efeitos fora de dez–fev –, o que caracteriza um limite de informação, e não de algoritmo.</w:t>
      </w:r>
    </w:p>
    <w:p>
      <w:pPr>
        <w:keepNext/>
        <w:spacing w:before="200" w:after="60"/>
        <w:jc w:val="center"/>
      </w:pPr>
      <w:r>
        <w:drawing>
          <wp:inline distT="0" distB="0" distL="0" distR="0">
            <wp:extent cx="4860036" cy="2162200"/>
            <wp:effectExtent l="0" t="0" r="0" b="0"/>
            <wp:docPr id="905" name="Imagem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
                    <pic:cNvPicPr/>
                  </pic:nvPicPr>
                  <pic:blipFill>
                    <a:blip r:embed="rId14"/>
                    <a:stretch>
                      <a:fillRect/>
                    </a:stretch>
                  </pic:blipFill>
                  <pic:spPr>
                    <a:xfrm>
                      <a:off x="0" y="0"/>
                      <a:ext cx="4860036" cy="2162200"/>
                    </a:xfrm>
                    <a:prstGeom prst="rect">
                      <a:avLst/>
                    </a:prstGeom>
                  </pic:spPr>
                </pic:pic>
              </a:graphicData>
            </a:graphic>
          </wp:inline>
        </w:drawing>
      </w:r>
    </w:p>
    <w:p>
      <w:pPr>
        <w:spacing w:before="120" w:after="300"/>
        <w:jc w:val="center"/>
      </w:pPr>
      <w:r>
        <w:rPr>
          <w:i/>
          <w:iCs/>
          <w:sz w:val="22"/>
          <w:szCs w:val="22"/>
        </w:rPr>
        <w:t xml:space="preserve">Figura 5 – Desvio médio estadual em relação ao patamar, por safra, na validação deixando uma safra de fora: observado e previsto pelos modelos F e H2. Fonte: elaboração própria (2026).</w:t>
      </w:r>
    </w:p>
    <w:p>
      <w:pPr>
        <w:keepNext/>
        <w:spacing w:before="280" w:after="160"/>
      </w:pPr>
      <w:r>
        <w:rPr>
          <w:b/>
          <w:bCs/>
          <w:sz w:val="24"/>
          <w:szCs w:val="24"/>
        </w:rPr>
        <w:t>6.6 Erro por região e por município</w:t>
      </w:r>
    </w:p>
    <w:p>
      <w:pPr>
        <w:spacing w:after="200" w:line="276" w:lineRule="auto"/>
        <w:ind w:firstLine="720"/>
        <w:jc w:val="both"/>
      </w:pPr>
      <w:r>
        <w:rPr>
          <w:sz w:val="24"/>
          <w:szCs w:val="24"/>
        </w:rPr>
        <w:t xml:space="preserve">O erro relativo (MAE como percentual do rendimento médio) foi menor no Nordeste (18,8%) e no Noroeste (20,4%) – principal região produtora, com mais da metade das linhas da base – e maior no Sudeste (27,7%) e no Sudoeste (30,2%), regiões de produtividade média menor (Figura 6; validação deixando uma safra de fora). Entre os 375 municípios com pelo menos 8 safras avaliadas, o erro relativo mediano foi de 21,2% (metade entre 17% e 27%), e municípios mais produtivos tiveram erro relativo menor (correlação de −0,62). Esses valores referem-se ao modelo F; o modelo H2 difere dele em cerca de 1% no RMSE dessa validação.</w:t>
      </w:r>
    </w:p>
    <w:p>
      <w:pPr>
        <w:keepNext/>
        <w:spacing w:before="200" w:after="60"/>
        <w:jc w:val="center"/>
      </w:pPr>
      <w:r>
        <w:drawing>
          <wp:inline distT="0" distB="0" distL="0" distR="0">
            <wp:extent cx="3780027" cy="2105331"/>
            <wp:effectExtent l="0" t="0" r="0" b="0"/>
            <wp:docPr id="906" name="Imagem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
                    <pic:cNvPicPr/>
                  </pic:nvPicPr>
                  <pic:blipFill>
                    <a:blip r:embed="rId15"/>
                    <a:stretch>
                      <a:fillRect/>
                    </a:stretch>
                  </pic:blipFill>
                  <pic:spPr>
                    <a:xfrm>
                      <a:off x="0" y="0"/>
                      <a:ext cx="3780027" cy="2105331"/>
                    </a:xfrm>
                    <a:prstGeom prst="rect">
                      <a:avLst/>
                    </a:prstGeom>
                  </pic:spPr>
                </pic:pic>
              </a:graphicData>
            </a:graphic>
          </wp:inline>
        </w:drawing>
      </w:r>
    </w:p>
    <w:p>
      <w:pPr>
        <w:spacing w:before="120" w:after="300"/>
        <w:jc w:val="center"/>
      </w:pPr>
      <w:r>
        <w:rPr>
          <w:i/>
          <w:iCs/>
          <w:sz w:val="22"/>
          <w:szCs w:val="22"/>
        </w:rPr>
        <w:t xml:space="preserve">Figura 6 – Erro relativo (MAE % do rendimento médio) por mesorregião do IBGE, nas duas validações (modelo F). Fonte: elaboração própria (2026).</w:t>
      </w:r>
    </w:p>
    <w:p>
      <w:pPr>
        <w:keepNext/>
        <w:spacing w:before="280" w:after="160"/>
      </w:pPr>
      <w:r>
        <w:rPr>
          <w:b/>
          <w:bCs/>
          <w:sz w:val="24"/>
          <w:szCs w:val="24"/>
        </w:rPr>
        <w:t>6.7 Aplicação: recomendação de adubação</w:t>
      </w:r>
    </w:p>
    <w:p>
      <w:pPr>
        <w:spacing w:after="200" w:line="276" w:lineRule="auto"/>
        <w:ind w:firstLine="720"/>
        <w:jc w:val="both"/>
      </w:pPr>
      <w:r>
        <w:rPr>
          <w:sz w:val="24"/>
          <w:szCs w:val="24"/>
        </w:rPr>
        <w:t xml:space="preserve">Como não há dado público de adubação efetivamente aplicada por município e safra, as tabelas da Embrapa/CQFS-RS/SC [Reunião de Pesquisa de Soja da Região Sul 2014, SBCS/CQFS-RS/SC 2016] foram usadas como aplicação do modelo, e não como variável de previsão. A adubação é decidida no plantio, antes do clima do verão; por isso, o rendimento esperado usado é o patamar do modelo. No plantio da safra 2026 (out–nov/2025), a última PAM publicada é a de 2024, e o patamar é a média do município em 2020–2024; para a safra 2027, a janela passa a 2021–2025, e assim por diante. As doses resultantes são atributos normativos – o que as tabelas recomendam para o rendimento esperado –, e não a adubação efetivamente aplicada. A Tabela 2.4 da Embrapa indica a dose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K</w:t>
      </w:r>
      <w:r>
        <w:rPr>
          <w:sz w:val="24"/>
          <w:szCs w:val="24"/>
          <w:vertAlign w:val="subscript"/>
        </w:rPr>
        <w:t xml:space="preserve">2</w:t>
      </w:r>
      <w:r>
        <w:rPr>
          <w:sz w:val="24"/>
          <w:szCs w:val="24"/>
        </w:rPr>
        <w:t xml:space="preserve">O por classe de teor do nutriente no solo para rendimento de 2 t/ha, acrescida de 15 kg/ha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25 kg/ha de K</w:t>
      </w:r>
      <w:r>
        <w:rPr>
          <w:sz w:val="24"/>
          <w:szCs w:val="24"/>
          <w:vertAlign w:val="subscript"/>
        </w:rPr>
        <w:t xml:space="preserve">2</w:t>
      </w:r>
      <w:r>
        <w:rPr>
          <w:sz w:val="24"/>
          <w:szCs w:val="24"/>
        </w:rPr>
        <w:t xml:space="preserve">O por tonelada adicional (aplicado aqui de forma proporcional). A dose é apresentada para as cinco classes, e o produtor identifica a sua pela análise de solo (Tabela 2.3). Duas regras de interpretação do grupo: doses zero da tabela (classe “Muito alto”, 1º cultivo) foram mantidas em zero, e rendimentos esperados abaixo de 2 t/ha usam a dose da tabela, sem redução. O resultado, para 429 municípios, está no arquivo recomendacao_adubacao_safra2026.csv (pasta dataset/processed do repositório); a Tabela 7 ilustra três mesorregiões.</w:t>
      </w:r>
    </w:p>
    <w:p>
      <w:pPr>
        <w:keepNext/>
        <w:spacing w:before="120" w:after="300"/>
        <w:jc w:val="center"/>
      </w:pPr>
      <w:r>
        <w:rPr>
          <w:i/>
          <w:iCs/>
          <w:sz w:val="22"/>
          <w:szCs w:val="22"/>
        </w:rPr>
        <w:t xml:space="preserve">Tabela 7 – Dose recomendada no 1º cultivo (kg/ha) para o rendimento esperado mediano de três mesorregiões, por classe de teor do solo. Fonte: elaboração própria a partir de Embrapa/CQFS-RS/SC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00"/>
        <w:gridCol w:w="1000"/>
        <w:gridCol w:w="1000"/>
        <w:gridCol w:w="1000"/>
        <w:gridCol w:w="1000"/>
        <w:gridCol w:w="1000"/>
        <w:gridCol w:w="1000"/>
      </w:tblGrid>
      <w:tr>
        <w:trPr>
          <w:cantSplit/>
          <w:tblHeader/>
        </w:trPr>
        <w:tc>
          <w:tcPr>
            <w:tcW w:w="2500" w:type="dxa"/>
            <w:shd w:val="clear" w:color="auto" w:fill="D9D9D9"/>
            <w:tcMar>
              <w:top w:w="80" w:type="dxa"/>
              <w:left w:w="100" w:type="dxa"/>
              <w:bottom w:w="80" w:type="dxa"/>
              <w:right w:w="100" w:type="dxa"/>
            </w:tcMar>
          </w:tcPr>
          <w:p>
            <w:pPr>
              <w:keepNext/>
            </w:pPr>
            <w:r>
              <w:rPr>
                <w:b/>
                <w:bCs/>
                <w:sz w:val="22"/>
                <w:szCs w:val="22"/>
              </w:rPr>
              <w:t xml:space="preserve">Mesorregião (rend. esperado)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Nutriente</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M. baixo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Baixo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Médio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Alto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M. alto</w:t>
            </w:r>
          </w:p>
        </w:tc>
      </w:tr>
      <w:tr>
        <w:trPr>
          <w:cantSplit/>
        </w:trPr>
        <w:tc>
          <w:tcPr>
            <w:tcW w:w="2500" w:type="dxa"/>
            <w:vMerge w:val="restart"/>
            <w:tcMar>
              <w:top w:w="80" w:type="dxa"/>
              <w:left w:w="100" w:type="dxa"/>
              <w:bottom w:w="80" w:type="dxa"/>
              <w:right w:w="100" w:type="dxa"/>
            </w:tcMar>
          </w:tcPr>
          <w:p>
            <w:pPr>
              <w:keepNext/>
            </w:pPr>
            <w:r>
              <w:rPr>
                <w:sz w:val="22"/>
                <w:szCs w:val="22"/>
              </w:rPr>
              <w:t xml:space="preserve">Nordeste (2.774 kg/ha)</w:t>
            </w:r>
          </w:p>
        </w:tc>
        <w:tc>
          <w:tcPr>
            <w:tcW w:w="1000" w:type="dxa"/>
            <w:tcMar>
              <w:top w:w="80" w:type="dxa"/>
              <w:left w:w="100" w:type="dxa"/>
              <w:bottom w:w="80" w:type="dxa"/>
              <w:right w:w="100" w:type="dxa"/>
            </w:tcMar>
          </w:tcPr>
          <w:p>
            <w:pPr>
              <w:keepNext/>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keepNext/>
              <w:jc w:val="center"/>
            </w:pPr>
            <w:r>
              <w:rPr>
                <w:sz w:val="22"/>
                <w:szCs w:val="22"/>
              </w:rPr>
              <w:t xml:space="preserve">122</w:t>
            </w:r>
          </w:p>
        </w:tc>
        <w:tc>
          <w:tcPr>
            <w:tcW w:w="1000" w:type="dxa"/>
            <w:tcMar>
              <w:top w:w="80" w:type="dxa"/>
              <w:left w:w="100" w:type="dxa"/>
              <w:bottom w:w="80" w:type="dxa"/>
              <w:right w:w="100" w:type="dxa"/>
            </w:tcMar>
          </w:tcPr>
          <w:p>
            <w:pPr>
              <w:keepNext/>
              <w:jc w:val="center"/>
            </w:pPr>
            <w:r>
              <w:rPr>
                <w:sz w:val="22"/>
                <w:szCs w:val="22"/>
              </w:rPr>
              <w:t xml:space="preserve">82</w:t>
            </w:r>
          </w:p>
        </w:tc>
        <w:tc>
          <w:tcPr>
            <w:tcW w:w="1000" w:type="dxa"/>
            <w:tcMar>
              <w:top w:w="80" w:type="dxa"/>
              <w:left w:w="100" w:type="dxa"/>
              <w:bottom w:w="80" w:type="dxa"/>
              <w:right w:w="100" w:type="dxa"/>
            </w:tcMar>
          </w:tcPr>
          <w:p>
            <w:pPr>
              <w:keepNext/>
              <w:jc w:val="center"/>
            </w:pPr>
            <w:r>
              <w:rPr>
                <w:sz w:val="22"/>
                <w:szCs w:val="22"/>
              </w:rPr>
              <w:t xml:space="preserve">72</w:t>
            </w:r>
          </w:p>
        </w:tc>
        <w:tc>
          <w:tcPr>
            <w:tcW w:w="1000" w:type="dxa"/>
            <w:tcMar>
              <w:top w:w="80" w:type="dxa"/>
              <w:left w:w="100" w:type="dxa"/>
              <w:bottom w:w="80" w:type="dxa"/>
              <w:right w:w="100" w:type="dxa"/>
            </w:tcMar>
          </w:tcPr>
          <w:p>
            <w:pPr>
              <w:keepNext/>
              <w:jc w:val="center"/>
            </w:pPr>
            <w:r>
              <w:rPr>
                <w:sz w:val="22"/>
                <w:szCs w:val="22"/>
              </w:rPr>
              <w:t xml:space="preserve">42</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144</w:t>
            </w:r>
          </w:p>
        </w:tc>
        <w:tc>
          <w:tcPr>
            <w:tcW w:w="1000" w:type="dxa"/>
            <w:tcMar>
              <w:top w:w="80" w:type="dxa"/>
              <w:left w:w="100" w:type="dxa"/>
              <w:bottom w:w="80" w:type="dxa"/>
              <w:right w:w="100" w:type="dxa"/>
            </w:tcMar>
          </w:tcPr>
          <w:p>
            <w:pPr>
              <w:keepNext/>
              <w:jc w:val="center"/>
            </w:pPr>
            <w:r>
              <w:rPr>
                <w:sz w:val="22"/>
                <w:szCs w:val="22"/>
              </w:rPr>
              <w:t xml:space="preserve">104</w:t>
            </w:r>
          </w:p>
        </w:tc>
        <w:tc>
          <w:tcPr>
            <w:tcW w:w="1000" w:type="dxa"/>
            <w:tcMar>
              <w:top w:w="80" w:type="dxa"/>
              <w:left w:w="100" w:type="dxa"/>
              <w:bottom w:w="80" w:type="dxa"/>
              <w:right w:w="100" w:type="dxa"/>
            </w:tcMar>
          </w:tcPr>
          <w:p>
            <w:pPr>
              <w:keepNext/>
              <w:jc w:val="center"/>
            </w:pPr>
            <w:r>
              <w:rPr>
                <w:sz w:val="22"/>
                <w:szCs w:val="22"/>
              </w:rPr>
              <w:t xml:space="preserve">94</w:t>
            </w:r>
          </w:p>
        </w:tc>
        <w:tc>
          <w:tcPr>
            <w:tcW w:w="1000" w:type="dxa"/>
            <w:tcMar>
              <w:top w:w="80" w:type="dxa"/>
              <w:left w:w="100" w:type="dxa"/>
              <w:bottom w:w="80" w:type="dxa"/>
              <w:right w:w="100" w:type="dxa"/>
            </w:tcMar>
          </w:tcPr>
          <w:p>
            <w:pPr>
              <w:keepNext/>
              <w:jc w:val="center"/>
            </w:pPr>
            <w:r>
              <w:rPr>
                <w:sz w:val="22"/>
                <w:szCs w:val="22"/>
              </w:rPr>
              <w:t xml:space="preserve">64</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val="restart"/>
            <w:tcMar>
              <w:top w:w="80" w:type="dxa"/>
              <w:left w:w="100" w:type="dxa"/>
              <w:bottom w:w="80" w:type="dxa"/>
              <w:right w:w="100" w:type="dxa"/>
            </w:tcMar>
          </w:tcPr>
          <w:p>
            <w:pPr>
              <w:keepNext/>
            </w:pPr>
            <w:r>
              <w:rPr>
                <w:sz w:val="22"/>
                <w:szCs w:val="22"/>
              </w:rPr>
              <w:t xml:space="preserve">Noroeste (2.544 kg/ha)</w:t>
            </w:r>
          </w:p>
        </w:tc>
        <w:tc>
          <w:tcPr>
            <w:tcW w:w="1000" w:type="dxa"/>
            <w:tcMar>
              <w:top w:w="80" w:type="dxa"/>
              <w:left w:w="100" w:type="dxa"/>
              <w:bottom w:w="80" w:type="dxa"/>
              <w:right w:w="100" w:type="dxa"/>
            </w:tcMar>
          </w:tcPr>
          <w:p>
            <w:pPr>
              <w:keepNext/>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keepNext/>
              <w:jc w:val="center"/>
            </w:pPr>
            <w:r>
              <w:rPr>
                <w:sz w:val="22"/>
                <w:szCs w:val="22"/>
              </w:rPr>
              <w:t xml:space="preserve">118</w:t>
            </w:r>
          </w:p>
        </w:tc>
        <w:tc>
          <w:tcPr>
            <w:tcW w:w="1000" w:type="dxa"/>
            <w:tcMar>
              <w:top w:w="80" w:type="dxa"/>
              <w:left w:w="100" w:type="dxa"/>
              <w:bottom w:w="80" w:type="dxa"/>
              <w:right w:w="100" w:type="dxa"/>
            </w:tcMar>
          </w:tcPr>
          <w:p>
            <w:pPr>
              <w:keepNext/>
              <w:jc w:val="center"/>
            </w:pPr>
            <w:r>
              <w:rPr>
                <w:sz w:val="22"/>
                <w:szCs w:val="22"/>
              </w:rPr>
              <w:t xml:space="preserve">78</w:t>
            </w:r>
          </w:p>
        </w:tc>
        <w:tc>
          <w:tcPr>
            <w:tcW w:w="1000" w:type="dxa"/>
            <w:tcMar>
              <w:top w:w="80" w:type="dxa"/>
              <w:left w:w="100" w:type="dxa"/>
              <w:bottom w:w="80" w:type="dxa"/>
              <w:right w:w="100" w:type="dxa"/>
            </w:tcMar>
          </w:tcPr>
          <w:p>
            <w:pPr>
              <w:keepNext/>
              <w:jc w:val="center"/>
            </w:pPr>
            <w:r>
              <w:rPr>
                <w:sz w:val="22"/>
                <w:szCs w:val="22"/>
              </w:rPr>
              <w:t xml:space="preserve">68</w:t>
            </w:r>
          </w:p>
        </w:tc>
        <w:tc>
          <w:tcPr>
            <w:tcW w:w="1000" w:type="dxa"/>
            <w:tcMar>
              <w:top w:w="80" w:type="dxa"/>
              <w:left w:w="100" w:type="dxa"/>
              <w:bottom w:w="80" w:type="dxa"/>
              <w:right w:w="100" w:type="dxa"/>
            </w:tcMar>
          </w:tcPr>
          <w:p>
            <w:pPr>
              <w:keepNext/>
              <w:jc w:val="center"/>
            </w:pPr>
            <w:r>
              <w:rPr>
                <w:sz w:val="22"/>
                <w:szCs w:val="22"/>
              </w:rPr>
              <w:t xml:space="preserve">38</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139</w:t>
            </w:r>
          </w:p>
        </w:tc>
        <w:tc>
          <w:tcPr>
            <w:tcW w:w="1000" w:type="dxa"/>
            <w:tcMar>
              <w:top w:w="80" w:type="dxa"/>
              <w:left w:w="100" w:type="dxa"/>
              <w:bottom w:w="80" w:type="dxa"/>
              <w:right w:w="100" w:type="dxa"/>
            </w:tcMar>
          </w:tcPr>
          <w:p>
            <w:pPr>
              <w:keepNext/>
              <w:jc w:val="center"/>
            </w:pPr>
            <w:r>
              <w:rPr>
                <w:sz w:val="22"/>
                <w:szCs w:val="22"/>
              </w:rPr>
              <w:t xml:space="preserve">99</w:t>
            </w:r>
          </w:p>
        </w:tc>
        <w:tc>
          <w:tcPr>
            <w:tcW w:w="1000" w:type="dxa"/>
            <w:tcMar>
              <w:top w:w="80" w:type="dxa"/>
              <w:left w:w="100" w:type="dxa"/>
              <w:bottom w:w="80" w:type="dxa"/>
              <w:right w:w="100" w:type="dxa"/>
            </w:tcMar>
          </w:tcPr>
          <w:p>
            <w:pPr>
              <w:keepNext/>
              <w:jc w:val="center"/>
            </w:pPr>
            <w:r>
              <w:rPr>
                <w:sz w:val="22"/>
                <w:szCs w:val="22"/>
              </w:rPr>
              <w:t xml:space="preserve">89</w:t>
            </w:r>
          </w:p>
        </w:tc>
        <w:tc>
          <w:tcPr>
            <w:tcW w:w="1000" w:type="dxa"/>
            <w:tcMar>
              <w:top w:w="80" w:type="dxa"/>
              <w:left w:w="100" w:type="dxa"/>
              <w:bottom w:w="80" w:type="dxa"/>
              <w:right w:w="100" w:type="dxa"/>
            </w:tcMar>
          </w:tcPr>
          <w:p>
            <w:pPr>
              <w:keepNext/>
              <w:jc w:val="center"/>
            </w:pPr>
            <w:r>
              <w:rPr>
                <w:sz w:val="22"/>
                <w:szCs w:val="22"/>
              </w:rPr>
              <w:t xml:space="preserve">59</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val="restart"/>
            <w:tcMar>
              <w:top w:w="80" w:type="dxa"/>
              <w:left w:w="100" w:type="dxa"/>
              <w:bottom w:w="80" w:type="dxa"/>
              <w:right w:w="100" w:type="dxa"/>
            </w:tcMar>
          </w:tcPr>
          <w:p>
            <w:pPr>
              <w:keepNext/>
            </w:pPr>
            <w:r>
              <w:rPr>
                <w:sz w:val="22"/>
                <w:szCs w:val="22"/>
              </w:rPr>
              <w:t xml:space="preserve">Sudoeste (1.760 kg/ha)</w:t>
            </w:r>
          </w:p>
        </w:tc>
        <w:tc>
          <w:tcPr>
            <w:tcW w:w="1000" w:type="dxa"/>
            <w:tcMar>
              <w:top w:w="80" w:type="dxa"/>
              <w:left w:w="100" w:type="dxa"/>
              <w:bottom w:w="80" w:type="dxa"/>
              <w:right w:w="100" w:type="dxa"/>
            </w:tcMar>
          </w:tcPr>
          <w:p>
            <w:pPr>
              <w:keepNext/>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keepNext/>
              <w:jc w:val="center"/>
            </w:pPr>
            <w:r>
              <w:rPr>
                <w:sz w:val="22"/>
                <w:szCs w:val="22"/>
              </w:rPr>
              <w:t xml:space="preserve">110</w:t>
            </w:r>
          </w:p>
        </w:tc>
        <w:tc>
          <w:tcPr>
            <w:tcW w:w="1000" w:type="dxa"/>
            <w:tcMar>
              <w:top w:w="80" w:type="dxa"/>
              <w:left w:w="100" w:type="dxa"/>
              <w:bottom w:w="80" w:type="dxa"/>
              <w:right w:w="100" w:type="dxa"/>
            </w:tcMar>
          </w:tcPr>
          <w:p>
            <w:pPr>
              <w:keepNext/>
              <w:jc w:val="center"/>
            </w:pPr>
            <w:r>
              <w:rPr>
                <w:sz w:val="22"/>
                <w:szCs w:val="22"/>
              </w:rPr>
              <w:t xml:space="preserve">70</w:t>
            </w:r>
          </w:p>
        </w:tc>
        <w:tc>
          <w:tcPr>
            <w:tcW w:w="1000" w:type="dxa"/>
            <w:tcMar>
              <w:top w:w="80" w:type="dxa"/>
              <w:left w:w="100" w:type="dxa"/>
              <w:bottom w:w="80" w:type="dxa"/>
              <w:right w:w="100" w:type="dxa"/>
            </w:tcMar>
          </w:tcPr>
          <w:p>
            <w:pPr>
              <w:keepNext/>
              <w:jc w:val="center"/>
            </w:pPr>
            <w:r>
              <w:rPr>
                <w:sz w:val="22"/>
                <w:szCs w:val="22"/>
              </w:rPr>
              <w:t xml:space="preserve">60</w:t>
            </w:r>
          </w:p>
        </w:tc>
        <w:tc>
          <w:tcPr>
            <w:tcW w:w="1000" w:type="dxa"/>
            <w:tcMar>
              <w:top w:w="80" w:type="dxa"/>
              <w:left w:w="100" w:type="dxa"/>
              <w:bottom w:w="80" w:type="dxa"/>
              <w:right w:w="100" w:type="dxa"/>
            </w:tcMar>
          </w:tcPr>
          <w:p>
            <w:pPr>
              <w:keepNext/>
              <w:jc w:val="center"/>
            </w:pPr>
            <w:r>
              <w:rPr>
                <w:sz w:val="22"/>
                <w:szCs w:val="22"/>
              </w:rPr>
              <w:t xml:space="preserve">30</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125</w:t>
            </w:r>
          </w:p>
        </w:tc>
        <w:tc>
          <w:tcPr>
            <w:tcW w:w="1000" w:type="dxa"/>
            <w:tcMar>
              <w:top w:w="80" w:type="dxa"/>
              <w:left w:w="100" w:type="dxa"/>
              <w:bottom w:w="80" w:type="dxa"/>
              <w:right w:w="100" w:type="dxa"/>
            </w:tcMar>
          </w:tcPr>
          <w:p>
            <w:pPr>
              <w:keepNext/>
              <w:jc w:val="center"/>
            </w:pPr>
            <w:r>
              <w:rPr>
                <w:sz w:val="22"/>
                <w:szCs w:val="22"/>
              </w:rPr>
              <w:t xml:space="preserve">85</w:t>
            </w:r>
          </w:p>
        </w:tc>
        <w:tc>
          <w:tcPr>
            <w:tcW w:w="1000" w:type="dxa"/>
            <w:tcMar>
              <w:top w:w="80" w:type="dxa"/>
              <w:left w:w="100" w:type="dxa"/>
              <w:bottom w:w="80" w:type="dxa"/>
              <w:right w:w="100" w:type="dxa"/>
            </w:tcMar>
          </w:tcPr>
          <w:p>
            <w:pPr>
              <w:keepNext/>
              <w:jc w:val="center"/>
            </w:pPr>
            <w:r>
              <w:rPr>
                <w:sz w:val="22"/>
                <w:szCs w:val="22"/>
              </w:rPr>
              <w:t xml:space="preserve">75</w:t>
            </w:r>
          </w:p>
        </w:tc>
        <w:tc>
          <w:tcPr>
            <w:tcW w:w="1000" w:type="dxa"/>
            <w:tcMar>
              <w:top w:w="80" w:type="dxa"/>
              <w:left w:w="100" w:type="dxa"/>
              <w:bottom w:w="80" w:type="dxa"/>
              <w:right w:w="100" w:type="dxa"/>
            </w:tcMar>
          </w:tcPr>
          <w:p>
            <w:pPr>
              <w:keepNext/>
              <w:jc w:val="center"/>
            </w:pPr>
            <w:r>
              <w:rPr>
                <w:sz w:val="22"/>
                <w:szCs w:val="22"/>
              </w:rPr>
              <w:t xml:space="preserve">45</w:t>
            </w:r>
          </w:p>
        </w:tc>
        <w:tc>
          <w:tcPr>
            <w:tcW w:w="1000" w:type="dxa"/>
            <w:tcMar>
              <w:top w:w="80" w:type="dxa"/>
              <w:left w:w="100" w:type="dxa"/>
              <w:bottom w:w="80" w:type="dxa"/>
              <w:right w:w="100" w:type="dxa"/>
            </w:tcMar>
          </w:tcPr>
          <w:p>
            <w:pPr>
              <w:keepNext/>
              <w:jc w:val="center"/>
            </w:pPr>
            <w:r>
              <w:rPr>
                <w:sz w:val="22"/>
                <w:szCs w:val="22"/>
              </w:rPr>
              <w:t xml:space="preserve">0</w:t>
            </w:r>
          </w:p>
        </w:tc>
      </w:tr>
    </w:tbl>
    <w:p>
      <w:pPr>
        <w:keepNext/>
      </w:pPr>
      <w:r>
        <w:rPr>
          <w:b/>
          <w:bCs/>
          <w:sz w:val="28"/>
          <w:szCs w:val="28"/>
        </w:rPr>
        <w:t>7. Discussão e Limitações</w:t>
      </w:r>
    </w:p>
    <w:p>
      <w:pPr>
        <w:spacing w:after="200" w:line="276" w:lineRule="auto"/>
        <w:ind w:firstLine="720"/>
        <w:jc w:val="both"/>
      </w:pPr>
      <w:r>
        <w:rPr>
          <w:sz w:val="24"/>
          <w:szCs w:val="24"/>
        </w:rPr>
        <w:t xml:space="preserve">Ao contrário do que sugerem estudos com bases maiores [Jeong et al. 2016, von Bloh et al. 2023], a regressão linear superou Random Forest e Gradient Boosting. Dois fatores explicam o resultado: a base tem cerca de 5 mil linhas e 21 safras, pouco para modelos mais flexíveis; e as secas recentes foram mais extremas que qualquer safra do treino – 2022 teve 44 dias de calor em dez–fev, contra no máximo 33 até 2020 –, e modelos de árvores não extrapolam além dos valores observados no treino. A não linearidade relevante (perda que se acelera na seca extrema) foi capturada por termos de limiar explícitos, mantendo o modelo interpretável.</w:t>
      </w:r>
    </w:p>
    <w:p>
      <w:pPr>
        <w:spacing w:after="200" w:line="276" w:lineRule="auto"/>
        <w:ind w:firstLine="720"/>
        <w:jc w:val="both"/>
      </w:pPr>
      <w:r>
        <w:rPr>
          <w:sz w:val="24"/>
          <w:szCs w:val="24"/>
        </w:rPr>
        <w:t xml:space="preserve">O resultado mais sensível é o do corte 2021–2025. Com o patamar restrito às safras publicadas, o modelo não superou a média histórica nesse período, embora tenha acertado a direção das safras (correlação de 0,84 entre as médias estaduais prevista e observada). A comparação com o cenário Y−1 mostra que a maior parte dessa diferença vem da defasagem de publicação da PAM, e não do componente climático: o modelo responde ao clima, mas parte de um patamar que ainda não “viu” as quebras mais recentes. Fixar a data de emissão e restringir os dados ao que estava publicado reduz os números, mas dá uma medida realista do desempenho no uso operacional nas próximas safras (2026, 2027, 2028).</w:t>
      </w:r>
    </w:p>
    <w:p>
      <w:pPr>
        <w:spacing w:after="200" w:line="276" w:lineRule="auto"/>
        <w:ind w:firstLine="720"/>
        <w:jc w:val="both"/>
      </w:pPr>
      <w:r>
        <w:rPr>
          <w:sz w:val="24"/>
          <w:szCs w:val="24"/>
        </w:rPr>
        <w:t xml:space="preserve">O erro remanescente (≈21% por município) reflete principalmente limites de informação: metade dos pares município–safra com rendimento não tem clima do INMET com cobertura suficiente; o clima de cada município vem da estação mais próxima, que pode estar a dezenas de quilômetros; e fatores como pragas, doenças, data de semeadura e manejo não estão nos dados. O próprio rendimento municipal da PAM é uma estimativa, e alguns municípios apresentam valores idênticos em safras consecutivas. Hipóteses declaradas: CAD única de 75 mm e coeficiente de cultura igual a 1 no balanço hídrico; e, na adubação, uso de recomendação normativa (não de dose aplicada), com rendimento esperado (2020–2024) que inclui três secas e pode estar abaixo do potencial do produtor. Como extensões, a inclusão de clima em grade (ex.: NASA POWER) ampliaria a cobertura e aproximaria o clima das lavouras, e índices de vegetação por satélite (NDVI) poderiam captar perdas que o clima não explica, como a de 2020.</w:t>
      </w:r>
    </w:p>
    <w:p>
      <w:pPr>
        <w:keepNext/>
      </w:pPr>
      <w:r>
        <w:rPr>
          <w:b/>
          <w:bCs/>
          <w:sz w:val="28"/>
          <w:szCs w:val="28"/>
        </w:rPr>
        <w:t>8. Conclusão</w:t>
      </w:r>
    </w:p>
    <w:p>
      <w:pPr>
        <w:spacing w:after="200" w:line="276" w:lineRule="auto"/>
        <w:ind w:firstLine="720"/>
        <w:jc w:val="both"/>
      </w:pPr>
      <w:r>
        <w:rPr>
          <w:sz w:val="24"/>
          <w:szCs w:val="24"/>
        </w:rPr>
        <w:t xml:space="preserve">O trabalho construiu uma base municipal integrada e reprodutível e um modelo que prevê, em 31 de março e apenas com dados já publicados, o rendimento da soja de cada município do RS. Na validação deixando uma safra de fora, o erro foi 22% menor que o da média histórica do município; no período 2021–2025, de secas consecutivas, o modelo empatou com ela, e a defasagem de publicação da PAM explica a maior parte dessa diferença. Os resultados mostram que, para este problema, a forma de representar o clima e o patamar de produtividade pesou mais do que a escolha do algoritmo: resumir a chuva por subperíodo, calcular o patamar apenas com as safras publicadas e representar explicitamente a seca extrema trouxeram os ganhos, enquanto modelos de árvores não superaram a regressão linear. A chuva, a umidade e o déficit hídrico de dezembro a fevereiro são as variáveis mais associadas ao desvio do rendimento. A aplicação em adubação mostra como a previsão pode apoiar uma decisão agronômica concreta, mantendo a análise de solo do produtor como referência.</w:t>
      </w:r>
    </w:p>
    <w:p w14:paraId="7D4E3F12" w14:textId="77777777" w:rsidR="00137179" w:rsidRDefault="00000000">
      <w:pPr>
        <w:spacing w:after="300" w:line="276" w:lineRule="auto"/>
        <w:jc w:val="both"/>
      </w:pPr>
      <w:r>
        <w:rPr>
          <w:b/>
          <w:bCs/>
          <w:sz w:val="24"/>
          <w:szCs w:val="24"/>
        </w:rPr>
        <w:t xml:space="preserve">Endereço GitHub: </w:t>
      </w:r>
      <w:r>
        <w:rPr>
          <w:sz w:val="24"/>
          <w:szCs w:val="24"/>
        </w:rPr>
        <w:t>https://github.com/isah5/Projeto_Safra_de_Soja</w:t>
      </w:r>
    </w:p>
    <w:p>
      <w:pPr>
        <w:keepNext/>
      </w:pPr>
      <w:r>
        <w:rPr>
          <w:b/>
          <w:bCs/>
          <w:sz w:val="28"/>
          <w:szCs w:val="28"/>
        </w:rPr>
        <w:t xml:space="preserve">Referências</w:t>
      </w:r>
    </w:p>
    <w:p>
      <w:pPr>
        <w:spacing w:after="160" w:line="276" w:lineRule="auto"/>
        <w:ind w:left="431" w:hanging="431"/>
        <w:jc w:val="left"/>
      </w:pPr>
      <w:r>
        <w:rPr>
          <w:sz w:val="22"/>
          <w:szCs w:val="22"/>
        </w:rPr>
        <w:t xml:space="preserve">Allen, R. G., Pereira, L. S., Raes, D. e Smith, M. (1998). Crop evapotranspiration: guidelines for computing crop water requirements. FAO Irrigation and Drainage Paper 56. FAO, Roma.</w:t>
      </w:r>
    </w:p>
    <w:p>
      <w:pPr>
        <w:spacing w:after="160" w:line="276" w:lineRule="auto"/>
        <w:ind w:left="431" w:hanging="431"/>
        <w:jc w:val="left"/>
      </w:pPr>
      <w:r>
        <w:rPr>
          <w:sz w:val="22"/>
          <w:szCs w:val="22"/>
        </w:rPr>
        <w:t xml:space="preserve">Breiman, L. (2001). Random forests. Machine Learning, 45:5–32.</w:t>
      </w:r>
    </w:p>
    <w:p>
      <w:pPr>
        <w:spacing w:after="160" w:line="276" w:lineRule="auto"/>
        <w:ind w:left="431" w:hanging="431"/>
        <w:jc w:val="left"/>
      </w:pPr>
      <w:r>
        <w:rPr>
          <w:sz w:val="22"/>
          <w:szCs w:val="22"/>
        </w:rPr>
        <w:t xml:space="preserve">Friedman, J. H. (2001). Greedy function approximation: a gradient boosting machine. The Annals of Statistics, 29(5):1189–1232.</w:t>
      </w:r>
    </w:p>
    <w:p>
      <w:pPr>
        <w:spacing w:after="160" w:line="276" w:lineRule="auto"/>
        <w:ind w:left="431" w:hanging="431"/>
        <w:jc w:val="left"/>
      </w:pPr>
      <w:r>
        <w:rPr>
          <w:sz w:val="22"/>
          <w:szCs w:val="22"/>
        </w:rPr>
        <w:t xml:space="preserve">Hargreaves, G. H. e Samani, Z. A. (1985). Reference crop evapotranspiration from temperature. Applied Engineering in Agriculture, 1(2):96–99.</w:t>
      </w:r>
    </w:p>
    <w:p>
      <w:pPr>
        <w:spacing w:after="160" w:line="276" w:lineRule="auto"/>
        <w:ind w:left="431" w:hanging="431"/>
        <w:jc w:val="left"/>
      </w:pPr>
      <w:r>
        <w:rPr>
          <w:sz w:val="22"/>
          <w:szCs w:val="22"/>
        </w:rPr>
        <w:t xml:space="preserve">IBGE (2025). PAM 2024: com queda nos preços e na safra de grãos, valor da produção agrícola cai pelo segundo ano seguido. Agência IBGE Notícias, 11 set. 2025. https://agenciadenoticias.ibge.gov.br/pt/agencia-noticias/44465-pam-2024-com-queda-nos-precos-e-na-safra-de-graos-valor-da-producao-agricola-cai-pelo-segundo-ano-seguido.html. Acesso em: 24 out. 2026.</w:t>
      </w:r>
    </w:p>
    <w:p>
      <w:pPr>
        <w:spacing w:after="160" w:line="276" w:lineRule="auto"/>
        <w:ind w:left="431" w:hanging="431"/>
        <w:jc w:val="left"/>
      </w:pPr>
      <w:r>
        <w:rPr>
          <w:sz w:val="22"/>
          <w:szCs w:val="22"/>
        </w:rPr>
        <w:t xml:space="preserve">IBGE (2026a). Produção Agrícola Municipal: tabela 1612 – lavouras temporárias. IBGE/SIDRA. https://sidra.ibge.gov.br/tabela/1612. Acesso em: 25 set. 2026.</w:t>
      </w:r>
    </w:p>
    <w:p>
      <w:pPr>
        <w:spacing w:after="160" w:line="276" w:lineRule="auto"/>
        <w:ind w:left="431" w:hanging="431"/>
        <w:jc w:val="left"/>
      </w:pPr>
      <w:r>
        <w:rPr>
          <w:sz w:val="22"/>
          <w:szCs w:val="22"/>
        </w:rPr>
        <w:t xml:space="preserve">IBGE (2026b). API de Localidades: municípios do Rio Grande do Sul. https://servicodados.ibge.gov.br/api/v1/localidades/estados/43/municipios. Acesso em: 22 out. 2026.</w:t>
      </w:r>
    </w:p>
    <w:p>
      <w:pPr>
        <w:spacing w:after="160" w:line="276" w:lineRule="auto"/>
        <w:ind w:left="431" w:hanging="431"/>
        <w:jc w:val="left"/>
      </w:pPr>
      <w:r>
        <w:rPr>
          <w:sz w:val="22"/>
          <w:szCs w:val="22"/>
        </w:rPr>
        <w:t xml:space="preserve">INMET (2026). BDMEP – Banco de Dados Meteorológicos. Instituto Nacional de Meteorologia. https://bdmep.inmet.gov.br/. Acesso em: 25 set. 2026.</w:t>
      </w:r>
    </w:p>
    <w:p>
      <w:pPr>
        <w:spacing w:after="160" w:line="276" w:lineRule="auto"/>
        <w:ind w:left="431" w:hanging="431"/>
        <w:jc w:val="left"/>
      </w:pPr>
      <w:r>
        <w:rPr>
          <w:sz w:val="22"/>
          <w:szCs w:val="22"/>
        </w:rPr>
        <w:t xml:space="preserve">Jeong, J. H. et al. (2016). Random forests for global and regional crop yield predictions. PLOS ONE, 11(6):e0156571.</w:t>
      </w:r>
    </w:p>
    <w:p>
      <w:pPr>
        <w:spacing w:after="160" w:line="276" w:lineRule="auto"/>
        <w:ind w:left="431" w:hanging="431"/>
        <w:jc w:val="left"/>
      </w:pPr>
      <w:r>
        <w:rPr>
          <w:sz w:val="22"/>
          <w:szCs w:val="22"/>
        </w:rPr>
        <w:t xml:space="preserve">Lundberg, S. M. e Lee, S.-I. (2017). A unified approach to interpreting model predictions. In Advances in Neural Information Processing Systems 30 (NIPS 2017), p. 4765–4774.</w:t>
      </w:r>
    </w:p>
    <w:p>
      <w:pPr>
        <w:spacing w:after="160" w:line="276" w:lineRule="auto"/>
        <w:ind w:left="431" w:hanging="431"/>
        <w:jc w:val="left"/>
      </w:pPr>
      <w:r>
        <w:rPr>
          <w:sz w:val="22"/>
          <w:szCs w:val="22"/>
        </w:rPr>
        <w:t xml:space="preserve">NOAA (2026). Oceanic Niño Index (ONI): cold &amp; warm episodes by season. Climate Prediction Center. https://origin.cpc.ncep.noaa.gov/products/analysis_monitoring/ensostuff/ONI_v5.php. Acesso em: 25 set. 2026.</w:t>
      </w:r>
    </w:p>
    <w:p>
      <w:pPr>
        <w:spacing w:after="160" w:line="276" w:lineRule="auto"/>
        <w:ind w:left="431" w:hanging="431"/>
        <w:jc w:val="left"/>
      </w:pPr>
      <w:r>
        <w:rPr>
          <w:sz w:val="22"/>
          <w:szCs w:val="22"/>
        </w:rPr>
        <w:t xml:space="preserve">Nóia Júnior, R. S. et al. (2020). Effects of the El Niño Southern Oscillation phenomenon and sowing dates on soybean yield and on the occurrence of extreme weather events in southern Brazil. Agricultural and Forest Meteorology, 290:108038.</w:t>
      </w:r>
    </w:p>
    <w:p>
      <w:pPr>
        <w:spacing w:after="160" w:line="276" w:lineRule="auto"/>
        <w:ind w:left="431" w:hanging="431"/>
        <w:jc w:val="left"/>
      </w:pPr>
      <w:r>
        <w:rPr>
          <w:sz w:val="22"/>
          <w:szCs w:val="22"/>
        </w:rPr>
        <w:t xml:space="preserve">Pedregosa, F. et al. (2011). Scikit-learn: machine learning in Python. Journal of Machine Learning Research, 12:2825–2830.</w:t>
      </w:r>
    </w:p>
    <w:p>
      <w:pPr>
        <w:spacing w:after="160" w:line="276" w:lineRule="auto"/>
        <w:ind w:left="431" w:hanging="431"/>
        <w:jc w:val="left"/>
      </w:pPr>
      <w:r>
        <w:rPr>
          <w:sz w:val="22"/>
          <w:szCs w:val="22"/>
        </w:rPr>
        <w:t xml:space="preserve">Pilau, F. G. et al. (2022). Impact of ENSO-related rainfall variability on soybean yield in the state of Rio Grande do Sul, Brazil. Agrometeoros, 30:e027115.</w:t>
      </w:r>
    </w:p>
    <w:p>
      <w:pPr>
        <w:spacing w:after="160" w:line="276" w:lineRule="auto"/>
        <w:ind w:left="431" w:hanging="431"/>
        <w:jc w:val="left"/>
      </w:pPr>
      <w:r>
        <w:rPr>
          <w:sz w:val="22"/>
          <w:szCs w:val="22"/>
        </w:rPr>
        <w:t xml:space="preserve">Reunião de Pesquisa de Soja da Região Sul (2014). Indicações técnicas para a cultura da soja no Rio Grande do Sul e em Santa Catarina, safras 2014/2015 e 2015/2016. https://www.infoteca.cnptia.embrapa.br/infoteca/handle/doc/1011192. Acesso em: 22 out. 2026.</w:t>
      </w:r>
    </w:p>
    <w:p>
      <w:pPr>
        <w:spacing w:after="160" w:line="276" w:lineRule="auto"/>
        <w:ind w:left="431" w:hanging="431"/>
        <w:jc w:val="left"/>
      </w:pPr>
      <w:r>
        <w:rPr>
          <w:sz w:val="22"/>
          <w:szCs w:val="22"/>
        </w:rPr>
        <w:t xml:space="preserve">SBCS/CQFS-RS/SC (2016). Manual de Calagem e Adubação para os Estados do Rio Grande do Sul e de Santa Catarina. Sociedade Brasileira de Ciência do Solo – Núcleo Regional Sul, Comissão de Química e Fertilidade do Solo – RS/SC, Porto Alegre.</w:t>
      </w:r>
    </w:p>
    <w:p>
      <w:pPr>
        <w:spacing w:after="160" w:line="276" w:lineRule="auto"/>
        <w:ind w:left="431" w:hanging="431"/>
        <w:jc w:val="left"/>
      </w:pPr>
      <w:r>
        <w:rPr>
          <w:sz w:val="22"/>
          <w:szCs w:val="22"/>
        </w:rPr>
        <w:t xml:space="preserve">van Klompenburg, T., Kassahun, A. e Catal, C. (2020). Crop yield prediction using machine learning: a systematic literature review. Computers and Electronics in Agriculture, 177:105709.</w:t>
      </w:r>
    </w:p>
    <w:p>
      <w:pPr>
        <w:spacing w:after="160" w:line="276" w:lineRule="auto"/>
        <w:ind w:left="431" w:hanging="431"/>
        <w:jc w:val="left"/>
      </w:pPr>
      <w:r>
        <w:rPr>
          <w:sz w:val="22"/>
          <w:szCs w:val="22"/>
        </w:rPr>
        <w:t xml:space="preserve">von Bloh, M. et al. (2023). Machine learning for soybean yield forecasting in Brazil. Agricultural and Forest Meteorology, 341:109670.</w:t>
      </w:r>
    </w:p>
    <w:sectPr w:rsidR="00137179">
      <w:headerReference w:type="default" r:id="rId10"/>
      <w:pgSz w:w="11906" w:h="16838"/>
      <w:pgMar w:top="1418"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710D" w14:textId="77777777" w:rsidR="006E3776" w:rsidRDefault="006E3776">
      <w:r>
        <w:separator/>
      </w:r>
    </w:p>
  </w:endnote>
  <w:endnote w:type="continuationSeparator" w:id="0">
    <w:p w14:paraId="73494FBB" w14:textId="77777777" w:rsidR="006E3776" w:rsidRDefault="006E3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5DF6C" w14:textId="77777777" w:rsidR="006E3776" w:rsidRDefault="006E3776">
      <w:r>
        <w:separator/>
      </w:r>
    </w:p>
  </w:footnote>
  <w:footnote w:type="continuationSeparator" w:id="0">
    <w:p w14:paraId="4B550F0A" w14:textId="77777777" w:rsidR="006E3776" w:rsidRDefault="006E3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8EB1" w14:textId="77777777" w:rsidR="00137179" w:rsidRDefault="00000000">
    <w:pPr>
      <w:pBdr>
        <w:bottom w:val="single" w:sz="12" w:space="4" w:color="C00000"/>
      </w:pBdr>
    </w:pPr>
    <w:r>
      <w:rPr>
        <w:noProof/>
      </w:rPr>
      <w:drawing>
        <wp:inline distT="0" distB="0" distL="0" distR="0" wp14:anchorId="057A7C70" wp14:editId="47049400">
          <wp:extent cx="1809750" cy="400050"/>
          <wp:effectExtent l="0" t="0" r="0" b="0"/>
          <wp:docPr id="304085632" name="Imagem 30408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809750" cy="400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5B4A"/>
    <w:multiLevelType w:val="hybridMultilevel"/>
    <w:tmpl w:val="CC580118"/>
    <w:lvl w:ilvl="0" w:tplc="62D4B526">
      <w:start w:val="1"/>
      <w:numFmt w:val="bullet"/>
      <w:lvlText w:val="●"/>
      <w:lvlJc w:val="left"/>
      <w:pPr>
        <w:ind w:left="720" w:hanging="360"/>
      </w:pPr>
    </w:lvl>
    <w:lvl w:ilvl="1" w:tplc="E5103DF8">
      <w:start w:val="1"/>
      <w:numFmt w:val="bullet"/>
      <w:lvlText w:val="○"/>
      <w:lvlJc w:val="left"/>
      <w:pPr>
        <w:ind w:left="1440" w:hanging="360"/>
      </w:pPr>
    </w:lvl>
    <w:lvl w:ilvl="2" w:tplc="B6B0F43A">
      <w:start w:val="1"/>
      <w:numFmt w:val="bullet"/>
      <w:lvlText w:val="■"/>
      <w:lvlJc w:val="left"/>
      <w:pPr>
        <w:ind w:left="2160" w:hanging="360"/>
      </w:pPr>
    </w:lvl>
    <w:lvl w:ilvl="3" w:tplc="0D722D28">
      <w:start w:val="1"/>
      <w:numFmt w:val="bullet"/>
      <w:lvlText w:val="●"/>
      <w:lvlJc w:val="left"/>
      <w:pPr>
        <w:ind w:left="2880" w:hanging="360"/>
      </w:pPr>
    </w:lvl>
    <w:lvl w:ilvl="4" w:tplc="B238B0C6">
      <w:start w:val="1"/>
      <w:numFmt w:val="bullet"/>
      <w:lvlText w:val="○"/>
      <w:lvlJc w:val="left"/>
      <w:pPr>
        <w:ind w:left="3600" w:hanging="360"/>
      </w:pPr>
    </w:lvl>
    <w:lvl w:ilvl="5" w:tplc="2F3A3C8E">
      <w:start w:val="1"/>
      <w:numFmt w:val="bullet"/>
      <w:lvlText w:val="■"/>
      <w:lvlJc w:val="left"/>
      <w:pPr>
        <w:ind w:left="4320" w:hanging="360"/>
      </w:pPr>
    </w:lvl>
    <w:lvl w:ilvl="6" w:tplc="6442B97A">
      <w:start w:val="1"/>
      <w:numFmt w:val="bullet"/>
      <w:lvlText w:val="●"/>
      <w:lvlJc w:val="left"/>
      <w:pPr>
        <w:ind w:left="5040" w:hanging="360"/>
      </w:pPr>
    </w:lvl>
    <w:lvl w:ilvl="7" w:tplc="0E122474">
      <w:start w:val="1"/>
      <w:numFmt w:val="bullet"/>
      <w:lvlText w:val="●"/>
      <w:lvlJc w:val="left"/>
      <w:pPr>
        <w:ind w:left="5760" w:hanging="360"/>
      </w:pPr>
    </w:lvl>
    <w:lvl w:ilvl="8" w:tplc="B8CA8E08">
      <w:start w:val="1"/>
      <w:numFmt w:val="bullet"/>
      <w:lvlText w:val="●"/>
      <w:lvlJc w:val="left"/>
      <w:pPr>
        <w:ind w:left="6480" w:hanging="360"/>
      </w:pPr>
    </w:lvl>
  </w:abstractNum>
  <w:abstractNum w:abstractNumId="1" w15:restartNumberingAfterBreak="0">
    <w:nsid w:val="685D7868"/>
    <w:multiLevelType w:val="hybridMultilevel"/>
    <w:tmpl w:val="F6188B3A"/>
    <w:lvl w:ilvl="0" w:tplc="AEA8EA12">
      <w:start w:val="1"/>
      <w:numFmt w:val="bullet"/>
      <w:lvlText w:val="•"/>
      <w:lvlJc w:val="left"/>
      <w:pPr>
        <w:ind w:left="1080" w:hanging="360"/>
      </w:pPr>
    </w:lvl>
    <w:lvl w:ilvl="1" w:tplc="5E4AB240">
      <w:numFmt w:val="decimal"/>
      <w:lvlText w:val=""/>
      <w:lvlJc w:val="left"/>
    </w:lvl>
    <w:lvl w:ilvl="2" w:tplc="ECD09934">
      <w:numFmt w:val="decimal"/>
      <w:lvlText w:val=""/>
      <w:lvlJc w:val="left"/>
    </w:lvl>
    <w:lvl w:ilvl="3" w:tplc="D8AA970A">
      <w:numFmt w:val="decimal"/>
      <w:lvlText w:val=""/>
      <w:lvlJc w:val="left"/>
    </w:lvl>
    <w:lvl w:ilvl="4" w:tplc="01567B68">
      <w:numFmt w:val="decimal"/>
      <w:lvlText w:val=""/>
      <w:lvlJc w:val="left"/>
    </w:lvl>
    <w:lvl w:ilvl="5" w:tplc="D91EE3FC">
      <w:numFmt w:val="decimal"/>
      <w:lvlText w:val=""/>
      <w:lvlJc w:val="left"/>
    </w:lvl>
    <w:lvl w:ilvl="6" w:tplc="B7D4AF7C">
      <w:numFmt w:val="decimal"/>
      <w:lvlText w:val=""/>
      <w:lvlJc w:val="left"/>
    </w:lvl>
    <w:lvl w:ilvl="7" w:tplc="AD1A6F86">
      <w:numFmt w:val="decimal"/>
      <w:lvlText w:val=""/>
      <w:lvlJc w:val="left"/>
    </w:lvl>
    <w:lvl w:ilvl="8" w:tplc="027CCE6C">
      <w:numFmt w:val="decimal"/>
      <w:lvlText w:val=""/>
      <w:lvlJc w:val="left"/>
    </w:lvl>
  </w:abstractNum>
  <w:num w:numId="1" w16cid:durableId="52392009">
    <w:abstractNumId w:val="0"/>
    <w:lvlOverride w:ilvl="0">
      <w:startOverride w:val="1"/>
    </w:lvlOverride>
  </w:num>
  <w:num w:numId="2" w16cid:durableId="11422380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179"/>
    <w:rsid w:val="00137179"/>
    <w:rsid w:val="006E3776"/>
    <w:rsid w:val="00771D2C"/>
    <w:rsid w:val="007F6D9A"/>
    <w:rsid w:val="00AE3C56"/>
    <w:rsid w:val="00AF1A9D"/>
    <w:rsid w:val="00B00211"/>
    <w:rsid w:val="00E9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54B4B"/>
  <w15:docId w15:val="{7385C491-F407-4019-9583-1676812C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3409</Words>
  <Characters>18411</Characters>
  <Application>Microsoft Office Word</Application>
  <DocSecurity>0</DocSecurity>
  <Lines>153</Lines>
  <Paragraphs>43</Paragraphs>
  <ScaleCrop>false</ScaleCrop>
  <Company/>
  <LinksUpToDate>false</LinksUpToDate>
  <CharactersWithSpaces>21777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revision>9</cp:revision>
  <dcterms:created xsi:type="dcterms:W3CDTF">2026-09-25T14:48:00Z</dcterms:created>
  <dcterms:modified xsi:type="dcterms:W3CDTF">2026-10-22T18:10:53Z</dcterms:modified>
</cp:coreProperties>
</file>